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k.htm"/>
      <w:bookmarkStart w:id="1" w:name="ksform10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1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50101__20"/>
      <w:bookmarkEnd w:id="2"/>
      <w:r>
        <w:rPr>
          <w:rFonts w:ascii="Times New Roman;Times;Serif" w:hAnsi="Times New Roman;Times;Serif"/>
          <w:b/>
          <w:i w:val="false"/>
          <w:caps w:val="false"/>
          <w:smallCaps w:val="false"/>
          <w:sz w:val="36"/>
        </w:rPr>
        <w:t>10-K</w:t>
      </w:r>
    </w:p>
    <w:p>
      <w:pPr>
        <w:pStyle w:val="TextBody"/>
        <w:bidi w:val="0"/>
        <w:spacing w:before="0" w:after="0"/>
        <w:ind w:left="10" w:right="0" w:hanging="0"/>
        <w:jc w:val="center"/>
        <w:rPr>
          <w:caps w:val="false"/>
          <w:smallCaps w:val="false"/>
        </w:rPr>
      </w:pPr>
      <w:r>
        <w:rPr>
          <w:caps w:val="false"/>
          <w:smallCaps w:val="false"/>
        </w:rPr>
        <w:t> </w:t>
      </w:r>
    </w:p>
    <w:p>
      <w:pPr>
        <w:pStyle w:val="TextBody"/>
        <w:bidi w:val="0"/>
        <w:ind w:left="10" w:right="0" w:hanging="0"/>
        <w:jc w:val="left"/>
        <w:rPr>
          <w:bdr w:val="single" w:sz="8" w:space="1" w:color="000000"/>
        </w:rPr>
      </w:pPr>
      <w:r>
        <w:rPr>
          <w:bdr w:val="single" w:sz="8" w:space="1" w:color="000000"/>
        </w:rPr>
        <w:t> </w:t>
      </w:r>
    </w:p>
    <w:p>
      <w:pPr>
        <w:pStyle w:val="TextBody"/>
        <w:bidi w:val="0"/>
        <w:spacing w:before="0" w:after="0"/>
        <w:ind w:left="1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 w:name="xdx_90A_edei--DocumentAnnualReport_c2025"/>
      <w:bookmarkEnd w:id="3"/>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5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9_edei--CurrentFiscalYearEndDate_c"/>
      <w:bookmarkStart w:id="5" w:name="xdx_90D_edei--DocumentPeriodEndDate_c202"/>
      <w:bookmarkEnd w:id="4"/>
      <w:bookmarkEnd w:id="5"/>
      <w:r>
        <w:rPr>
          <w:rFonts w:ascii="Times New Roman;Times;Serif" w:hAnsi="Times New Roman;Times;Serif"/>
          <w:b/>
          <w:i w:val="false"/>
          <w:caps w:val="false"/>
          <w:smallCaps w:val="false"/>
          <w:sz w:val="20"/>
        </w:rPr>
        <w:t xml:space="preserve">December 31, </w:t>
      </w:r>
      <w:bookmarkStart w:id="6" w:name="xdx_903_edei--DocumentFiscalYearFocus_c2"/>
      <w:bookmarkEnd w:id="6"/>
      <w:r>
        <w:rPr>
          <w:rFonts w:ascii="Times New Roman;Times;Serif" w:hAnsi="Times New Roman;Times;Serif"/>
          <w:b/>
          <w:i w:val="false"/>
          <w:caps w:val="false"/>
          <w:smallCaps w:val="false"/>
          <w:sz w:val="20"/>
        </w:rPr>
        <w:t>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7" w:name="xdx_906_edei--DocumentTransitionReport_c"/>
      <w:bookmarkEnd w:id="7"/>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5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 to 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5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8" w:name="xdx_90C_edei--EntityFileNumber_c20250101"/>
      <w:bookmarkEnd w:id="8"/>
      <w:r>
        <w:rPr>
          <w:rFonts w:ascii="Times New Roman;Times;Serif" w:hAnsi="Times New Roman;Times;Serif"/>
          <w:b/>
          <w:i w:val="false"/>
          <w:caps w:val="false"/>
          <w:smallCaps w:val="false"/>
          <w:sz w:val="20"/>
        </w:rPr>
        <w:t>001-40730</w:t>
      </w:r>
    </w:p>
    <w:p>
      <w:pPr>
        <w:pStyle w:val="TextBody"/>
        <w:bidi w:val="0"/>
        <w:spacing w:before="0" w:after="0"/>
        <w:ind w:left="154"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154" w:right="0" w:hanging="0"/>
        <w:jc w:val="center"/>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9" w:name="xdx_905_edei--EntityRegistrantName_c2025"/>
      <w:bookmarkEnd w:id="9"/>
      <w:r>
        <w:rPr>
          <w:rFonts w:ascii="Times New Roman;Times;Serif" w:hAnsi="Times New Roman;Times;Serif"/>
          <w:b/>
          <w:i w:val="false"/>
          <w:caps w:val="false"/>
          <w:smallCaps w:val="false"/>
          <w:sz w:val="36"/>
        </w:rPr>
        <w:t>DRAGONFLY ENERGY HOLDINGS CORP.</w:t>
      </w:r>
    </w:p>
    <w:p>
      <w:pPr>
        <w:pStyle w:val="TextBody"/>
        <w:bidi w:val="0"/>
        <w:spacing w:before="0" w:after="0"/>
        <w:ind w:left="15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705"/>
        <w:gridCol w:w="60"/>
        <w:gridCol w:w="1535"/>
      </w:tblGrid>
      <w:tr>
        <w:trPr/>
        <w:tc>
          <w:tcPr>
            <w:tcW w:w="27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D_edei--EntityIncorporationStateCo"/>
            <w:bookmarkEnd w:id="10"/>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B_edei--EntityTaxIdentificationNum"/>
            <w:bookmarkEnd w:id="11"/>
            <w:r>
              <w:rPr>
                <w:rFonts w:ascii="Times New Roman;Times;Serif" w:hAnsi="Times New Roman;Times;Serif"/>
                <w:b/>
                <w:i w:val="false"/>
                <w:caps w:val="false"/>
                <w:smallCaps w:val="false"/>
                <w:sz w:val="20"/>
              </w:rPr>
              <w:t>85-1873463</w:t>
            </w:r>
          </w:p>
        </w:tc>
      </w:tr>
      <w:tr>
        <w:trPr/>
        <w:tc>
          <w:tcPr>
            <w:tcW w:w="270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3_edei--EntityAddressAddressLine1_"/>
            <w:bookmarkEnd w:id="12"/>
            <w:r>
              <w:rPr>
                <w:rFonts w:ascii="Times New Roman;Times;Serif" w:hAnsi="Times New Roman;Times;Serif"/>
                <w:b/>
                <w:i w:val="false"/>
                <w:caps w:val="false"/>
                <w:smallCaps w:val="false"/>
                <w:sz w:val="20"/>
              </w:rPr>
              <w:t>12915 Old Virgina Rd.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3" w:name="xdx_90A_edei--EntityAddressCityOrTown_c2"/>
            <w:bookmarkEnd w:id="13"/>
            <w:r>
              <w:rPr>
                <w:rFonts w:ascii="Times New Roman;Times;Serif" w:hAnsi="Times New Roman;Times;Serif"/>
                <w:b/>
                <w:i w:val="false"/>
                <w:caps w:val="false"/>
                <w:smallCaps w:val="false"/>
                <w:sz w:val="20"/>
              </w:rPr>
              <w:t xml:space="preserve">Reno, </w:t>
            </w:r>
            <w:bookmarkStart w:id="14" w:name="xdx_909_edei--EntityAddressStateOrProvin"/>
            <w:bookmarkEnd w:id="14"/>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3_edei--EntityAddressPostalZipCode"/>
            <w:bookmarkEnd w:id="15"/>
            <w:r>
              <w:rPr>
                <w:rFonts w:ascii="Times New Roman;Times;Serif" w:hAnsi="Times New Roman;Times;Serif"/>
                <w:b/>
                <w:i w:val="false"/>
                <w:caps w:val="false"/>
                <w:smallCaps w:val="false"/>
                <w:sz w:val="20"/>
              </w:rPr>
              <w:t>89521</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9_edei--CityAreaCode_c20250101__20"/>
      <w:bookmarkEnd w:id="16"/>
      <w:r>
        <w:rPr>
          <w:rFonts w:ascii="Times New Roman;Times;Serif" w:hAnsi="Times New Roman;Times;Serif"/>
          <w:b/>
          <w:i w:val="false"/>
          <w:caps w:val="false"/>
          <w:smallCaps w:val="false"/>
          <w:sz w:val="20"/>
        </w:rPr>
        <w:t xml:space="preserve">(775) </w:t>
      </w:r>
      <w:bookmarkStart w:id="17" w:name="xdx_90A_edei--LocalPhoneNumber_c20250101"/>
      <w:bookmarkEnd w:id="17"/>
      <w:r>
        <w:rPr>
          <w:rFonts w:ascii="Times New Roman;Times;Serif" w:hAnsi="Times New Roman;Times;Serif"/>
          <w:b/>
          <w:i w:val="false"/>
          <w:caps w:val="false"/>
          <w:smallCaps w:val="false"/>
          <w:sz w:val="20"/>
        </w:rPr>
        <w:t>622-3448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555" w:type="dxa"/>
        <w:jc w:val="left"/>
        <w:tblInd w:w="0" w:type="dxa"/>
        <w:tblLayout w:type="fixed"/>
        <w:tblCellMar>
          <w:top w:w="0" w:type="dxa"/>
          <w:left w:w="0" w:type="dxa"/>
          <w:bottom w:w="28" w:type="dxa"/>
          <w:right w:w="0" w:type="dxa"/>
        </w:tblCellMar>
      </w:tblPr>
      <w:tblGrid>
        <w:gridCol w:w="4310"/>
        <w:gridCol w:w="60"/>
        <w:gridCol w:w="1535"/>
        <w:gridCol w:w="60"/>
        <w:gridCol w:w="3590"/>
      </w:tblGrid>
      <w:tr>
        <w:trPr/>
        <w:tc>
          <w:tcPr>
            <w:tcW w:w="4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3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6_edei--Security12bTitle_c20250101"/>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TradingSymbol_c20250101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1_edei--SecurityExchangeName_c2025"/>
            <w:bookmarkEnd w:id="20"/>
            <w:r>
              <w:rPr>
                <w:rFonts w:ascii="Times New Roman;Times;Serif" w:hAnsi="Times New Roman;Times;Serif"/>
                <w:b w:val="false"/>
                <w:i w:val="false"/>
                <w:caps w:val="false"/>
                <w:smallCaps w:val="false"/>
                <w:sz w:val="20"/>
              </w:rPr>
              <w:t>Nasdaq Capital Market</w:t>
            </w:r>
          </w:p>
        </w:tc>
      </w:tr>
      <w:tr>
        <w:trPr/>
        <w:tc>
          <w:tcPr>
            <w:tcW w:w="4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2_edei--Security12bTitle_c20250101"/>
            <w:bookmarkEnd w:id="21"/>
            <w:r>
              <w:rPr>
                <w:rFonts w:ascii="Times New Roman;Times;Serif" w:hAnsi="Times New Roman;Times;Serif"/>
                <w:b w:val="false"/>
                <w:i w:val="false"/>
                <w:caps w:val="false"/>
                <w:smallCaps w:val="false"/>
                <w:sz w:val="20"/>
              </w:rPr>
              <w:t>Redeemable Warrants, exercisable for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0_edei--TradingSymbol_c20250101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9_edei--SecurityExchangeName_c2025"/>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pursuant to Section 12(g) of the Act: </w:t>
      </w:r>
      <w:r>
        <w:rPr>
          <w:rFonts w:ascii="Times New Roman;Times;Serif" w:hAnsi="Times New Roman;Times;Serif"/>
          <w:b/>
          <w:i w:val="false"/>
          <w:caps w:val="false"/>
          <w:smallCaps w:val="false"/>
          <w:sz w:val="20"/>
          <w:u w:val="single"/>
        </w:rPr>
        <w:t>None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4" w:name="xdx_90A_edei--EntityWellKnownSeasonedIss"/>
      <w:bookmarkEnd w:id="24"/>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Section 15(d) of the Act. Yes ☐ </w:t>
      </w:r>
      <w:bookmarkStart w:id="25" w:name="xdx_902_edei--EntityVoluntaryFilers_c202"/>
      <w:bookmarkEnd w:id="25"/>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6" w:name="xdx_90D_edei--EntityCurrentReportingStat"/>
      <w:bookmarkEnd w:id="26"/>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bookmarkStart w:id="27" w:name="xdx_90F_edei--EntityInteractiveDataCurre"/>
      <w:bookmarkEnd w:id="27"/>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8" w:name="xdx_90F_edei--EntityExTransitionPeriod_c"/>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29" w:name="xdx_90B_edei--EntityEmergingGrowthCompan"/>
            <w:bookmarkEnd w:id="29"/>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0" w:name="xdx_909_edei--EntityFilerCategory_c20250"/>
            <w:bookmarkEnd w:id="30"/>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31" w:name="xdx_906_edei--EntitySmallBusiness_c20250"/>
            <w:bookmarkEnd w:id="31"/>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32" w:name="xdx_90A_edei--IcfrAuditorAttestationFlag"/>
      <w:bookmarkEnd w:id="3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statements. </w:t>
      </w:r>
      <w:bookmarkStart w:id="33" w:name="xdx_906_edei--DocumentFinStmtErrorCorrec"/>
      <w:bookmarkEnd w:id="3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Section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Act). Yes ☐ No </w:t>
      </w:r>
      <w:bookmarkStart w:id="34" w:name="xdx_908_edei--EntityShellCompany_dbF_c20"/>
      <w:bookmarkEnd w:id="3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voting stock held by non-affiliates of the Registrant on June 30, 2025, based on the closing price of $1.64 for shares of the registrant’s common stock as reported by the Nasdaq Capital Market, was approximately $</w:t>
      </w:r>
      <w:bookmarkStart w:id="35" w:name="xdx_904_edei--EntityPublicFloat_iI_pn5n6"/>
      <w:bookmarkEnd w:id="35"/>
      <w:r>
        <w:rPr>
          <w:rFonts w:ascii="Times New Roman;Times;Serif" w:hAnsi="Times New Roman;Times;Serif"/>
          <w:b w:val="false"/>
          <w:i w:val="false"/>
          <w:caps w:val="false"/>
          <w:smallCaps w:val="false"/>
          <w:sz w:val="20"/>
        </w:rPr>
        <w:t>5.8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26, 2026, there were </w:t>
      </w:r>
      <w:bookmarkStart w:id="36" w:name="xdx_90E_edei--EntityCommonStockSharesOut"/>
      <w:bookmarkEnd w:id="36"/>
      <w:r>
        <w:rPr>
          <w:rFonts w:ascii="Times New Roman;Times;Serif" w:hAnsi="Times New Roman;Times;Serif"/>
          <w:b w:val="false"/>
          <w:i w:val="false"/>
          <w:caps w:val="false"/>
          <w:smallCaps w:val="false"/>
          <w:sz w:val="20"/>
        </w:rPr>
        <w:t>12,148,783 shares of the registrant’s common stock, par value $</w:t>
      </w:r>
      <w:bookmarkStart w:id="37" w:name="xdx_90F_edei--EntityListingParValuePerSh"/>
      <w:bookmarkEnd w:id="37"/>
      <w:r>
        <w:rPr>
          <w:rFonts w:ascii="Times New Roman;Times;Serif" w:hAnsi="Times New Roman;Times;Serif"/>
          <w:b w:val="false"/>
          <w:i w:val="false"/>
          <w:caps w:val="false"/>
          <w:smallCaps w:val="false"/>
          <w:sz w:val="20"/>
        </w:rPr>
        <w:t>0.0001 per share,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xdx_905_edei--DocumentsIncorporatedByRef"/>
      <w:bookmarkEnd w:id="38"/>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9665"/>
        <w:gridCol w:w="425"/>
      </w:tblGrid>
      <w:tr>
        <w:trPr/>
        <w:tc>
          <w:tcPr>
            <w:tcW w:w="96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tc>
        <w:tc>
          <w:tcPr>
            <w:tcW w:w="425" w:type="dxa"/>
            <w:tcBorders/>
            <w:vAlign w:val="center"/>
          </w:tcPr>
          <w:p>
            <w:pPr>
              <w:pStyle w:val="TableContents"/>
              <w:bidi w:val="0"/>
              <w:spacing w:before="0" w:after="283"/>
              <w:jc w:val="left"/>
              <w:rPr>
                <w:sz w:val="4"/>
                <w:szCs w:val="4"/>
              </w:rPr>
            </w:pPr>
            <w:r>
              <w:rPr>
                <w:sz w:val="4"/>
                <w:szCs w:val="4"/>
              </w:rPr>
            </w:r>
          </w:p>
        </w:tc>
      </w:tr>
      <w:tr>
        <w:trPr/>
        <w:tc>
          <w:tcPr>
            <w:tcW w:w="9665" w:type="dxa"/>
            <w:tcBorders/>
            <w:vAlign w:val="center"/>
          </w:tcPr>
          <w:p>
            <w:pPr>
              <w:pStyle w:val="TableContents"/>
              <w:bidi w:val="0"/>
              <w:spacing w:before="0" w:after="283"/>
              <w:jc w:val="center"/>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966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Part I</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Item 1. Business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Item 1A. Risk Factors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Item 1B. Unresolved Staff Comments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Item 1C. Cybersecurity</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Item 2. Properties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Item 3. Legal Proceedings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Item 4. Mine Safety Disclosures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Part II</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Item 5. Market for Registrant’s Common Equity, Related Stockholder Matters and Issuer Purchases of Equity Securities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Item 6. [Reserved]</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Item 7. Management’s Discussion and Analysis of Financial Condition and Results of Operations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Item 7A. Quantitative and Qualitative Disclosures about Market Risk</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Item 8. Financial Statements and Supplementary Data</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Item 9. Changes in and Disagreements with Accountants on Accounting and Financial Disclosure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Item 9A. Controls and Procedures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Item 9B. Other Information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Item 9C. Disclosure Regarding Foreign Jurisdiction that Prevent Inspections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Part III</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b w:val="false"/>
                  <w:i w:val="false"/>
                  <w:caps w:val="false"/>
                  <w:smallCaps w:val="false"/>
                  <w:sz w:val="20"/>
                </w:rPr>
                <w:t>Item 10. Directors, Executive Officers and Corporate Governance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b w:val="false"/>
                  <w:i w:val="false"/>
                  <w:caps w:val="false"/>
                  <w:smallCaps w:val="false"/>
                  <w:sz w:val="20"/>
                </w:rPr>
                <w:t>Item 11. Executive Compensation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22">
              <w:r>
                <w:rPr>
                  <w:rStyle w:val="InternetLink"/>
                  <w:rFonts w:ascii="Times New Roman;Times;Serif" w:hAnsi="Times New Roman;Times;Serif"/>
                  <w:b w:val="false"/>
                  <w:i w:val="false"/>
                  <w:caps w:val="false"/>
                  <w:smallCaps w:val="false"/>
                  <w:sz w:val="20"/>
                </w:rPr>
                <w:t>Item 12. Security Ownership of Certain Beneficial Owners and Management and Related Stockholder Matters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b w:val="false"/>
                  <w:i w:val="false"/>
                  <w:caps w:val="false"/>
                  <w:smallCaps w:val="false"/>
                  <w:sz w:val="20"/>
                </w:rPr>
                <w:t>Item 13. Certain Relationships and Related Transactions, and Director Independence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24">
              <w:r>
                <w:rPr>
                  <w:rStyle w:val="InternetLink"/>
                  <w:rFonts w:ascii="Times New Roman;Times;Serif" w:hAnsi="Times New Roman;Times;Serif"/>
                  <w:b w:val="false"/>
                  <w:i w:val="false"/>
                  <w:caps w:val="false"/>
                  <w:smallCaps w:val="false"/>
                  <w:sz w:val="20"/>
                </w:rPr>
                <w:t>Item 14. Principal Accountant Fees and Services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b w:val="false"/>
                  <w:i w:val="false"/>
                  <w:caps w:val="false"/>
                  <w:smallCaps w:val="false"/>
                  <w:sz w:val="20"/>
                </w:rPr>
                <w:t>Part IV</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26">
              <w:r>
                <w:rPr>
                  <w:rStyle w:val="InternetLink"/>
                  <w:rFonts w:ascii="Times New Roman;Times;Serif" w:hAnsi="Times New Roman;Times;Serif"/>
                  <w:b w:val="false"/>
                  <w:i w:val="false"/>
                  <w:caps w:val="false"/>
                  <w:smallCaps w:val="false"/>
                  <w:sz w:val="20"/>
                </w:rPr>
                <w:t>Item 15. Exhibit and Financial Statement Schedules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27">
              <w:r>
                <w:rPr>
                  <w:rStyle w:val="InternetLink"/>
                  <w:rFonts w:ascii="Times New Roman;Times;Serif" w:hAnsi="Times New Roman;Times;Serif"/>
                  <w:b w:val="false"/>
                  <w:i w:val="false"/>
                  <w:caps w:val="false"/>
                  <w:smallCaps w:val="false"/>
                  <w:sz w:val="20"/>
                </w:rPr>
                <w:t>Item 16. Form 10-K Summary</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_028">
              <w:r>
                <w:rPr>
                  <w:rStyle w:val="InternetLink"/>
                  <w:rFonts w:ascii="Times New Roman;Times;Serif" w:hAnsi="Times New Roman;Times;Serif"/>
                  <w:b w:val="false"/>
                  <w:i w:val="false"/>
                  <w:caps w:val="false"/>
                  <w:smallCaps w:val="false"/>
                  <w:sz w:val="20"/>
                </w:rPr>
                <w:t>SIGNATURES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2025, we effected a 1-for-10 reverse stock split of our outstanding shares of common stock. Unless specifically provided otherwise herein, all share and per share information in this Annual Report on Form 10-K has been adjusted to reflect the reverse stock split.</w:t>
      </w:r>
    </w:p>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contains forward-looking statements made pursuant to the safe harbor provisions of the Private Securities Litigation Reform Act of 1995 under Section 27A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the conversion and the terms of our outstanding Series B Convertible Stock (the “</w:t>
            </w:r>
            <w:r>
              <w:rPr>
                <w:rFonts w:ascii="Times New Roman;Times;Serif" w:hAnsi="Times New Roman;Times;Serif"/>
                <w:b/>
                <w:i w:val="false"/>
                <w:caps w:val="false"/>
                <w:smallCaps w:val="false"/>
                <w:sz w:val="20"/>
              </w:rPr>
              <w:t>Series B Preferred Stock</w:t>
            </w:r>
            <w:r>
              <w:rPr>
                <w:rFonts w:ascii="Times New Roman;Times;Serif" w:hAnsi="Times New Roman;Times;Serif"/>
                <w:b w:val="false"/>
                <w:i w:val="false"/>
                <w:caps w:val="false"/>
                <w:smallCaps w:val="false"/>
                <w:sz w:val="20"/>
              </w:rPr>
              <w:t>”) on the market price of our common stock and our ability to redeem and make dividend payments with respect to our Series B Preferred Stock;</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to fund our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increase market penetration into target markets;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and public warrants on the Nasdaq Capital Market;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addressable markets that we intend to target do not grow as expected;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events or circumstances that result in our failure to timely achieve the anticipated benefits of our customer arrangements;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from future product sales in our existing markets or new markets that we enter, including the trucking and industrials markets, and our ability to achieve and maintain profitability;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members of our senior management team or other key personnel;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suppliers, including suppliers in China;</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customers;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patents and other intellectual property;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retain these customers for future orders;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successfully optimize solid-state cells or to produce commercially viable solid-state cells in a timely manner or at all, or to scale to mass production;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produce lithium battery cells in the United States in a timely manner or at all, or to scale to mass production;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pending litigation and potential product liability claims;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timely achieve the anticipated benefits of our licensing arrangement with Stryten Energy LLC (“</w:t>
            </w:r>
            <w:r>
              <w:rPr>
                <w:rFonts w:ascii="Times New Roman;Times;Serif" w:hAnsi="Times New Roman;Times;Serif"/>
                <w:b/>
                <w:i w:val="false"/>
                <w:caps w:val="false"/>
                <w:smallCaps w:val="false"/>
                <w:sz w:val="20"/>
              </w:rPr>
              <w:t>Stryten</w:t>
            </w:r>
            <w:r>
              <w:rPr>
                <w:rFonts w:ascii="Times New Roman;Times;Serif" w:hAnsi="Times New Roman;Times;Serif"/>
                <w:b w:val="false"/>
                <w:i w:val="false"/>
                <w:caps w:val="false"/>
                <w:smallCaps w:val="false"/>
                <w:sz w:val="20"/>
              </w:rPr>
              <w: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 including changes in the rates of tariffs or any adjustments to the amounts payable by us to customs as a result of improperly identifying the applicable tariff rate payable on our products;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and/or competitive factors (including an economic slowdown or inflationary pressures);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sell the desired amounts of shares of common stock at desired prices under our committed equity facility;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projections and estimates regarding our expenses, capital requirements, cash utilization, and need for additional financing;</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reliance on two suppliers for our lithium iron phosphate cells and a single supplier for the manufacture of our battery management system;</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dependence on one manufacturing facility;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global and macroeconomic conditions, including economic, political and social instability, including the Russia-Ukraine conflict, the India-Pakistan conflict, Hamas’ attack on Israel and the Iranian conflict, and their effects on our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Times;Serif" w:hAnsi="Times New Roman;Times;Serif"/>
          <w:b w:val="false"/>
          <w:i/>
          <w:caps w:val="false"/>
          <w:smallCaps w:val="false"/>
          <w:sz w:val="20"/>
        </w:rPr>
        <w:t>Part I-Item 1A-Risk Factors</w:t>
      </w:r>
      <w:r>
        <w:rPr>
          <w:rFonts w:ascii="Times New Roman;Times;Serif" w:hAnsi="Times New Roman;Times;Serif"/>
          <w:b w:val="false"/>
          <w:i w:val="false"/>
          <w:caps w:val="false"/>
          <w:smallCaps w:val="false"/>
          <w:sz w:val="20"/>
        </w:rPr>
        <w:t>” for additional risks which could adversely impact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expressly qualified in their entirety by this cautionary notice. You are cautioned not to place undue reliance on any forward looking statements, which speak only as of the date of this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54" w:right="0" w:hanging="0"/>
        <w:jc w:val="center"/>
        <w:rPr>
          <w:caps w:val="false"/>
          <w:smallCaps w:val="false"/>
        </w:rPr>
      </w:pPr>
      <w:r>
        <w:rPr>
          <w:caps w:val="false"/>
          <w:smallCaps w:val="false"/>
        </w:rPr>
        <w:t> </w:t>
      </w:r>
    </w:p>
    <w:p>
      <w:pPr>
        <w:pStyle w:val="TextBody"/>
        <w:bidi w:val="0"/>
        <w:spacing w:before="0" w:after="0"/>
        <w:ind w:left="154" w:right="0" w:hanging="0"/>
        <w:jc w:val="center"/>
        <w:rPr>
          <w:rFonts w:ascii="Times New Roman;Times;Serif" w:hAnsi="Times New Roman;Times;Serif"/>
          <w:b/>
          <w:i w:val="false"/>
          <w:caps w:val="false"/>
          <w:smallCaps w:val="false"/>
          <w:sz w:val="20"/>
        </w:rPr>
      </w:pPr>
      <w:bookmarkStart w:id="39" w:name="a_001"/>
      <w:bookmarkEnd w:id="39"/>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 w:name="a_002"/>
      <w:bookmarkEnd w:id="40"/>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report to “Dragonfly,” the “Company,” “we,” “us,” or “our” mean Dragonfly Energy Holdings Corp. and its subsidiaries unless stated otherwise or the context otherwise indicates.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caters to customers in the consumer industry (including the recreational vehicle (“</w:t>
      </w:r>
      <w:r>
        <w:rPr>
          <w:rFonts w:ascii="Times New Roman;Times;Serif" w:hAnsi="Times New Roman;Times;Serif"/>
          <w:b/>
          <w:i w:val="false"/>
          <w:caps w:val="false"/>
          <w:smallCaps w:val="false"/>
          <w:sz w:val="20"/>
        </w:rPr>
        <w:t>RV</w:t>
      </w:r>
      <w:r>
        <w:rPr>
          <w:rFonts w:ascii="Times New Roman;Times;Serif" w:hAnsi="Times New Roman;Times;Serif"/>
          <w:b w:val="false"/>
          <w:i w:val="false"/>
          <w:caps w:val="false"/>
          <w:smallCaps w:val="false"/>
          <w:sz w:val="20"/>
        </w:rPr>
        <w:t>”), marine vessel, industrial, and trucking markets), with proprietary, patented and disruptive battery cell manufacturing and non-flammable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deep cycle lithium iron phosphate (“</w:t>
      </w:r>
      <w:r>
        <w:rPr>
          <w:rFonts w:ascii="Times New Roman;Times;Serif" w:hAnsi="Times New Roman;Times;Serif"/>
          <w:b/>
          <w:i w:val="false"/>
          <w:caps w:val="false"/>
          <w:smallCaps w:val="false"/>
          <w:sz w:val="20"/>
        </w:rPr>
        <w:t>LFP</w:t>
      </w:r>
      <w:r>
        <w:rPr>
          <w:rFonts w:ascii="Times New Roman;Times;Serif" w:hAnsi="Times New Roman;Times;Serif"/>
          <w:b w:val="false"/>
          <w:i w:val="false"/>
          <w:caps w:val="false"/>
          <w:smallCaps w:val="false"/>
          <w:sz w:val="20"/>
        </w:rPr>
        <w:t>”) batteries provide numerous advantages compared to incumbent products, such as lead-acid batteries. LFP batteries are non-toxic and environmentally friendly, do not rely on scarce or controversial metals and are a highly cost-effective storage solution. LFP batteries use lithium iron phosphate (“</w:t>
      </w:r>
      <w:r>
        <w:rPr>
          <w:rFonts w:ascii="Times New Roman;Times;Serif" w:hAnsi="Times New Roman;Times;Serif"/>
          <w:b/>
          <w:i w:val="false"/>
          <w:caps w:val="false"/>
          <w:smallCaps w:val="false"/>
          <w:sz w:val="20"/>
        </w:rPr>
        <w:t>LiFePO4</w:t>
      </w:r>
      <w:r>
        <w:rPr>
          <w:rFonts w:ascii="Times New Roman;Times;Serif" w:hAnsi="Times New Roman;Times;Serif"/>
          <w:b w:val="false"/>
          <w:i w:val="false"/>
          <w:caps w:val="false"/>
          <w:smallCaps w:val="false"/>
          <w:sz w:val="20"/>
        </w:rPr>
        <w:t>”) as the cathode material for lithium-ion cells rather than nickel or cobalt. Although the energy density of LFP batteries is lower, they have a longer cycle life and experience a slower rate of capacity loss. LFP is also intrinsically safer than sulfide gases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most other companies that still incorporate less stable components in their chemistries (such as sulfide gases, which are chemically unstable and form hydrogen sulfide when exposed to air).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we have moved away from our dual-brand strategy for battery products, Dragonfly Energy (“</w:t>
      </w:r>
      <w:r>
        <w:rPr>
          <w:rFonts w:ascii="Times New Roman;Times;Serif" w:hAnsi="Times New Roman;Times;Serif"/>
          <w:b/>
          <w:i w:val="false"/>
          <w:caps w:val="false"/>
          <w:smallCaps w:val="false"/>
          <w:sz w:val="20"/>
        </w:rPr>
        <w:t>Dragonfly Energy</w:t>
      </w:r>
      <w:r>
        <w:rPr>
          <w:rFonts w:ascii="Times New Roman;Times;Serif" w:hAnsi="Times New Roman;Times;Serif"/>
          <w:b w:val="false"/>
          <w:i w:val="false"/>
          <w:caps w:val="false"/>
          <w:smallCaps w:val="false"/>
          <w:sz w:val="20"/>
        </w:rPr>
        <w:t>”) and Battle Born® Batteries (“</w:t>
      </w:r>
      <w:r>
        <w:rPr>
          <w:rFonts w:ascii="Times New Roman;Times;Serif" w:hAnsi="Times New Roman;Times;Serif"/>
          <w:b/>
          <w:i w:val="false"/>
          <w:caps w:val="false"/>
          <w:smallCaps w:val="false"/>
          <w:sz w:val="20"/>
        </w:rPr>
        <w:t>Battle Born</w:t>
      </w:r>
      <w:r>
        <w:rPr>
          <w:rFonts w:ascii="Times New Roman;Times;Serif" w:hAnsi="Times New Roman;Times;Serif"/>
          <w:b w:val="false"/>
          <w:i w:val="false"/>
          <w:caps w:val="false"/>
          <w:smallCaps w:val="false"/>
          <w:sz w:val="20"/>
        </w:rPr>
        <w:t>”). Moving forward, Battle Born is the brand under which we sell our energy storage products and related power system components. Battle Born products are sold across multiple channels, including original equipment manufacturers (“</w:t>
      </w:r>
      <w:r>
        <w:rPr>
          <w:rFonts w:ascii="Times New Roman;Times;Serif" w:hAnsi="Times New Roman;Times;Serif"/>
          <w:b/>
          <w:i w:val="false"/>
          <w:caps w:val="false"/>
          <w:smallCaps w:val="false"/>
          <w:sz w:val="20"/>
        </w:rPr>
        <w:t>OEM</w:t>
      </w:r>
      <w:r>
        <w:rPr>
          <w:rFonts w:ascii="Times New Roman;Times;Serif" w:hAnsi="Times New Roman;Times;Serif"/>
          <w:b w:val="false"/>
          <w:i w:val="false"/>
          <w:caps w:val="false"/>
          <w:smallCaps w:val="false"/>
          <w:sz w:val="20"/>
        </w:rPr>
        <w:t>”), distributor, dealer, fleet, and direct-to-consumer relationships, depending on the application and customer requirements. As adoption of lithium-based energy storage has expanded, Battle Born products have been increasingly integrated into factory-installed and system-level applications across a range of end markets. Our product portfolio includes LFP battery packs, integrated battery management systems, integrated heating capability for cold-temperature operation, and system-level communication and monitoring enabled through our Dragonfly IntelLigence® technology. We source LFP cells from a limited number of carefully selected suppliers that meet our quality and performance requirements, and we design, assemble, and test the majority of our battery products in the United States, supported by long-term supplier relationships that promote consistent supply and product reliability.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Reflecting the strength of our Battle Born brand, we signed a brand licensing contract in July of 2024 with Stryten Energy for the Battle Born brand to be deployed in B2B sales within Stryten’s target market. The contract is expected to bring $30 million of licensing revenues within a seven year period. Additionally, we signed a contract manufacturing agreement that allows for us to assemble battery packs to be sold by Stryten under the Battle Born label. Both licensing and contract manufacturing revenues from these contracts began in 2025 and are expected to continue into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as an aftermarket-focused company, we initially targeted direct-to-consumer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sales within the recreational vehicle (“</w:t>
      </w:r>
      <w:r>
        <w:rPr>
          <w:rFonts w:ascii="Times New Roman;Times;Serif" w:hAnsi="Times New Roman;Times;Serif"/>
          <w:b/>
          <w:i w:val="false"/>
          <w:caps w:val="false"/>
          <w:smallCaps w:val="false"/>
          <w:sz w:val="20"/>
        </w:rPr>
        <w:t>RV</w:t>
      </w:r>
      <w:r>
        <w:rPr>
          <w:rFonts w:ascii="Times New Roman;Times;Serif" w:hAnsi="Times New Roman;Times;Serif"/>
          <w:b w:val="false"/>
          <w:i w:val="false"/>
          <w:caps w:val="false"/>
          <w:smallCaps w:val="false"/>
          <w:sz w:val="20"/>
        </w:rPr>
        <w:t>”) market. Since 2020, we have successfully sold over 370,000 batteries. For the fiscal years ended December 31, 2025, and December 31, 2024, we sold 43,129 and 42,447 batteries, respectively, generating revenues of $58.6 million and $50.6 million for each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innovative battery products have contributed to the ongoing transition from traditional lead-acid batteries to lithium-based energy storage solutions. Historically, demand from our DTC channel, combined with our efforts to educate and engage original equipment manufacturers (“OEMs”), supported our initial market penetration and brand development.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business has evolved, our growth strategy has increasingly shifted toward OEM, fleet, and industrial channels, where we can deliver integrated energy storage solutions at scale. While DTC continues to support brand awareness and aftermarket demand, it is no longer the primary driver of our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and currently, we have driven total sales growth through the following strategies: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Expansion of OEM and Fleet Partnerships:</w:t>
            </w:r>
            <w:r>
              <w:rPr>
                <w:rFonts w:ascii="Times New Roman;Times;Serif" w:hAnsi="Times New Roman;Times;Serif"/>
                <w:b w:val="false"/>
                <w:i w:val="false"/>
                <w:caps w:val="false"/>
                <w:smallCaps w:val="false"/>
                <w:sz w:val="20"/>
              </w:rPr>
              <w:t xml:space="preserve"> Increasing adoption of our battery systems in factory-installed and commercial applications across RV, trucking, and industrial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Market Diversification:</w:t>
            </w:r>
            <w:r>
              <w:rPr>
                <w:rFonts w:ascii="Times New Roman;Times;Serif" w:hAnsi="Times New Roman;Times;Serif"/>
                <w:b w:val="false"/>
                <w:i w:val="false"/>
                <w:caps w:val="false"/>
                <w:smallCaps w:val="false"/>
                <w:sz w:val="20"/>
              </w:rPr>
              <w:t xml:space="preserve"> Expanding into adjacent markets, including marine, industrial, and heavy-duty trucking applications, where demand for reliable, long-life energy storage continues to grow.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Distributor and Dealer Engagement:</w:t>
            </w:r>
            <w:r>
              <w:rPr>
                <w:rFonts w:ascii="Times New Roman;Times;Serif" w:hAnsi="Times New Roman;Times;Serif"/>
                <w:b w:val="false"/>
                <w:i w:val="false"/>
                <w:caps w:val="false"/>
                <w:smallCaps w:val="false"/>
                <w:sz w:val="20"/>
              </w:rPr>
              <w:t xml:space="preserve"> Strengthening relationships with distributors and dealers to support broader market access and customer reach across both consumer and commercial segments.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System-Level Product Expansion:</w:t>
            </w:r>
            <w:r>
              <w:rPr>
                <w:rFonts w:ascii="Times New Roman;Times;Serif" w:hAnsi="Times New Roman;Times;Serif"/>
                <w:b w:val="false"/>
                <w:i w:val="false"/>
                <w:caps w:val="false"/>
                <w:smallCaps w:val="false"/>
                <w:sz w:val="20"/>
              </w:rPr>
              <w:t xml:space="preserve"> Expanding our portfolio of integrated power system components, including power conversion, monitoring, and control solutions, to deliver complete energy storage systems.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DTC Channel Optimization:</w:t>
            </w:r>
            <w:r>
              <w:rPr>
                <w:rFonts w:ascii="Times New Roman;Times;Serif" w:hAnsi="Times New Roman;Times;Serif"/>
                <w:b w:val="false"/>
                <w:i w:val="false"/>
                <w:caps w:val="false"/>
                <w:smallCaps w:val="false"/>
                <w:sz w:val="20"/>
              </w:rPr>
              <w:t xml:space="preserve"> Maintaining a targeted DTC presence to support brand visibility, customer education, and aftermarket sales, while reducing reliance on this channel as a primary growth driver.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valued RV OEM partners currently include industry leaders such as Airstream, Tiffin Motorhomes, Forest River, Triple E RV, REV Group, Keystone RV Company (“</w:t>
      </w:r>
      <w:r>
        <w:rPr>
          <w:rFonts w:ascii="Times New Roman;Times;Serif" w:hAnsi="Times New Roman;Times;Serif"/>
          <w:b/>
          <w:i w:val="false"/>
          <w:caps w:val="false"/>
          <w:smallCaps w:val="false"/>
          <w:sz w:val="20"/>
        </w:rPr>
        <w:t>Keystone</w:t>
      </w:r>
      <w:r>
        <w:rPr>
          <w:rFonts w:ascii="Times New Roman;Times;Serif" w:hAnsi="Times New Roman;Times;Serif"/>
          <w:b w:val="false"/>
          <w:i w:val="false"/>
          <w:caps w:val="false"/>
          <w:smallCaps w:val="false"/>
          <w:sz w:val="20"/>
        </w:rPr>
        <w:t>”), Ember, nuCamp RV, ATC, and THOR Industries (“</w:t>
      </w:r>
      <w:r>
        <w:rPr>
          <w:rFonts w:ascii="Times New Roman;Times;Serif" w:hAnsi="Times New Roman;Times;Serif"/>
          <w:b/>
          <w:i w:val="false"/>
          <w:caps w:val="false"/>
          <w:smallCaps w:val="false"/>
          <w:sz w:val="20"/>
        </w:rPr>
        <w:t>THOR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experienced a return to revenue growth following the market correction that affected our end markets in 2024. This improvement was driven primarily by increased adoption of our products by OEM customers, supported by modest growth in underlying RV market activity and expanded integration of our products across additional OEM models and configurations. OEM adoption continued to shift toward higher-content, non-entry-level platforms, which are more closely aligned with our product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factors, including persistent inflation, elevated interest rates, and reduced consumer confidence, continued to impact discretionary spending and direct-to-consumer demand during 2025. As a result, demand within our DTC channels remained pressured, particularly within price-sensitive segments. Despite these headwinds, OEM sales represented a growing portion of our revenue mix, reflecting deeper penetration within existing OEM relationships and continued program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RV OEM growth, we continued to expand our presence in industrial applications and the heavy-duty trucking market. Within these markets, customers progressed from initial evaluations and pilot programs toward broader adoption, contributing to increased system deployments and revenue diversification.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2026, we expect continued growth to be driven by expanded adoption within our existing customer base, with a focus on OEM customers, including increased system content per unit, broader deployment of complementary power system components, and continued penetration of premium product platforms. We also anticipate further growth in our industrial and heavy-duty trucking markets as customer adoption expands and additional use cases transition from evaluation to commercial deployment.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a growing portfolio of energy storage products and power system components under the Battle Born brand, with battery product lines differentiated by form factor, capacity, and application requirements. Our battery systems incorporate advanced features such as advanced battery management, integrated heating capability for cold-temperature operation, and system-level communication and monitoring enabled through our Dragonfly IntelLigence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battery products, we offer a range of complementary power system components, including charging, power conversion, monitoring, and control solutions, which enable customers to deploy complete and integrated energy storage systems. These components include both Battle Born-branded products and select third-party components that meet our performance and quality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continue to leverage our expertise in alternator charging and power management as a result of our prior acquisition of the Wakespeed assets, which enables us to integrate advanced alternator regulation and charging control into the systems we design and support. This system-level capability allows us to address more complex power requirements across mobile and industrial applications.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battery packs are designed and assembled in-house in the United States. In November 2024, we relocated from our 99,000 square foot facility in Reno, Nevada to our new 390,240 square foot facility also in Reno, Nevada, which has allowed us to increase our production capacity and gives us the ability to increase sales to existing customers and penetrate new markets. Our 390,240 square foot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our Battle Born and Wakespeed brands, we serve several core end markets, including recreational vehicles, marine vessels, and other mobile and stationary power applications. In addition to these core markets, we are expanding our presence in trucking, including heavy-duty trucks and work truck applications, as well as industrial markets such as oil and gas and other infrastructure-related 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Across these markets, our products are designed to replace traditional lead-acid batteries with lithium-based energy storage solutions that deliver longer service life, improved safety, and more consistent power performance. Our Battle Born portfolio is engineered to support reliable, long-duration power in applications requiring dependable operation under demanding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execute a multi-channel go-to-market strategy that leverages OEM relationships, industry education, and system-level expertise to support both consumer and commercial sales. Our OEM presence and longstanding partnerships serve as a foundational channel for product adoption, while thought leadership and technical education help drive broader market awareness and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an extensive digital presence focused on education and system design, including technical documentation, instructional content, and search-optimized resources intended to inform customers and support purchasing decisions across both e-commerce and B2B channels. These efforts are complemented by targeted digital advertising initiatives designed to reach high-intent customers and support demand generation in priority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work closely with dealer and distributor partners to extend market reach through in-store point-of-sale materials, product training, and technical support. Our sales organization is relationship-focused, emphasizing long-term customer engagement built around product quality, system integration expertise, and high levels of technical and post-sale support. We believe this approach results in more durable customer relationships and supports repeat adoption across applications and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Drawing upon our success in collaborating with RV and marine OEMs, we have begun expanding into the heavy-duty trucking market. We are leveraging our expertise in designing and supporting lithium-ion storage systems to tailor solutions meeting specific requirements for fleets. These solutions have been adopted as factory options, demonstrating their value proposition for truck fleets seeking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diesel fuel costs: our technology delivers significant fuel savings, offering a rapid return on investment.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anti-idling regulations: Lithium-ion batteries enable efficient power management eliminating the need for long haul truck drivers to idle, thus aligning with increasingly stringent regulations.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 sustainability efforts: Transitioning to long lasting and greener lithium-ion solutions contributes to improved environmental impact.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strategic approach has led to expanded adoption of our products by large fleet operators, including Highway Transport, Stevens Transport, and Werner Enterprises, as these customers have progressed from initial evaluations to broader system deployments. In parallel, we continue to engage in pilot programs with additional fleets, which remain an important driver of future customer adoption and expansion opportunities. We also support fleet adoption through industry collaboration and thought leadership, including co-authoring a technical whitepaper with PACCAR focused on electrification and energy storage applications in heavy-duty trucking.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augment our core lithium-ion battery pack business, we rely on our research and development department. The team has successfully developed innovative manufacturing processes for dry-electrode manufacturing of lithium-ion cells, and continues development efforts relating to next-generation solid-state technology. Since our inception, we have built a comprehensive patent portfolio around our proprietary dry-electrode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decades, lead-acid batteries have been the dominant player in power and energy markets worldwide. Since the introduction of the absorbed glass mat (“</w:t>
      </w:r>
      <w:r>
        <w:rPr>
          <w:rFonts w:ascii="Times New Roman;Times;Serif" w:hAnsi="Times New Roman;Times;Serif"/>
          <w:b/>
          <w:i w:val="false"/>
          <w:caps w:val="false"/>
          <w:smallCaps w:val="false"/>
          <w:sz w:val="20"/>
        </w:rPr>
        <w:t>AGM</w:t>
      </w:r>
      <w:r>
        <w:rPr>
          <w:rFonts w:ascii="Times New Roman;Times;Serif" w:hAnsi="Times New Roman;Times;Serif"/>
          <w:b w:val="false"/>
          <w:i w:val="false"/>
          <w:caps w:val="false"/>
          <w:smallCaps w:val="false"/>
          <w:sz w:val="20"/>
        </w:rPr>
        <w:t>”) lead-acid battery in the mid-1970s, the technological advancements in lead-acid battery technology have been limited. LFP batteries have numerous advantages over the incumbent lead-acid batteries used in today’s markets: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Environmentally Friendly, Socially Responsible and Safer.</w:t>
            </w:r>
            <w:r>
              <w:rPr>
                <w:rFonts w:ascii="Times New Roman;Times;Serif" w:hAnsi="Times New Roman;Times;Serif"/>
                <w:b w:val="false"/>
                <w:i w:val="false"/>
                <w:caps w:val="false"/>
                <w:smallCaps w:val="false"/>
                <w:sz w:val="20"/>
              </w:rPr>
              <w:t xml:space="preserve"> Lead-acid batteries that are not recycled or disposed of properly are extremely toxic 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offering a much safer environmental alternative to lead-acid batteries.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Longer Lifespan.</w:t>
            </w:r>
            <w:r>
              <w:rPr>
                <w:rFonts w:ascii="Times New Roman;Times;Serif" w:hAnsi="Times New Roman;Times;Serif"/>
                <w:b w:val="false"/>
                <w:i w:val="false"/>
                <w:caps w:val="false"/>
                <w:smallCaps w:val="false"/>
                <w:sz w:val="20"/>
              </w:rPr>
              <w:t xml:space="preserve"> Lithium-ion batteries have longer lifecycles compared to lead-acid batteries. LFP batteries are able to cycle (i.e., discharge and 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lead-acid batteries, which have a one- to two-year useful life in most applications.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Power and Performance.</w:t>
            </w:r>
            <w:r>
              <w:rPr>
                <w:rFonts w:ascii="Times New Roman;Times;Serif" w:hAnsi="Times New Roman;Times;Serif"/>
                <w:b w:val="false"/>
                <w:i w:val="false"/>
                <w:caps w:val="false"/>
                <w:smallCaps w:val="false"/>
                <w:sz w:val="20"/>
              </w:rPr>
              <w:t xml:space="preserve"> As new technologies evolve and people consume more electricity, the importance of battery power and performance 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Charging. </w:t>
            </w:r>
            <w:r>
              <w:rPr>
                <w:rFonts w:ascii="Times New Roman;Times;Serif" w:hAnsi="Times New Roman;Times;Serif"/>
                <w:b w:val="false"/>
                <w:i w:val="false"/>
                <w:caps w:val="false"/>
                <w:smallCaps w:val="false"/>
                <w:sz w:val="20"/>
              </w:rPr>
              <w:t>Lead-acid batteries were the first rechargeable batteries on the market. However, due to new advancements in energy density (i.e., the amount of energy stored by mass volume) and charge/discharge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Maintenance-Free. </w:t>
            </w:r>
            <w:r>
              <w:rPr>
                <w:rFonts w:ascii="Times New Roman;Times;Serif" w:hAnsi="Times New Roman;Times;Serif"/>
                <w:b w:val="false"/>
                <w:i w:val="false"/>
                <w:caps w:val="false"/>
                <w:smallCaps w:val="false"/>
                <w:sz w:val="20"/>
              </w:rPr>
              <w:t>LFP batteries provide the benefit of being a maintenance-free option compared to lead-acid batteries. Unlike lead-acid 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across multiple end markets that are undergoing a transition from traditional lead-acid batteries to lithium-based energy storage solutions, driven by increasing power demands, space and weight constraints, and a growing need for reliable, maintenance-free energy storage.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Recreational Vehicles.</w:t>
            </w:r>
            <w:r>
              <w:rPr>
                <w:rFonts w:ascii="Times New Roman;Times;Serif" w:hAnsi="Times New Roman;Times;Serif"/>
                <w:b w:val="false"/>
                <w:i w:val="false"/>
                <w:caps w:val="false"/>
                <w:smallCaps w:val="false"/>
                <w:sz w:val="20"/>
              </w:rPr>
              <w:t xml:space="preserve"> The recreational vehicle market continues to be an important driver of demand for lithium iron phosphate (LFP) energy storage batteries as RV designs and usage patterns evolve. According to data published by the RV Industry Association (“</w:t>
            </w:r>
            <w:r>
              <w:rPr>
                <w:rFonts w:ascii="Times New Roman;Times;Serif" w:hAnsi="Times New Roman;Times;Serif"/>
                <w:b/>
                <w:i w:val="false"/>
                <w:caps w:val="false"/>
                <w:smallCaps w:val="false"/>
                <w:sz w:val="20"/>
              </w:rPr>
              <w:t>RVIA</w:t>
            </w:r>
            <w:r>
              <w:rPr>
                <w:rFonts w:ascii="Times New Roman;Times;Serif" w:hAnsi="Times New Roman;Times;Serif"/>
                <w:b w:val="false"/>
                <w:i w:val="false"/>
                <w:caps w:val="false"/>
                <w:smallCaps w:val="false"/>
                <w:sz w:val="20"/>
              </w:rPr>
              <w:t>”), approximately 342,000 RV units were shipped in the United States during 2025, with towable RVs representing the substantial majority of total wholesale shipments. RV ownership and usage trends continue to support increased onboard power requirements, as RV interiors become more electrically intensive with the addition of appliances, electronics, and connectivity features associated with extended-stay and full-time RV use.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for greater onboard power generation and energy storage is contributing to a shift away from incumbent lead-acid batteries toward LFP batteries. Traditional lead-acid batteries are heavy, occupy significant space, exhibit inefficient discharge characteristics, and require ventilation. LFP batteries address these limitations by enabling faster charging, significantly reduced weight, consistent power delivery, and maintenance-free operation.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our RV market focus has been concentrated on motorized RVs; however, OEMs have increasingly integrated advanced electrical systems and energy storage solutions into towable RVs. The continued dominance of towable RV shipments, combined with increasing electrification across RV platforms, represents a growing opportunity for LFP battery adoption.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Marine Vessels.</w:t>
            </w:r>
            <w:r>
              <w:rPr>
                <w:rFonts w:ascii="Times New Roman;Times;Serif" w:hAnsi="Times New Roman;Times;Serif"/>
                <w:b w:val="false"/>
                <w:i w:val="false"/>
                <w:caps w:val="false"/>
                <w:smallCaps w:val="false"/>
                <w:sz w:val="20"/>
              </w:rPr>
              <w:t xml:space="preserve"> As boating becomes more popular in North America, the need for a reliable, non-flammable energy storage system is becoming increasingly apparent. According to the 2020 Recreational Boating Statistics and the 2020 National Recreational Boating Safety Survey, in 2018 over 84 million Americans participated in some form of boating activity. There were a total of over 11.6 million registered boats on the water as of 2023.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tc>
      </w:tr>
    </w:tbl>
    <w:p>
      <w:pPr>
        <w:pStyle w:val="TextBody"/>
        <w:bidi w:val="0"/>
        <w:spacing w:before="0" w:after="0"/>
        <w:ind w:left="324" w:right="0" w:hanging="324"/>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Industrial. </w:t>
            </w:r>
            <w:r>
              <w:rPr>
                <w:rFonts w:ascii="Times New Roman;Times;Serif" w:hAnsi="Times New Roman;Times;Serif"/>
                <w:b w:val="false"/>
                <w:i w:val="false"/>
                <w:caps w:val="false"/>
                <w:smallCaps w:val="false"/>
                <w:sz w:val="20"/>
              </w:rPr>
              <w:t>We serve a growing range of industrial and commercial applications that require reliable, stationary energy storage in both grid-connected and remote environments. These applications include power systems supporting municipalities, energy and infrastructure operators, transportation networks, and communications providers, where dependable power is required to support monitoring equipment, communications systems, control and relay equipment, safety and security systems, lighting, and other critical electrical loads. Demand in these applications is driven by the need for long service life, low maintenance requirements, and consistent performance across a wide range of operating conditions. Lithium iron phosphate (LFP) batteries are well-suited to these use cases due to their safety profile, durability, and ability to deliver reliable power in environments where traditional lead-acid batteries are constrained by weight, maintenance, or performance limitations. As electrification and remote monitoring continue to expand across industrial and commercial infrastructure, these stationary energy storage applications represent an increasingly important component of our current end markets.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Heavy Duty Truck.</w:t>
            </w:r>
            <w:r>
              <w:rPr>
                <w:rFonts w:ascii="Times New Roman;Times;Serif" w:hAnsi="Times New Roman;Times;Serif"/>
                <w:b w:val="false"/>
                <w:i w:val="false"/>
                <w:caps w:val="false"/>
                <w:smallCaps w:val="false"/>
                <w:sz w:val="20"/>
              </w:rPr>
              <w:t xml:space="preserve"> The heavy-duty truck market encompasses a broad range of vehicles designed for extensive commercial and industrial use, such as long-haul transport, construction, and logistics. Even in the midst of a historic freight recession, more than 200,000 Class 8 units sold in 2025. A surge in Class 8 units at the end of 2025 indicates a recovery in the market for vehicles that are integral to the backbone of global commerce and infrastructure projects. As the demand for more efficient, sustainable, and reliable transportation solutions grows, the use of Auxiliary Power Units (“</w:t>
            </w:r>
            <w:r>
              <w:rPr>
                <w:rFonts w:ascii="Times New Roman;Times;Serif" w:hAnsi="Times New Roman;Times;Serif"/>
                <w:b/>
                <w:i w:val="false"/>
                <w:caps w:val="false"/>
                <w:smallCaps w:val="false"/>
                <w:sz w:val="20"/>
              </w:rPr>
              <w:t>APUs</w:t>
            </w:r>
            <w:r>
              <w:rPr>
                <w:rFonts w:ascii="Times New Roman;Times;Serif" w:hAnsi="Times New Roman;Times;Serif"/>
                <w:b w:val="false"/>
                <w:i w:val="false"/>
                <w:caps w:val="false"/>
                <w:smallCaps w:val="false"/>
                <w:sz w:val="20"/>
              </w:rPr>
              <w:t>”) in heavy duty trucks is becoming increasingly significant. APUs provide an alternative energy source for powering onboard systems and maintaining cabin comfort during rest periods, without the need for the main engine to run-thereby reducing fuel consumption and emissions. Additionally, the market opportunity extends to the electrification of Transport Refrigeration Units (“</w:t>
            </w:r>
            <w:r>
              <w:rPr>
                <w:rFonts w:ascii="Times New Roman;Times;Serif" w:hAnsi="Times New Roman;Times;Serif"/>
                <w:b/>
                <w:i w:val="false"/>
                <w:caps w:val="false"/>
                <w:smallCaps w:val="false"/>
                <w:sz w:val="20"/>
              </w:rPr>
              <w:t>TRUs</w:t>
            </w:r>
            <w:r>
              <w:rPr>
                <w:rFonts w:ascii="Times New Roman;Times;Serif" w:hAnsi="Times New Roman;Times;Serif"/>
                <w:b w:val="false"/>
                <w:i w:val="false"/>
                <w:caps w:val="false"/>
                <w:smallCaps w:val="false"/>
                <w:sz w:val="20"/>
              </w:rPr>
              <w:t>”) on trailers and smaller class refrigerated vehicles, which are crucial for the cold chain logistics sector. This shift towards electrification is driven by the need for more sustainable and efficient cooling solutions, reducing the carbon footprint of refrigerated transport. The expansion of global trade and the continuous push for lower emissions standards are driving the demand for heavy duty trucks equipped with APUs, as well as for the electrification of TRUs, highlighting a considerable market opportunity. This trend emphasizes the potential for advanced battery technologies not only as an environmental solution but also as a competitive advantage in the heavy-duty truck and refrigerated transport markets, offering a substantial retrofitting and market penetration opportunity for battery manufacturers and suppliers with the requisite expertise and product offerings.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Industrial Vehicles and Work Trucks</w:t>
            </w:r>
            <w:r>
              <w:rPr>
                <w:rFonts w:ascii="Times New Roman;Times;Serif" w:hAnsi="Times New Roman;Times;Serif"/>
                <w:b w:val="false"/>
                <w:i w:val="false"/>
                <w:caps w:val="false"/>
                <w:smallCaps w:val="false"/>
                <w:sz w:val="20"/>
              </w:rPr>
              <w:t>. The industrial vehicle market includes work trucks, service and utility vehicles, material handling and warehousing equipment, and other specialty fleet vehicles that support commercial, municipal, and industrial operations. These vehicles increasingly rely on onboard electrical systems to power tools, monitoring and communications equipment, safety systems, lighting, and other auxiliary loads.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in this market is driven by increased automation, electrification of onboard equipment, and the need for reliable power in duty-cycle intensive environments. Lithium iron phosphate (LFP) batteries are well-suited for these applications due to their long service life, safety profile, and ability to deliver consistent power with minimal maintenance compared to traditional lead-acid batteries. As fleet operators seek to improve reliability, reduce maintenance requirements, and support expanded electrical functionality, adoption of LFP-based energy storage solutions across industrial vehicles and work truck platforms continues to expand.</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Addressable Adjacent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Emergency and Standby Power.</w:t>
            </w:r>
            <w:r>
              <w:rPr>
                <w:rFonts w:ascii="Times New Roman;Times;Serif" w:hAnsi="Times New Roman;Times;Serif"/>
                <w:b w:val="false"/>
                <w:i w:val="false"/>
                <w:caps w:val="false"/>
                <w:smallCaps w:val="false"/>
                <w:sz w:val="20"/>
              </w:rPr>
              <w:t xml:space="preserve"> Demand for reliable emergency and standby power sources is expected to continue to drive demand for effective 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Data Centers.</w:t>
            </w:r>
            <w:r>
              <w:rPr>
                <w:rFonts w:ascii="Times New Roman;Times;Serif" w:hAnsi="Times New Roman;Times;Serif"/>
                <w:b w:val="false"/>
                <w:i w:val="false"/>
                <w:caps w:val="false"/>
                <w:smallCaps w:val="false"/>
                <w:sz w:val="20"/>
              </w:rPr>
              <w:t xml:space="preserve"> Data centers have seen strong growth in recent years, with over 5,000 data centers in the United States as of September 2023 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On-grid Storage.</w:t>
            </w:r>
            <w:r>
              <w:rPr>
                <w:rFonts w:ascii="Times New Roman;Times;Serif" w:hAnsi="Times New Roman;Times;Serif"/>
                <w:b w:val="false"/>
                <w:i w:val="false"/>
                <w:caps w:val="false"/>
                <w:smallCaps w:val="false"/>
                <w:sz w:val="20"/>
              </w:rPr>
              <w:t xml:space="preserve"> On-grid energy storage is used on a large-scale platform within an electrical power grid in conjunction with variable renewable 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Premier Lithium-Ion Battery Technology.</w:t>
            </w:r>
            <w:r>
              <w:rPr>
                <w:rFonts w:ascii="Times New Roman;Times;Serif" w:hAnsi="Times New Roman;Times;Serif"/>
                <w:b w:val="false"/>
                <w:i w:val="false"/>
                <w:caps w:val="false"/>
                <w:smallCaps w:val="false"/>
                <w:sz w:val="20"/>
              </w:rPr>
              <w:t xml:space="preserve"> Each of our innovative batteries features custom designed components to enhance power and 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This technology increases performance in cold weather conditions while possessing a unique heating solution that does not require an external energy source.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Extensive, Growing Patent Portfolio.</w:t>
            </w:r>
            <w:r>
              <w:rPr>
                <w:rFonts w:ascii="Times New Roman;Times;Serif" w:hAnsi="Times New Roman;Times;Serif"/>
                <w:b w:val="false"/>
                <w:i w:val="false"/>
                <w:caps w:val="false"/>
                <w:smallCaps w:val="false"/>
                <w:sz w:val="20"/>
              </w:rPr>
              <w:t xml:space="preserve"> We have developed and filed patent applications on commercially relevant aspects of our business including chemical compositions systems and production processes. To date, we have owned 50 issued patents, with an additional 38 patent applications pending, in the United States, Canada, Australia, Korea, Japan, India, China, and Europe (with individual patents in Germany, France and the United Kingdom).</w:t>
            </w:r>
          </w:p>
        </w:tc>
      </w:tr>
    </w:tbl>
    <w:p>
      <w:pPr>
        <w:pStyle w:val="TextBody"/>
        <w:bidi w:val="0"/>
        <w:spacing w:before="0" w:after="0"/>
        <w:ind w:left="324" w:right="0" w:hanging="324"/>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Proven Go-To-Market Strategy.</w:t>
            </w:r>
            <w:r>
              <w:rPr>
                <w:rFonts w:ascii="Times New Roman;Times;Serif" w:hAnsi="Times New Roman;Times;Serif"/>
                <w:b w:val="false"/>
                <w:i w:val="false"/>
                <w:caps w:val="false"/>
                <w:smallCaps w:val="false"/>
                <w:sz w:val="20"/>
              </w:rPr>
              <w:t xml:space="preserve"> We have developed strong working relationships with major OEMs and fleets across the RV, marine, and heavy-duty trucking markets, which represent the primary focus of our commercial strategy. We custom design and engineer storage systems for new and existing applications and continue to expand relationships with leading OEMs, fleets, and distributors. Our established DTC platform supports brand awareness, customer education, and aftermarket demand. Extensive informational content and customer support resources provide technical guidance and facilitate customer transition from traditional lead-acid or incumbent lithium-ion batteries to our products.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Established Customer Base with Brand Recognition.</w:t>
            </w:r>
            <w:r>
              <w:rPr>
                <w:rFonts w:ascii="Times New Roman;Times;Serif" w:hAnsi="Times New Roman;Times;Serif"/>
                <w:b w:val="false"/>
                <w:i w:val="false"/>
                <w:caps w:val="false"/>
                <w:smallCaps w:val="false"/>
                <w:sz w:val="20"/>
              </w:rPr>
              <w:t xml:space="preserve"> We have established a broad and diversified customer base that includes OEMs, distributors, upfitters, fleet operators, and end consumers across multiple end markets. Our products are deployed in a wide range of applications, including recreational vehicles, marine vessels, industrial and commercial power systems, and other mobile and stationary energy storage use cases.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 recognition developed through our aftermarket presence has supported increased adoption by OEMs and fleet customers, many of whom integrate our products into factory-installed or system-level solutions. We believe this combination of channel diversity, repeat customer engagement, and expanding OEM and fleet relationships provides visibility into future growth opportunities as we continue to deepen existing partnerships and broaden system-level offerings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High Quality Manufacturing Process.</w:t>
            </w:r>
            <w:r>
              <w:rPr>
                <w:rFonts w:ascii="Times New Roman;Times;Serif" w:hAnsi="Times New Roman;Times;Serif"/>
                <w:b w:val="false"/>
                <w:i w:val="false"/>
                <w:caps w:val="false"/>
                <w:smallCaps w:val="false"/>
                <w:sz w:val="20"/>
              </w:rPr>
              <w:t xml:space="preserve"> Unlike competitors that outsource their manufacturing processes, our batteries are designed, assembled and tested in the United States, ensuring that our manufacturing process is thoroughly tested and our batteries are of the highest quality as a result of governmental regulations for performance and safety.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Drop-in Replacement.</w:t>
            </w:r>
            <w:r>
              <w:rPr>
                <w:rFonts w:ascii="Times New Roman;Times;Serif" w:hAnsi="Times New Roman;Times;Serif"/>
                <w:b w:val="false"/>
                <w:i w:val="false"/>
                <w:caps w:val="false"/>
                <w:smallCaps w:val="false"/>
                <w:sz w:val="20"/>
              </w:rPr>
              <w:t xml:space="preserve"> Our battery modules are largely designed to be “drop-in replacements” for traditional lead-acid batteries, which means that 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leverage our competitive strengths, technology leadership and market share position to pursue our growth strategy through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Expand Product Offerings.</w:t>
            </w:r>
            <w:r>
              <w:rPr>
                <w:rFonts w:ascii="Times New Roman;Times;Serif" w:hAnsi="Times New Roman;Times;Serif"/>
                <w:b w:val="false"/>
                <w:i w:val="false"/>
                <w:caps w:val="false"/>
                <w:smallCaps w:val="false"/>
                <w:sz w:val="20"/>
              </w:rPr>
              <w:t xml:space="preserve"> In the near term, our strategy is to expand and deepen our product offerings by providing customers with integrated power solutions rather than standalone components. We continue to broaden our portfolio of LFP batteries across existing voltage platforms and capacities while expanding the complementary components that enable complete power systems. These components include power management, monitoring, and communication technologies that support seamless system integration across a range of applications.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began selling batteries equipped with Dragonfly IntelLigence, a proprietary monitoring and communication platform that enables system-level visibility, optimization, and data collection across battery banks. Building on this foundation, we are focused on delivering a more comprehensive and interoperable power ecosystem that simplifies system design, installation, and operation for OEMs, distributors, and end customers. We believe this system-oriented approach enhances customer value, supports repeat adoption across applications, and expands our opportunity within our existing customer base.</w:t>
            </w:r>
          </w:p>
        </w:tc>
      </w:tr>
    </w:tbl>
    <w:p>
      <w:pPr>
        <w:pStyle w:val="TextBody"/>
        <w:bidi w:val="0"/>
        <w:spacing w:before="0" w:after="0"/>
        <w:ind w:left="324" w:right="0" w:hanging="324"/>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Expand End Markets.</w:t>
            </w:r>
            <w:r>
              <w:rPr>
                <w:rFonts w:ascii="Times New Roman;Times;Serif" w:hAnsi="Times New Roman;Times;Serif"/>
                <w:b w:val="false"/>
                <w:i w:val="false"/>
                <w:caps w:val="false"/>
                <w:smallCaps w:val="false"/>
                <w:sz w:val="20"/>
              </w:rPr>
              <w:t xml:space="preserve"> We have identified additional end markets that we believe will increasingly adopt lithium-based energy storage solutions, including LFP batteries, as demand for reliable and efficient power grows. These markets include industrial and heavy-duty trucking applications, where adoption has progressed from pilot programs to early commercial deployments. While revenue contribution remains in the early stages, we have seen initial validation through production orders and expanding customer engagement. We aim to build on this momentum by continuing to develop products tailored to these end users.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Commercialize our Dry Electrode Cell Manufacturing Technology.</w:t>
            </w:r>
            <w:r>
              <w:rPr>
                <w:rFonts w:ascii="Times New Roman;Times;Serif" w:hAnsi="Times New Roman;Times;Serif"/>
                <w:b w:val="false"/>
                <w:i w:val="false"/>
                <w:caps w:val="false"/>
                <w:smallCaps w:val="false"/>
                <w:sz w:val="20"/>
              </w:rPr>
              <w:t xml:space="preserve"> We have developed and continue to advance our proprietary and patented dry electrode cell manufacturing technology, which is designed to enable the production of lithium-based battery cells across multiple chemistries using a less capital-intensive and more energy-efficient process than conventional wet coating methods. The dry deposition process is chemistry agnostic and supports manufacturing in a smaller physical footprint, contributing to lower total production costs. An independent third-party assessment found that this dry electrode manufacturing approach has the potential to be more scalable, cost-effective, and environmentally sustainable than conventional slurry-based processes. We have demonstrated the ability to manufacture both anode and cathode materials using this process and have produced sample cells incorporating PFAS-free binders and automotive-grade electrode loadings. Ongoing development efforts are focused on process optimization and equipment scaling to support future commercial deployment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Develop and Commercialize Solid-State Technology.</w:t>
            </w:r>
            <w:r>
              <w:rPr>
                <w:rFonts w:ascii="Times New Roman;Times;Serif" w:hAnsi="Times New Roman;Times;Serif"/>
                <w:b w:val="false"/>
                <w:i w:val="false"/>
                <w:caps w:val="false"/>
                <w:smallCaps w:val="false"/>
                <w:sz w:val="20"/>
              </w:rPr>
              <w:t xml:space="preserve"> We believe solid-state technology presents a significant advantage to all products currently on the market, with the potential to be lighter, smaller, safer and cheaper. Once we have optimized the chemistry of our LFP solid-state batteries to enhance conductivity and power, we intend to scale up for mass production of separate solid-state batteries for various applications and use cases.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 and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Chemistry Comparison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faster-charging batteries has led to the development of lithium-ion batteries and, within the lithium-ion battery market, different chemistries.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dominant battery chemistries in the lithium-ion market that can be used for different purposes. Two widely adopted chemistries found in the market today are nickel manganese cobalt (“</w:t>
      </w:r>
      <w:r>
        <w:rPr>
          <w:rFonts w:ascii="Times New Roman;Times;Serif" w:hAnsi="Times New Roman;Times;Serif"/>
          <w:b/>
          <w:i w:val="false"/>
          <w:caps w:val="false"/>
          <w:smallCaps w:val="false"/>
          <w:sz w:val="20"/>
        </w:rPr>
        <w:t>NMC</w:t>
      </w:r>
      <w:r>
        <w:rPr>
          <w:rFonts w:ascii="Times New Roman;Times;Serif" w:hAnsi="Times New Roman;Times;Serif"/>
          <w:b w:val="false"/>
          <w:i w:val="false"/>
          <w:caps w:val="false"/>
          <w:smallCaps w:val="false"/>
          <w:sz w:val="20"/>
        </w:rPr>
        <w:t>”), and nickel cobalt aluminum (“</w:t>
      </w:r>
      <w:r>
        <w:rPr>
          <w:rFonts w:ascii="Times New Roman;Times;Serif" w:hAnsi="Times New Roman;Times;Serif"/>
          <w:b/>
          <w:i w:val="false"/>
          <w:caps w:val="false"/>
          <w:smallCaps w:val="false"/>
          <w:sz w:val="20"/>
        </w:rPr>
        <w:t>NCA</w:t>
      </w:r>
      <w:r>
        <w:rPr>
          <w:rFonts w:ascii="Times New Roman;Times;Serif" w:hAnsi="Times New Roman;Times;Serif"/>
          <w:b w:val="false"/>
          <w:i w:val="false"/>
          <w:caps w:val="false"/>
          <w:smallCaps w:val="false"/>
          <w:sz w:val="20"/>
        </w:rPr>
        <w:t>”). The higher energy density and shorter cycle life found in NMC and NCA batteries are suitable for markets where fast charging and high energy density are required, such as electric vehicle (“</w:t>
      </w:r>
      <w:r>
        <w:rPr>
          <w:rFonts w:ascii="Times New Roman;Times;Serif" w:hAnsi="Times New Roman;Times;Serif"/>
          <w:b/>
          <w:i w:val="false"/>
          <w:caps w:val="false"/>
          <w:smallCaps w:val="false"/>
          <w:sz w:val="20"/>
        </w:rPr>
        <w:t>EV</w:t>
      </w:r>
      <w:r>
        <w:rPr>
          <w:rFonts w:ascii="Times New Roman;Times;Serif" w:hAnsi="Times New Roman;Times;Serif"/>
          <w:b w:val="false"/>
          <w:i w:val="false"/>
          <w:caps w:val="false"/>
          <w:smallCaps w:val="false"/>
          <w:sz w:val="20"/>
        </w:rPr>
        <w:t>”)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943600" cy="1819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18192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NMC batteries are highly dependent on two metals that present significant constraints - nickel, which is facing an industry-wide shortage, and cobalt, a large percentage of which comes from conflict-ridden countries. As a result, a growing number of companies are expected to transition to LFP batteries. Both of these elements 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higher for LFP batteries as compared to NMC and NCA batteries, making LFP batteries less flammable and safer.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lithium-ion batteries (including LFP batteries) is expected to increase as the fully loaded cost of energy (production and storage) approaches cost parity with inexpensive fossil fuel energy provided through the electric grid. Compared to NMC and NCA batteries, LFP batteries are at or much closer to grid parity.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Dry Electrode Cell Manufacturing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been developing proprietary dry-electrode manufacturing processes for which we have issued patents and pending patent applications, where appropriate. Dry-electrode manufacturing eliminates the use of toxic and expensive solvents and energy-intensive drying ovens in the cell manufacturing process. This in turn reduces the energy usage, space requirements, carbon footprint, and overall cost as compared to conventional slurry-based methods. Furthermore, the manufacturing technology is chemistry agnostic - meaning it can produce battery cells across a variety of different chemistries and application use cases. In 2023, we completed the construction of our dry-electrode manufacturing pilot line, demonstrated the ability to produce Anode and Cathode electrode tapes at scale using this manufacturing process. We have developed sample cells for prospective customers across a variety of chemistries and end-markets and are designing equipment for scaled production of full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Solid-State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LFP batteries are not without their disadvantages. While less flammable than other chemistries, the existence of a flammable liquid electrolyte still poses safety risks. Like all liquid-based lithium-ion batteries, LFP batteries have a potential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 </w:t>
      </w:r>
      <w:r>
        <w:rPr>
          <w:rFonts w:ascii="Times New Roman;Times;Serif" w:hAnsi="Times New Roman;Times;Serif"/>
          <w:b w:val="false"/>
          <w:i/>
          <w:caps w:val="false"/>
          <w:smallCaps w:val="false"/>
          <w:sz w:val="20"/>
        </w:rPr>
        <w:t>Research and Development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various industries with clean, reliable, and efficient power solutions through our comprehensive product portfolio. These products and solutions are sold to both OEMs and aftermarket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product line is Battle Born Batteries product line, respected for its exceptional performance and durability. When compared to traditional lead-acid options, Battle Born Batteries deliver two to three times the power in the same physical space, one-fifth the weight for equal usable power, and up to five times faster charging. Additionally, these batteries have extended lifespans of 3,000-5,000 cycles, translating to ten to fifteen years of reliable use under typical conditions. This longevity is backed by our 10-year warranty, showcasing our commitment to quality. The Battle Born Batteries product line currently features various sizes and configurations including models with proprietary built-in heating for cold weather charging and Dragonfly IntelLigence®, a communication technology that unlocks real-time monitoring, instant notifications, various protocol integration and superior battery protection. A focus on safety is central to our products, and all Battle Born Battery products utilize LiFePO4 chemistry, the safest lithium-ion chemistry available on the market. Additionally, our battery products undergo rigorous testing under stringent industry standards like UL Standard 2054, IEC 62133, UN 38.3 and IP65 to ensure safety and reliability.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beyond batteries, we also offer a diverse range of power products.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Battle Born Inverters and Inverter/Chargers. Our inverter and inverter/charger products provide pure sine wave AC power from DC battery systems and are designed for use in mobile, off-grid, and industrial applications. These systems support reliable power delivery for onboard electronics, appliances, and critical loads, and include features such as integrated transfer switching, configurable charging profiles, and compatibility with lithium and lead-acid battery chemistries. These products are designed to integrate with our battery systems as part of complete energy storage solutions.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Wakespeed Power Management Solutions. Our Wakespeed product line includes advanced power management and charging solutions designed to optimize battery system performance in mobile and industrial applications. The WS500 Advanced Alternator Regulator and WS500 Pro utilize real-time current, voltage, and temperature inputs to precisely control alternator output and battery charging. These systems support both lithium and lead-acid battery chemistries and are designed to improve charging efficiency, protect system components, and simplify installation and operation. In addition, we offer a 48V–12V bi-directional converter, which enables power transfer between voltage systems to support integrated, multi-voltage energy storage architectures.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Battle Born All-Electric APU and DualFlow Power Pack. Designed for heavy-duty trucking applications, our lithium-powered auxiliary power solutions provide stored energy to support hotel loads, including HVAC systems, appliances, and onboard electronics during driver rest periods. These systems are designed to reduce engine idling, lower fuel consumption, and improve driver comfort. Our DualFlow Power Pack integrates battery storage with vehicle power systems to enable efficient energy management while maintaining battery charge during operation. These solutions are pre-assembled and designed for streamlined integration into commercial vehicle platforms.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a distributor of leading brands like Victron, Rich Solar, and REDARC, we act as a one-stop shop for full system integration, catering to both OEMs and retail customers. Our complete offering allows customers to benefit from clean and sustainable power, extended lifespans, reduced costs, increased efficiency, and seamless integration - all backed by expert service and support.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Battery Management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battery management system is developed and tested in-house. It offers a complete solution for monitoring and controlling our complex battery systems and is designed to protect battery cells from damage in various scenarios. We believe our battery management system is industry-leading as it: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enables batteries to draw power under 135 degrees Fahrenheit, and is designed to cut off charging at 24 degrees Fahrenheit to protect cells;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actively monitors the rate of change of currents to detect and prevent short circuiting, and also protects against potential ground faults;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allows for up to an average of 300 amps continuously, 500 amp surges for 30 seconds, and momentary, half second maximum capacity surges;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enables batteries to recharge even if completely drained;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utilizes larger resistors to ensure balanced loads to improve performance and extend useful life;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facilitates scalability by enabling batteries to be combined in parallel and in series.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Battery Communication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 complete communication system branded Dragonfly IntelLigence,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began offering the Dragonfly IntelLigence product line to OEMs in the third quarter of 2024, and to retail consumers in the fourth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Alternator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Charging batteries in a vehicle, such as a boat or RV, often requires pulling electrical current off of the vehicle’s alternator. Alternator regulation is important to ensure that the alternator does not get unduly stressed during the current delivery to the batteries, and that the current delivery remains within the operating limits of the onboard battery bank. The acquisition of the assets of Wakespeed has allowed us to deliver our own proprietary solution to alternator regulation while also leveraging an established brand name. Wakespeed is especially popular in the marine industry, and our ability to offer this complete solution sets the stage for further penetration into marine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our current battery modules, we have several LFP products in development that will enable us to access additional end markets.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New Products.</w:t>
            </w:r>
            <w:r>
              <w:rPr>
                <w:rFonts w:ascii="Times New Roman;Times;Serif" w:hAnsi="Times New Roman;Times;Serif"/>
                <w:b w:val="false"/>
                <w:i w:val="false"/>
                <w:caps w:val="false"/>
                <w:smallCaps w:val="false"/>
                <w:sz w:val="20"/>
              </w:rPr>
              <w:t xml:space="preserve"> Our current offerings feature battery products that serve the RV, marine vessel and off-grid markets. Although manufacturing operations were previously capacity constrained the expansion into our new manufacturing facility will allow us to add production capacity and increase product offerings and scale based on demand.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our current batteries are 12 volt batteries, which provide 100 amp hours of energy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offer 24 voltage batteries, which currently deliver 50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expand our portfolio of 48 volt battery systems designed to improve efficiency and support larger-scale energy storage applications. These systems are expected to incorporate our Dragonfly IntelLigence platform to enable system monitoring, control, and performance optimization. These higher-voltage solutions are well-suited for applications requiring greater power capacity, including mobile, off-grid, and industrial use cases.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System Integrator.</w:t>
            </w:r>
            <w:r>
              <w:rPr>
                <w:rFonts w:ascii="Times New Roman;Times;Serif" w:hAnsi="Times New Roman;Times;Serif"/>
                <w:b w:val="false"/>
                <w:i w:val="false"/>
                <w:caps w:val="false"/>
                <w:smallCaps w:val="false"/>
                <w:sz w:val="20"/>
              </w:rPr>
              <w:t xml:space="preserve"> A natural evolution of our business is to offer customers a system integration solution providing more efficient power solutions at a cost-effective price point. We currently offer components and accessories necessary to build out complete lithium power systems, including solar panels, chargers and inverters, system monitoring, Wakespeed’s alternator regulators, accessories, and more. We have an in-house expert customer service team that assists customers in fully integrating their applications to our technologies for a seamless transition to lithium-based energy storage systems. Through our evolving technology and the customized architecture and application of our products, we are able to offer customers a seamless transition to creating a centralized coordinated system.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team has built up its efforts to support two main initiatives - (1) scale up of our patented dry electrode process for cell manufacturing and (2) the advanced manufacturing of solid-state lithium-ion batteries. We believe the dry electrode process can be leveraged to help us vertically integrate from a pack supplier to a cell supplier - positioning ourselves for long-term competitiveness in the given geopolitical, economic, and technological landscapes. Our innovations in dry electrode processing result in reduced manufacturing costs, CO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equivalents, and factory footprint while eliminating the need for solvents like N-Methyl-2-pyrrolidone (“</w:t>
      </w:r>
      <w:r>
        <w:rPr>
          <w:rFonts w:ascii="Times New Roman;Times;Serif" w:hAnsi="Times New Roman;Times;Serif"/>
          <w:b/>
          <w:i w:val="false"/>
          <w:caps w:val="false"/>
          <w:smallCaps w:val="false"/>
          <w:sz w:val="20"/>
        </w:rPr>
        <w:t>NMP</w:t>
      </w:r>
      <w:r>
        <w:rPr>
          <w:rFonts w:ascii="Times New Roman;Times;Serif" w:hAnsi="Times New Roman;Times;Serif"/>
          <w:b w:val="false"/>
          <w:i w:val="false"/>
          <w:caps w:val="false"/>
          <w:smallCaps w:val="false"/>
          <w:sz w:val="20"/>
        </w:rPr>
        <w:t>”). A third-party assessment conducted by Sphere Energy confirming these benefits has been completed in the first quarter of 2024 relating to cost effectiveness and sustainability of our dry electrode battery manufacturing process (the “</w:t>
      </w:r>
      <w:r>
        <w:rPr>
          <w:rFonts w:ascii="Times New Roman;Times;Serif" w:hAnsi="Times New Roman;Times;Serif"/>
          <w:b/>
          <w:i w:val="false"/>
          <w:caps w:val="false"/>
          <w:smallCaps w:val="false"/>
          <w:sz w:val="20"/>
        </w:rPr>
        <w:t>Sphere Energy Assessment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Energy Assessment concluded that our dry electrode battery manufacturing process resulted in a 9% reduced carbon footprint of cell manufacturing with no toxic NMP solvent required, resulting in a significantly more sustainable process. This sustainability advantage is further augmented by a 71% reduction in energy usage during electrode manufacturing using our process (spray drying, coating, calendaring) compared to standard cell manufacturing operations (slurry casting, drying, calendaring). By removing the need for large and expensive drying ovens, our manufacturing process requires 22% less square footage. The culmination of these advantages results in a 25% reduction in emissions from energy use, making our manufacturing process more sustainable and much more environmentally friendly as compared to conventional manufacturing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energy savings, the cost assessment found our process to be highly cost-effective with an estimated 5% savings (depending on cell chemistry) on process-related costs compared to conventional methods. Importantly, these savings were calculated without the additional cost benefits provided by domestically manufacturing battery cells such as Inflation Reduction Act tax credits (issued by the IRS), tariffs, and shipping.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dry electrode battery manufacturing process we employ uses a patented spray coating technology to adhere the anode and cathode electrodes, eliminating the need for large, energy-intensive equipment such as slurry coaters, conveyor dryers, and NMP processing equipment. This process is chemistry agnostic, allowing for the various applications, such as electric vehicles, consumer electronics, and energy storage, which is expected to enable us to expand into new markets and to achieve our goal of domestically producing nonflammable all-solid-state battery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successfully produced anode and cathode electrode reels at scale using the dry electrode process and are now qualifying prototype cells for the core business and potential partners. When compared to slurry cast electrode tapes, which is the conventional manufacturing method, electrode tapes produced using the dry electrode process match or surpass mechanical integrity and electrochemical performance. We are considering joint development agreements, licensing agreements, and offtake agreements as instruments of partnership with interested parties.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comparison with traditional manufacturing methods, our patented process leverages two off-the-shelf technologies to deliver the stated cell manufacturing benefits - spray drying and electrostatic powder coating. Technical risk is reduced by using off-the-shelf equipment and both unit operations continue to be optimized in 2025. A new set of spray dryers have arrived at our facility in the second quarter of 2024, enabling us to produce larger volumes of material for the electrode coating lines. However, we have delayed the deployment of these spray dryers until at least the third quarter of 2027 as we focus on designing larger-scale electrode coating equipment.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943600" cy="2743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27432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our patented to be chemistry agnostic and capable of producing current cell chemistries (graphite, LCO, LFP, LTO, NCA, NMC, LTO, silicon, etc.) and next generation cell chemistries (sodium-ion, solid-state, ionic liquid electrolytes, etc.). We believe this flexibility and our robust intellectual property protection internationally positions us well for potential partnerships with cell manufacturers, EV companies, and other pack suppliers in need of cell capacity. The next stage in technical development is to produce larger volumes of sample cells for qualification. These production runs will be completed with partners in the United States and at our own facilities. We have invested significant resources into developing an in-house comprehensive understanding of cell manufacturing - raw material qualification, quality control such as, cell failure diagnostics, aging, and formation processes. Our research and development Lab is equipped with over $20 million in research infrastructure to support the development of new cell chemistries, process quality control, failure diagnostics, and more. This equipment includes quality control instruments (ex. moisture analysis, particle size analysis, peel testing and titrations) and cutting-edge research instrumentation such as en operando nuclear magnetic resonance (“</w:t>
      </w:r>
      <w:r>
        <w:rPr>
          <w:rFonts w:ascii="Times New Roman;Times;Serif" w:hAnsi="Times New Roman;Times;Serif"/>
          <w:b/>
          <w:i w:val="false"/>
          <w:caps w:val="false"/>
          <w:smallCaps w:val="false"/>
          <w:sz w:val="20"/>
        </w:rPr>
        <w:t>NMR</w:t>
      </w:r>
      <w:r>
        <w:rPr>
          <w:rFonts w:ascii="Times New Roman;Times;Serif" w:hAnsi="Times New Roman;Times;Serif"/>
          <w:b w:val="false"/>
          <w:i w:val="false"/>
          <w:caps w:val="false"/>
          <w:smallCaps w:val="false"/>
          <w:sz w:val="20"/>
        </w:rPr>
        <w:t>”), electron microscopes with lithium-tracking capabilities, and en operando x-ray diffraction. This infrastructure has allowed us to optimize the dry-electrode process, allowing our team to match or surpass traditional electrode tape performance and mechanical integrity. Because our process is dry and the active material is coated directly onto the current collector, interfacial and composite resistivity of the electrode tapes often surpass the quality of slurry cast equivalents.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943600" cy="2371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23717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solid-state technology continues to progress as we qualify new chemistries and refine the dry electrode process for solid-state applications. Currently, we are cycling solid-state coin cells, although we have delayed the production of prototype pouch cells until at least the beginning of 2027. These cell chemistries are nonflammable, solid-state, and an LFP/graphite cell chemistry. We believe these cells will be a pivotal technology in grid storage applications once fully deployed. We intend to integrate our conventional and solid-state cells produced using our dry-electrode process into the existing Dragonfly Energy and Battle Born Batteries product portfolios.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Headquarters, Manufacturing, and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8, 2022, we entered into a 124-month lease for an additional 390,240 square foot warehouse. In November 2024, we relocated our headquarters from our 99,000 square foot facility in Reno, Nevada to our new 390,240 square foot facility also in Reno, Nevada, which has allowed us to increase our production capacity and gives us the ability to increase sales to existing customers and penetrate new markets. Our 390,240 square foot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do not own any real estate property. We currently have four production lines. We continue to have the capability to expand our production volumes and line quantities to support increased volumes of new products we intend to introduce soon.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process is divided into two aspects - (1) module assembly and (2)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fully discharged, recharged fully,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943600" cy="1362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13620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long-standing relationships with these suppliers, we are able to source LFP cells on favorable terms and within reasonable lead-times.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look toward the production of our traditional and solid-state cells, we have signed a Commercial Offtake Agreement with a lithium mining company and a lithium recycling company, both located in Nevada for the supply of lithium.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 RV OEM Strategic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serve more than 23,000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years ended December 31, 2025 and 2024, OEM sales represented 63.0% and 54.5% of our total revenues,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deep, long-standing relationships with many of our customers. We also have a diverse customer base, with our top 10 customers accounting for 57.5% of our revenue for the year ended December 31, 2025, in which only two customers accounted for more than 10% of our revenue. Our customers primarily utilize our products for RVs, marine vessels and off-grid residences. We work directly with OEMs to ensure compatibility with existing designs and also collaborate on custom designs for new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On November 19, 2021, we entered into a long-term Manufacturing Supply Agreement with Keystone, a member of the THOR group and the largest towable RV OEM in North America (the “</w:t>
      </w:r>
      <w:r>
        <w:rPr>
          <w:rFonts w:ascii="Times New Roman;Times;Serif" w:hAnsi="Times New Roman;Times;Serif"/>
          <w:b/>
          <w:i w:val="false"/>
          <w:caps w:val="false"/>
          <w:smallCaps w:val="false"/>
          <w:sz w:val="20"/>
        </w:rPr>
        <w:t>Supply Agreement</w:t>
      </w:r>
      <w:r>
        <w:rPr>
          <w:rFonts w:ascii="Times New Roman;Times;Serif" w:hAnsi="Times New Roman;Times;Serif"/>
          <w:b w:val="false"/>
          <w:i w:val="false"/>
          <w:caps w:val="false"/>
          <w:smallCaps w:val="false"/>
          <w:sz w:val="20"/>
        </w:rPr>
        <w:t>”). Under the Supply Agreement, we will be the exclusive supplier to Keystone for certain of its future LFP battery requirements, solidifying our long standing relationship with Keystone.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we strengthened our ties with the THOR group of RV OEMs when (i) THOR Industries made a $15,000,000 strategic investment in us and (ii) we agreed to enter into a future, mutually agreed distribution arrangement and joint IP development arrangement. This arrangement helps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has not been executed and is subject to negotiation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seek to grow our customer base within our existing segments; however, we also believe that our products are well suited to address the needs in additional segments, including residential, commercial and/or industrial standby power, long-haul trucking,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proven sales and marketing strategy has allowed us to penetrate our current end markets efficiently. We have established a highly efficient sales and marketing strategy, to penetrate targeted end markets and ensuring prominent visibility for our Battle Born Batteries and Wakespeed brands. We prioritize educating our customer base about the benefits of LFP batteries as a superior investment compared to traditional lead-acid options. Informational videos published on our website and social media platforms highlight these advantages, complemented by written guides that assist customers in configuring, installing, and utilizing battery systems and accessories. This messaging is further reinforced through our active presence at tradeshows, live webinars, and other in-person training events with dealers and customers, fostering direct engagement and ensuring comprehensive product understanding. Participation in these events fosters strong relationships with both OEMs and retail customers, keeping us attuned to evolving preferences. By leveraging this customer feedback, we collaborate with major OEMs to design solutions tailored to new and existing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foster relationships with key industry publications, securing valuable editorial coverage that showcases our innovative power solutions and how they are used. We believe these strategic collaborations position our brands as industry leaders within our markets and to the general public as a whole, further strengthening brand awareness and consumer confidence.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leverage targeted pay-per-click advertising campaigns across various platforms, including search engines, and social media. This data driven approach ensures efficient conversion of high-intent customers at the bottom of the purchase funnel, maximizing return on investment and driving targeted brand awareness among potential buyers.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relationships with retail customers remain a core value. Our user-friendly website facilitates direct purchases of Battle Born Batteries and Wakespeed products, along with well-known third-party components, allowing customers to explore and acquire complete system solutions in one convenient location. Furthermore, a dedicated team of in-house experts provides comprehensive sales, technical, and service support to ensure our valued customers receive exceptional care and expertise.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energy storage market is highly competitive, with traditional lead-acid batteries still dominating. However, lithium-ion adoption continues to grow as customers seek better performance and longer lifespans. We compete with traditional lead-acid manufacturers and distributers, such as East Penn, Trojan, and Interstate and companies importing and white-labeling low-cost lithium products. This influx of inexpensive overseas batteries has intensified price competition. We believe our products stand out through American design and assembly, premium components, superior customer service, and full system design capabilities. Our batteries are lighter and longer-lasting compared to traditional lead-acid batteries, and easy to install as direct replacements for lead-acid batteries. Proprietary technologies, including advanced battery management systems, integrated heat capabilities, and intelligent battery communication, ensure reliable, high-performance energy storage as compared to traditional lead-acid batteries and other lithium-ion products.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technology-focused energy storage companies such as EOS Energy, ESS and 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owned 50 issued patents and 38 filed and pending patent applications. The pending patent applications are down from prior year since we abandoned 9 that were no longer useful. The patents and patent applications cover the United States, Canada, Australia, Korea, Japan, India, China, and Europe (with individual patents in Germany, France and the United Kingdom). We periodically review and update our patent portfolio to protect our products and newly developed technologies. Currently, we have a combination of issued patents and pending patent applications covering the ornamental design of our GC2 and GC3 batteries, a device and method for monitoring battery systems, pre-coated solid-state electrolyte and electroactive powders and their methods of manufacture, methods and systems for the dry spray deposition of materials in an electrochemical cell; a thermal fuse; battery systems implementing a mesh network communication protocol; a power charging system for use during towing of a vehicle; and a power charging system with temperature based charging control. These patents are expected to have expired or expire between May 2033 and 2043, absent any patent term adjustments or extensions.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review our development efforts to assess the existence and patentability of new intellectual property. We pursue the registration of our domain names and trademarks and service marks in the United States and other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effort to protect our brand, as of December 31, 2025, we owned 41 trademarks globally. Dragonfly owns 18 trademark registrations to cover our house marks in the United States, including 8 registered trademarks for our design marks in the United States and we have 23 registered trademarks internationally.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 and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operate from a dedicated leased manufacturing facility located in Reno, Nevada as well as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such as policies relating to workplace safety, fire prevention, hazardous material management and other emergency action plans. We train our employees and conduct audits of our operations to assess our fulfillment of these policies.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141 employees: 137 full-time, 1 part-time and 3 interns.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Safety</w:t>
            </w:r>
            <w:r>
              <w:rPr>
                <w:rFonts w:ascii="Times New Roman;Times;Serif" w:hAnsi="Times New Roman;Times;Serif"/>
                <w:b w:val="false"/>
                <w:i w:val="false"/>
                <w:caps w:val="false"/>
                <w:smallCaps w:val="false"/>
                <w:sz w:val="20"/>
              </w:rPr>
              <w:t> - Employees are regularly educated in safety around their workspaces, and employees participate in volunteer roles on a safety committee, and in emergency readiness roles. We have a dedicated safety coordinator who tracks and measures our performance, and helps us benchmark our safety programs against our peers.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Diversity, Equity &amp; Inclusion</w:t>
            </w:r>
            <w:r>
              <w:rPr>
                <w:rFonts w:ascii="Times New Roman;Times;Serif" w:hAnsi="Times New Roman;Times;Serif"/>
                <w:b w:val="false"/>
                <w:i w:val="false"/>
                <w:caps w:val="false"/>
                <w:smallCaps w:val="false"/>
                <w:sz w:val="20"/>
              </w:rPr>
              <w:t> - Our culture has benefitted from the diversity of our workforce from the very beginning. Inclusion and equity are “baked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Collaboration</w:t>
            </w:r>
            <w:r>
              <w:rPr>
                <w:rFonts w:ascii="Times New Roman;Times;Serif" w:hAnsi="Times New Roman;Times;Serif"/>
                <w:b w:val="false"/>
                <w:i w:val="false"/>
                <w:caps w:val="false"/>
                <w:smallCaps w:val="false"/>
                <w:sz w:val="20"/>
              </w:rPr>
              <w:t> - As we grow, opportunities for cross-functional collaboration are not as organic as they used to be. We have responded to that change by staying mindful and acting intentionally to gather cross-functional input on new initiatives and continuous improvement efforts.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Continuous Improvement</w:t>
            </w:r>
            <w:r>
              <w:rPr>
                <w:rFonts w:ascii="Times New Roman;Times;Serif" w:hAnsi="Times New Roman;Times;Serif"/>
                <w:b w:val="false"/>
                <w:i w:val="false"/>
                <w:caps w:val="false"/>
                <w:smallCaps w:val="false"/>
                <w:sz w:val="20"/>
              </w:rPr>
              <w:t> - We apply continuous improvement measures to processes as well as people. We encourage professional development of our employees, through ongoing learning, credentialing, and collaboration with their industry peers.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performance-based compensation that rewards individual and organizational achievements.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we implemented a strategic cost realignment designed to reduce operating expenses, better align incentives with shareholders and sharpen our focus on our commercial channels, including OEM, trucking, and industrial end markets. We expect the initiative to generate approximately $8.9 million in annualized savings. Key elements of the initiative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Board and Executive Leadership Compensation Adjustments</w:t>
            </w:r>
            <w:r>
              <w:rPr>
                <w:rFonts w:ascii="Times New Roman;Times;Serif" w:hAnsi="Times New Roman;Times;Serif"/>
                <w:b w:val="false"/>
                <w:i w:val="false"/>
                <w:caps w:val="false"/>
                <w:smallCaps w:val="false"/>
                <w:sz w:val="20"/>
              </w:rPr>
              <w:t>: Each member of our executive leadership team and Board of Directors has agreed to reduce their cash compensation by approximately 20% for the remainder of fiscal 2026, effective April 1, 2026. In lieu of cash compensation, they have received equity-based incentives, aligning incentives with long-term shareholder value.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Workforce and Compensation Adjustments</w:t>
            </w:r>
            <w:r>
              <w:rPr>
                <w:rFonts w:ascii="Times New Roman;Times;Serif" w:hAnsi="Times New Roman;Times;Serif"/>
                <w:b w:val="false"/>
                <w:i w:val="false"/>
                <w:caps w:val="false"/>
                <w:smallCaps w:val="false"/>
                <w:sz w:val="20"/>
              </w:rPr>
              <w:t>: We have implemented a 20% reduction in total payroll expense through a combination of targeted workforce reductions and salary adjustments. Non-executive employees participating in salary reductions have received equity-based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Reduction in Discretionary Spending</w:t>
            </w:r>
            <w:r>
              <w:rPr>
                <w:rFonts w:ascii="Times New Roman;Times;Serif" w:hAnsi="Times New Roman;Times;Serif"/>
                <w:b w:val="false"/>
                <w:i w:val="false"/>
                <w:caps w:val="false"/>
                <w:smallCaps w:val="false"/>
                <w:sz w:val="20"/>
              </w:rPr>
              <w:t>: We are reducing discretionary spending, including a reduction in DTC-focused marketing expenses, as we shifts resources towards growing commercial revenues.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Facility Consolidation</w:t>
            </w:r>
            <w:r>
              <w:rPr>
                <w:rFonts w:ascii="Times New Roman;Times;Serif" w:hAnsi="Times New Roman;Times;Serif"/>
                <w:b w:val="false"/>
                <w:i w:val="false"/>
                <w:caps w:val="false"/>
                <w:smallCaps w:val="false"/>
                <w:sz w:val="20"/>
              </w:rPr>
              <w:t>: We are consolidating our rental space, which is expected to result in a $4.0 million reduction in expenses.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we completed the merger in connection with our business combination. On March 31, 2023, we changed our state of incorporation from the State of Delaware to the State of Nevada (the “</w:t>
      </w:r>
      <w:r>
        <w:rPr>
          <w:rFonts w:ascii="Times New Roman;Times;Serif" w:hAnsi="Times New Roman;Times;Serif"/>
          <w:b/>
          <w:i w:val="false"/>
          <w:caps w:val="false"/>
          <w:smallCaps w:val="false"/>
          <w:sz w:val="20"/>
        </w:rPr>
        <w:t>Reincorporation</w:t>
      </w:r>
      <w:r>
        <w:rPr>
          <w:rFonts w:ascii="Times New Roman;Times;Serif" w:hAnsi="Times New Roman;Times;Serif"/>
          <w:b w:val="false"/>
          <w:i w:val="false"/>
          <w:caps w:val="false"/>
          <w:smallCaps w:val="false"/>
          <w:sz w:val="20"/>
        </w:rPr>
        <w:t>”) pursuant to a plan of conversion dated March 30, 2023.The mailing address of our principal executive office is 12915 Old Virginia Road, Reno, Nevada 89521, and our telephone number is (775) 622-3448.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2025, we effected a reverse stock split of our issued and outstanding common stock at a ratio of 1-for-10 (the “</w:t>
      </w:r>
      <w:r>
        <w:rPr>
          <w:rFonts w:ascii="Times New Roman;Times;Serif" w:hAnsi="Times New Roman;Times;Serif"/>
          <w:b/>
          <w:i w:val="false"/>
          <w:caps w:val="false"/>
          <w:smallCaps w:val="false"/>
          <w:sz w:val="20"/>
        </w:rPr>
        <w:t>Reverse Stock Split</w:t>
      </w:r>
      <w:r>
        <w:rPr>
          <w:rFonts w:ascii="Times New Roman;Times;Serif" w:hAnsi="Times New Roman;Times;Serif"/>
          <w:b w:val="false"/>
          <w:i w:val="false"/>
          <w:caps w:val="false"/>
          <w:smallCaps w:val="false"/>
          <w:sz w:val="20"/>
        </w:rPr>
        <w:t>”). Shares of common stock underlying outstanding stock options and other equity instruments convertible into common stock were proportionately reduced and the respective exercise prices, if applicable, were proportionately increased in accordance with the terms of the agreements governing such securities in connection with the Reverse Stock Split. No fractional shares were issued in connection with the Reverse Stock Split. The Company paid cash in lieu of any fractional shares to which a stockholder of record was otherwise entitled as a result of the Reverse Stock Split. All of our historical share and per share information related to issued and outstanding common stock and outstanding options and warrants exercisable for common stock included or incorporated by reference in this prospectus have been adjusted, on a retroactive basis, to reflect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periodic reports, proxy statements and other information with the SEC. Such reports, proxy statements and other information may be obtained, free of charge, by visiting the SEC’s website at www.sec.gov that contains all of the reports, proxy and information statements, and other information that we electronically file or furnish to the SEC. We also maintain a website at www.dragonflyenergy.com where we make available the proxy statements, press releases, registration statements and reports on Forms 3, 4, 8-K, 10-K and 10-Q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 w:name="a_003"/>
      <w:bookmarkEnd w:id="41"/>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common stock is speculative and illiquid and involves a high degree of risk including the risk of a loss of your entire investment. You should carefully consider the risks and uncertainties described below and the other information contained in this report and our other reports filed with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caps w:val="false"/>
          <w:smallCaps w:val="false"/>
          <w:sz w:val="20"/>
        </w:rPr>
        <w:t>”). The risks set forth below are not the only ones facing us. Additional risks and uncertainties may exist that could also adversely affect our business, operations and financial condition. If any of the following risks actually materialize, our business, financial condition and/or operations could suffer. In such event, the value of our common stock could decline, and you could lose all or a substantial portion of the money that you pay for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Existing Lithium-Ion Battery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future growth depends on the needs and success of our customers.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competitive industry. We expect that the level of competition will increase and the nature of our competitors will change as we develop new LFP battery products for, and enter into, new markets, and as the competitive landscape evolves.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suppliers to provide our LFP cells and a single supplier for the manufacture of our battery management system. Any disruption in the operations of these key suppliers could adversely affect our business and results of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and likely will continue to be, dependent on a single manufacturing facility. If our facility becomes inoperable for any reason, or our automation and expansion plans do not yield the desired effects, our ability to produce our products could be negatively impacted.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Solid-State Technology Development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engineering challenges in our attempts to develop and manufacture solid-state battery cells and these efforts may be delayed or fail which could negatively impact our business.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make significant investments in our continued research and development of solid-state battery technology development, and we may be unable to adequately control the costs associated with manufacturing our solid-state battery cells.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solid-state batteries fail to perform as expected, our ability to further develop, market and sell our solid-state batteries could be harmed.</w:t>
            </w:r>
          </w:p>
        </w:tc>
      </w:tr>
    </w:tbl>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Supply chain and Third-Party Vendors</w:t>
      </w:r>
    </w:p>
    <w:p>
      <w:pPr>
        <w:pStyle w:val="TextBody"/>
        <w:bidi w:val="0"/>
        <w:spacing w:before="0" w:after="0"/>
        <w:ind w:left="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components and other inputs that are sourced from a variety of domestic and international vendors.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long-term relationships with our suppliers but have not significant long-term contracts with such suppliers.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will depend in large measure upon our ability to maintain our existing supplier relationships and/or develop new ones.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reliance exposes us to the risk of inadequate and untimely supplies of various products due to political, economic, social, health, or environmental conditions, transportation delays, or changes in laws and regulations affecting distribution.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vendors may be forced to reduce their production, shut down their operations or file for bankruptcy protection, which could make it difficult for us to serve the market needs and could have a material adverse effect on our business.</w:t>
            </w:r>
          </w:p>
        </w:tc>
      </w:tr>
    </w:tbl>
    <w:p>
      <w:pPr>
        <w:pStyle w:val="TextBody"/>
        <w:bidi w:val="0"/>
        <w:spacing w:before="0" w:after="0"/>
        <w:ind w:left="1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Intellectual Property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upon our intellectual property portfolio. If we are unable to protect our intellectual property rights, our business and competitive position would be harmed.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defend ourselves against intellectual property infringement claims, which may be time-consuming and could cause us to incur substantial costs.</w:t>
            </w:r>
          </w:p>
        </w:tc>
      </w:tr>
    </w:tbl>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uncertainty in global and macroeconomic conditions, including economic, political and socials instability, could reduce consumer spending and disrupt our supply chain which could negatively affect our results of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one or more members of our senior management team, other key personnel or our failure to attract additional qualified personnel may adversely affect our business and our ability to achieve our anticipated level of growth.</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manage our growth effectively, we may be unable to execute our business plan, maintain high levels of customer service, or adequately address competitive challenges.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 could impact our operations, including changes in the rates of tariffs or any adjustments to the amounts payable by us to customs as a result of improperly identifying the applicable tariff rate payable on our products.</w:t>
            </w:r>
          </w:p>
        </w:tc>
      </w:tr>
    </w:tbl>
    <w:p>
      <w:pPr>
        <w:pStyle w:val="TextBody"/>
        <w:bidi w:val="0"/>
        <w:spacing w:before="0" w:after="0"/>
        <w:ind w:left="324" w:right="0" w:hanging="32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Being a Public Company</w:t>
      </w:r>
    </w:p>
    <w:p>
      <w:pPr>
        <w:pStyle w:val="TextBody"/>
        <w:bidi w:val="0"/>
        <w:spacing w:before="0" w:after="0"/>
        <w:ind w:left="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incur significant increased expenses and administrative burdens as a public company, which could have an adverse effect on our business, financial condition and operating results.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has limited experience managing a public company.</w:t>
            </w:r>
          </w:p>
        </w:tc>
      </w:tr>
    </w:tbl>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Financial Position and Capital Requirements related our ability to continue as a going concern</w:t>
      </w:r>
    </w:p>
    <w:p>
      <w:pPr>
        <w:pStyle w:val="TextBody"/>
        <w:bidi w:val="0"/>
        <w:spacing w:before="0" w:after="0"/>
        <w:ind w:left="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 well as our independent registered public accounting firm, have expressed substantial doubt about our ability to continue as a going concern.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capital intensive, and we may not be able to raise additional capital on attractive terms, if at all. Any further indebtedness we incur may limit our operational flexibility in the future.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tc>
      </w:tr>
    </w:tbl>
    <w:p>
      <w:pPr>
        <w:pStyle w:val="TextBody"/>
        <w:bidi w:val="0"/>
        <w:spacing w:before="0" w:after="0"/>
        <w:ind w:left="324" w:right="0" w:hanging="32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Ownership of Our Common Stock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continue to meet the Nasdaq Stock Market continued listing standards our common stock and Public Warrants may be delisted from the Nasdaq Stock Market;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debt securities and equity securities may adversely affect us and may be dilutive to existing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shares of our common stock or other equity securities without your approval, which would dilute your ownership interests and may depress the market price of your shares.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Existing Lithium-Ion Battery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future growth depends on the needs and success of our OEM’s and similar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including sales to OEM</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Agreement with Keystone RV Company, or Keystone, the largest manufacturer of towable RVs in North America, Keystone has agreed to fulfill certain of its LFP battery requirements exclusively through us for at least one year, with automatic annual renewals. However, although in time we expect Keystone to be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Increased overall RV OEM sales in the future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and renew our supply agreements;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near-term growth depends, in part, on the continued growth of the end markets in which we currently operate. According to third-party industry data, the global recreational vehicle market was approximately $62.9 billion in 2024 and is projected to grow to approximately $168.3 billion by 2033. However, these markets may not grow as expected or at all, and we may be unable to maintain existing customers and/or attract new customers in these markets. Our failure to maintain or expand our share of these markets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engage target customers successfully and convert these customers into meaningful orders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brands,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solid-state battery technologies better suited for other applications such as EV’s to our target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in part, upon our ability to expand into additional end markets identified by us as opportunities for our LFP batteries. These markets include heavy-duty trucking, industrial solar integration,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two suppliers to provide our LFP cells and a single supplier for the manufacture of our battery management system. Any disruption in the operations of these key suppliers could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and we intend to continue to rely on these suppliers going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our dependence on these third-party suppliers entails additional risks, including:</w:t>
      </w:r>
    </w:p>
    <w:p>
      <w:pPr>
        <w:pStyle w:val="TextBody"/>
        <w:bidi w:val="0"/>
        <w:spacing w:before="0" w:after="0"/>
        <w:ind w:left="32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failure or unwillingness of third-party suppliers to comply with regulatory requirements;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 of supply agreements by the third-party suppliers;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misappropriation or disclosure of our proprietary information, including our trade secrets and know-how;</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or nonrenewal of agreements by third-party suppliers at times that are costly or inconvenient for us.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accurately estimate future demand for our LFP batteries, and our failure to accurately predict our production requirements could result in additional costs or delays.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maintain approximately a six-month supply of LFP cells and other critical components by pre-ordering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would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experienced rising materials costs due to inflation, which we partially mitigated through increases in our product prices, where we thought it to be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dependent on one manufacturing facility. If our facility becomes inoperable for any reason, or our automation and expansion plans do not yield the desired effects, our ability to produce our products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390,240 square foot headquarters and manufacturing facility located in Reno, Nevada. We currently operate three LFP battery production lines, which has been sufficient to meet customer demand. If one or several production lines were to become inoperable for any period of time, we would face delays in meeting orders, which could prevent us from meeting demand or require us to incur unplanned costs, including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facilities may be harmed or rendered inoperable by natural or man-made disasters, including earthquakes, flooding, fire and power outages, utility and transportation infrastructure disruptions, acts of war or terrorism, or by public health crises,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In November 2024, we relocated our headquarters and production lines to a 390,240 square foot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Lithium-ion battery cells have been observed to catch fire or release smoke and flame, which may have a negative impact on our reputation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LFP batteries use lithium iron phosphate (LiFePO4)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are and may in the future be subject to product liability claims, which could harm our financial condition and liquidity if we are not able to successfully defend or insure against such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batteries include our proprietary battery management system, which relies on software and hardware manufactured by third parties that is complex and technical. In addition, Dragonfly IntelLigence, our battery communications system which we launched in the first quarter 2023, utilizes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Solid-State Technology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engineering challenges in our attempts to develop and manufacture solid-state battery cells and these efforts may be delayed or fail which could reduce consumer spending which could negatively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solid-state battery development efforts are still ongoing, and we may fail to meet our goal of commercially selling LFP batteries incorporating our manufactured solid-state cells, or at all. We may encounter delays in the design, manufacture and launch of our solid-state battery cells, and in increasing production to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purchase the battery cells incorporated into our LFP batteries and have limited experience in manufacturing battery cells at a commercial scale.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make significant investments in our continued research and development of solid-state battery technology development, and we may be unable to adequately control the costs associated with manufacturing our solid-state battery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solid-state batteries fail to perform as expected, our ability to further develop, market and sell our solid-state batteries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Supply Chain and Third-Party Vendors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associated with vendors from whom our products are sourced.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products we sell rely on components and other inputs that are sourced from a variety of domestic and international vendors. We rely on long-term relationships with our suppliers but have no significant long-term contracts with such suppliers. Our future success will depend in large measure upon our ability to maintain our existing supplier relationships and/or to develop new ones. This reliance exposes us to the risk of inadequate and untimely supplies of various products due to political, economic, social, health, or environmental conditions, transportation delays, or changes in laws and regulations affecting distribution. Our vendors may be forced to reduce their production, shut down their operations or file for bankruptcy protection, which could make it difficult for us to serve the market needs and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select these third-party vendors carefully, we do not control their actions or the manufacture of their products. Any problems caused by these third parties, or issues associated with their products or workforce, including customer or governmental complaints, breakdowns or other disruptions in communication services provided by a vendor, failure of a vendor to handle current or higher volumes, and cyber-attacks or security breaches at a vendor could subject us to litigation and adversely affect our ability to deliver products and services to its customers and have a material adverse effect on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foreign manufacturers for various products that are incorporated into the products we sell. In addition, many of our domestic suppliers purchase a portion of their products from foreign sources. As an importer, our business is subject to the risks generally associated with doing business internationally, such as domestic and foreign governmental regulations, economic disruptions, global or regional health epidemics, delays in shipments, transportation capacity and costs, currency exchange rates, and changes in political or economic conditions in countries from which we purchase products. If any such factors were to render the conduct of business in particular countries undesirable or impractical or if additional U.S. quotas, duties, tariffs, taxes, or other charges or restrictions were imposed upon the importation of our products in the future, our financial condition and results of operations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political landscape in the U.S. contains uncertainty with respect to tax and trade policies, tariffs and regulations affecting trade between the U.S. and other countries. We source a portion of our merchandise from manufacturers located outside the U.S., primarily in Asia. Major developments in tax policy or trade relations, such as the disallowance of tax deductions for imported merchandise or the imposition of tariffs on imported products, could have a material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manufacturers located in foreign countries, including China, for merchandise. Additionally, a portion of our domestically purchased merchandise is manufactured abroad. Our business may be materially adversely affected by risks associated with international trade, including the impact of current or potential tariffs by the U.S. with respect to certain consumer goods imported from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U.S. trade policy, including recently announced tariffs, could have a material adverse impact on our business, financial condition, and results of operations. We source a portion of our merchandise from manufacturers located outside the U.S., primarily in Asia, and many of our domestic vendors have a global supply chain. The U.S. has imposed tariffs on certain products imported into the U.S. from China and could propose additional tariffs. The imposition of tariffs on imported products could result in reduced sales and profits. It remains unclear how tax or trade policies, tariffs or trade relations may further evolve under the current U.S. administration, and how such policies could adversely affect our business, results of operations, effective income tax rate, liquidity, and 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imposition of tariffs by the U.S. has resulted in the adoption of retaliatory tariffs by China on U.S. exports and could result in the adoption of tariffs by other countries as well. A resulting trade war could have a significant adverse effect on world trade and the global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the impact of the effective and potential tariffs on our supply chain, costs, sales, and profitability as well as our strategies to mitigate any negative impact, including negotiating with our vendors, and seeking alternative sourcing options. Given the uncertainty regarding the scope and duration of the current and potential tariffs, as well as the potential for additional trade actions by the U.S. or other countries, the impact on our business, results of operations, and financial condition is uncertain but could be significant. Thus, we can provide no assurance that any strategies we implement to mitigate the impact of such tariffs or other trade actions will be successful in whole or in part. To the extent that our supply chain, costs, sales, or profitability are negatively affected by the tariffs or other trade actions, our business, financial condition, and results of operations may be materially adversely affected. In 2024, we identified an underpayment of tariffs to U.S. Customs and Border Protection (“</w:t>
      </w:r>
      <w:r>
        <w:rPr>
          <w:rFonts w:ascii="Times New Roman;Times;Serif" w:hAnsi="Times New Roman;Times;Serif"/>
          <w:b/>
          <w:i w:val="false"/>
          <w:caps w:val="false"/>
          <w:smallCaps w:val="false"/>
          <w:sz w:val="20"/>
        </w:rPr>
        <w:t>CBP</w:t>
      </w:r>
      <w:r>
        <w:rPr>
          <w:rFonts w:ascii="Times New Roman;Times;Serif" w:hAnsi="Times New Roman;Times;Serif"/>
          <w:b w:val="false"/>
          <w:i w:val="false"/>
          <w:caps w:val="false"/>
          <w:smallCaps w:val="false"/>
          <w:sz w:val="20"/>
        </w:rPr>
        <w:t>”) in the amount of approximately $1.58 million in the aggregate, related to the improper classification and valuation of certain of the products used in our batteries. The underpayment related to years 2021 through 2023. We have reported the underpayment to CBP. In the event CBP determines that we owe additional amounts or any penalties or determines in the future that we have not paid the correct duties, our results of operations could be materially impacted.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geopolitical conditions, U.S.-China trade relations and other factors beyond our control may adversely impact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performance depend, in part, on global and regional economic and geopolitical conditions, given that we have suppliers located in China. Changes in U.S.-China trade policies, and a number of other economic and geopolitical factors both in China and abroad could have a material adverse effect on our business, financial condition, results of operations or prospects. Such factors may include:</w:t>
      </w:r>
    </w:p>
    <w:p>
      <w:pPr>
        <w:pStyle w:val="TextBody"/>
        <w:bidi w:val="0"/>
        <w:spacing w:before="0" w:after="0"/>
        <w:ind w:left="64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instability in political or economic conditions, such as inflation, recession, foreign currency exchange restrictions and devaluations, restrictive governmental controls on the movement and repatriation of earnings and capital, and actual or anticipated military or political conflicts, particularly in emerging markets;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jurisdiction of the Committee for Foreign Investment in the U.S.;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intergovernmental conflicts or actions, such as the armed conflicts between Russia and Ukraine, in Iran and elsewhere in the Middle East, trade wars, retaliatory tariffs, and acts of terrorism or war.</w:t>
            </w:r>
          </w:p>
        </w:tc>
      </w:tr>
    </w:tbl>
    <w:p>
      <w:pPr>
        <w:pStyle w:val="TextBody"/>
        <w:bidi w:val="0"/>
        <w:spacing w:before="0" w:after="0"/>
        <w:ind w:left="64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events, our ability to obtain supplies from our China-based suppliers may be limited or adversely affected, and we may incur operational constraints.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disruption to the timely receipt of inventory could adversely impact sales or increase our transportation costs, which would decrease our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our distribution and transportation network, including third-party logistics providers, to provide goods in a timely and cost-effective manner through deliveries to our distribution facilities from vendors and then from the distribution facilities or direct ship vendors to our stores or customers by various means of transportation, including shipments by sea, air, rail, and truck. Any disruption, unanticipated expense, or operational failure related to this process could negatively affect our operations. For example, unexpected delivery delays (including delays due to weather, fuel shortages, work stoppages, global or regional health epidemics, product shortages from vendors, or other reasons) or increases in transportation costs (including increased fuel costs or a decrease in transportation capacity for overseas shipments) could significantly decrease our ability to provide adequate products to meet increased customer demand. In addition, labor shortages or work stoppages in the transportation industry or long-term disruptions to the national and international transportation infrastructure that lead to delays or interruptions of deliveries could negatively affect our business. Also, a fire, tornado, or other disaster at one of our distribution facilities could disrupt our timely receiving, processing, and shipment of merchandise to our stores which could adversely affect our business. While we believe there are adequate reserve quantities and alternative suppliers available, shortages or interruptions in the receipt or supply of products caused by unanticipated demand, problems in production or distribution, financial or other difficulties of supplies, inclement weather or other economic conditions, including the availability of qualified drivers and distribution center team members, could adversely affect the availability, quality and cost of products, and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heavily upon our intellectual property portfolio. If we are unable to protect our intellectual property rights, our business and competitive position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and joint development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defend ourselves against intellectual property infringement claims, which may be time-consuming and could cause us to incur substantial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w:t>
      </w:r>
      <w:r>
        <w:rPr>
          <w:rFonts w:ascii="Times New Roman;Times;Serif" w:hAnsi="Times New Roman;Times;Serif"/>
          <w:b/>
          <w:i w:val="false"/>
          <w:caps w:val="false"/>
          <w:smallCaps w:val="false"/>
          <w:sz w:val="20"/>
        </w:rPr>
        <w:t>FTO</w:t>
      </w:r>
      <w:r>
        <w:rPr>
          <w:rFonts w:ascii="Times New Roman;Times;Serif" w:hAnsi="Times New Roman;Times;Serif"/>
          <w:b w:val="false"/>
          <w:i w:val="false"/>
          <w:caps w:val="false"/>
          <w:smallCaps w:val="false"/>
          <w:sz w:val="20"/>
        </w:rPr>
        <w:t>”) questions with regards to the precoated feedstock materials for the spray deposition process depending on the final material selections that are used, although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cease using, making, having made, selling, having sold, developing, having developed or importing products that incorporate the infringed intellectual property rights;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substantial damages;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 license from the holder of the infringed intellectual property rights, which license may not be available on reasonable terms or at all;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redesign our processes or products, which may result in inferior products or processes.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uncertainty in global and macroeconomic conditions, including economic, political and social instability, including the Russia-Ukraine conflict, the India-Pakistan conflict, Hamas’ attack on Israel and the Iranian conflict, could reduce consumer spending and disrupt our supply chain which could negatively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credit and financial markets have recently experienced extreme volatility and disruptions including severely diminished liquidity and credit availability, disruptions in access to bank deposits and lending commitments due to bank failures, declines in economic growth, increases in unemployment rates, supply chain disruptions, heightened interest rates and inflation, stock volatility and uncertainty about economic stability. Such conditions may continue or worsen in the future. The financial markets and the global economy may also be adversely affected by the current or anticipated impact of military conflict including Russia’s invasion of Ukraine, the conflict between Hamas and Israel and the Iranian conflict, terrorism or other geopolitical events. Sanctions imposed by the U.S. and other countries in response to such conflicts, including sanctions imposed in connection with the war in Ukraine, the India-Pakistan conflict, and the conflict between Hamas and Israel, the effect of tariffs and/or any resulting trade wars, increasing interest rates, or other factors may also adversely impact the financial markets and the global economy and any economic countermeasures by affected countries and others could exacerbate market and economic instability. For example, in late 2024 and early 2025, the United States, China, and the European Union each announced either new tariffs, non-tariff barriers, or export controls. Any of these risks, ensuing retaliation, or the further deterioration of trade relations between countries could have an adverse impact on our financial condition and results of operations. Additional tariffs or further retaliatory trade measures taken by China or other countries in response could affect the demand for any of our products, impact the competitive position of our products, prevent us from being able to sell products in certain countries or otherwise adversely impact our results of operations. Growing tensions, protectionist trade policies, and tariffs may also lead to a fragmentation of the global economy, a general reduction of international trade in goods and services, and a reduction in the integration of financial markets, any of which could materially and adversely affect our financial condition, or prospects. There can be no assurance that further deterioration in credit and financial markets and confidence in economic conditions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sanctions imposed in relation to the Russia-Ukraine conflict, gas prices in the United States have become much more volatile and, in some cases,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business strategy as well as our suppliers’ ability to provide us with raw materials and components, may be adversely affected by any such economic downturn, volatile business environment or continued unpredictable and unstable market conditions, which could directly affect our ability to attain our operating goals on schedule and on budget, including requiring us to delay or abandon certain development plans and could have a material adverse effect on our growth strategy, financial performance and stock price. In addition, there is a risk that one or more of our current suppliers may not survive an economic downturn, which could directly affect our ability to attain our operating goals on schedule and within budget.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trade policies, including the imposition of tariffs or other trade restrictions, could materially impact our ability to obtain the raw materials, active pharmaceutical ingredients, and other components necessary for the manufacturing of our product candidates used in our clinical development activities. Some of these materials may be sourced from foreign suppliers, and any increase in tariffs or duties on imported goods could significantly raise the cost of doing business. Additionally, retaliatory tariffs, trade disputes, trade wars, or changes in international trade agreements may lead to supply chain disruptions, including delays in obtaining critical components or the need to seek alternative suppliers. If we are unable to mitigate the impact of increased costs or supply chain disruptions, our financial condition, and ability to develop our product candidates in a timely manner,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global conditions, including economic uncertainty, may negatively impact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conditions, dislocations in the financial markets, any negative financial impacts affecting U.S. as a result of tax reform or changes to existing trade agreements or tax conventions, may adversely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global macroeconomic environment has been and may continue to be negatively affected by, among other things, instability in global economic markets, increased U.S. trade tariffs and trade disputes with other countries, instability in the global credit markets, supply chain weaknesses, instability in the geopolitical environment and political tensions, and foreign governmental debt concerns. Such challenges have caused, and may continue to cause, uncertainty and instability in local economies and in global financial markets, which may adversely affect our business.</w:t>
      </w:r>
    </w:p>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loss of one or more members of our senior management team, other key personnel or our failure to attract additional qualified personnel may adversely affect our business and our ability to achieve our anticipated level of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the talent and services of Denis Phares, our Chief Executive Officer and Interim Chief Financial Officer, and other senior technical and management personnel, including our executive officers, who would be difficult to replace. The loss of Dr. Phares or other key personnel could disrupt our business and harm our results of operations, and we may not be able to successfully attract and retain senior leadership necessary to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manage our growth effectively, we may be unable to execute our business plan, maintain high levels of customer service, or adequately address competitive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growth in our business may cause damage to our brand or otherwise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expand our business through acquisitions in the future, and any future acquisition may not be accretive and may negatively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are subject to a variety of environmental, health and safety rules that can bring scrutiny from regulatory agencies and increase our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anti-corruption, anti-bribery, anti-money laundering, financial and economic sanctions and similar laws and regulations in various jurisdictions in which we conduct or in the future may conduct activities, including the U.S. Foreign Corrupt Practices Act (“</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From time to time, we may be involved in legal proceedings and commercial or contractual disputes, which could have an adverse impact on our profitability and consolidated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social and governance matters may cause us to incur additional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legislatures, government agencies and listing exchanges have mandated or proposed, and others may in the future further mandate, certain environmental, social and governance (“</w:t>
      </w:r>
      <w:r>
        <w:rPr>
          <w:rFonts w:ascii="Times New Roman;Times;Serif" w:hAnsi="Times New Roman;Times;Serif"/>
          <w:b/>
          <w:i w:val="false"/>
          <w:caps w:val="false"/>
          <w:smallCaps w:val="false"/>
          <w:sz w:val="20"/>
        </w:rPr>
        <w:t>ESG</w:t>
      </w:r>
      <w:r>
        <w:rPr>
          <w:rFonts w:ascii="Times New Roman;Times;Serif" w:hAnsi="Times New Roman;Times;Serif"/>
          <w:b w:val="false"/>
          <w:i w:val="false"/>
          <w:caps w:val="false"/>
          <w:smallCaps w:val="false"/>
          <w:sz w:val="20"/>
        </w:rPr>
        <w:t>”) disclosure or performance. For example, the Securities and Exchange Commission has enacted rules that will mandate certain companies to provide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significant increased expenses and administrative burdens as a public company, which could have an adverse effect on our business,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legal, accounting, administrative and other costs and expenses as a public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and the listing standards of Nasdaq, impose additional reporting and other obligations on public companies. Compliance with public company requirements is costly and make certain activities more time-consuming. A number of those requirements require us to carry out activities we have not done previously. For example, we have created new board committees, entered into new insurance policies and adopted new internal controls and disclosure controls and procedures. In addition, we incur expenses associated with SEC reporting requirements.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Annual Report and in filings required of a public company, our business and financial condition is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increase our legal and financial compliance costs and the costs of related legal, accounting and administrative activities. These increased costs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limited experience managing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members of our management team have limited experience managing and operating a publicly traded company, interacting with public company investors and complying with the increasingly complex laws pertaining to public companies. Our management team may not successfully or efficiently manage our role as a public company subject to significant regulatory oversight and reporting obligations under the federal securities laws and the continuous scrutiny of securities analysts and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obligations and constituents require significant attention from our senior management and could divert their attention away from the day-to-day management of our business, which could adversely affect our business,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Position and Capital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capital intensive, and we may not be able to raise additional capital on attractive terms, if at all. Any further indebtedness we incur may limit our operational flexibility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totaling $18.3 million. Our net loss for the year ended December 31, 2025 was $69.9 million and our net loss for the year ended December 31, 2024 was $40.6 million.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We intend to use the Term Loan and our at-the-market (ATM) facility with Canaccord to provide additional capital to us. However, market conditions and certain restrictions contained in the agreements governing the Term Loan and ATM facility may limit our ability to access equity and debt under such agreements.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incurrence of additional debt could adversely impact our business, including limiting our operational flexibility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it difficult for us to pay other obligations;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cost of borrowing from other sources;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it difficult to obtain favorable terms for any necessary future financing for working capital, capital expenditures, investments, acquisitions, debt service requirements, or other purposes;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us from making acquisitions or causing us to make divestitures or similar transactions;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dedicate a substantial portion of our cash flow from operations to service and repay our indebtedness, reducing the amount of cash flow available for other purposes;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placing us at a competitive disadvantage compared to our less leveraged competitors;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flexibility in planning for and reacting to changes in our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service our outstanding debt or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 This could require us, to among other things, reduce operations, sell off our assets, seek the protection of bankruptcy courts or shut down our operations and dissolve.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incurred losses and had a negative cash flow from operations. As of December 31, 2025, we had approximately $18.3 million in cash and cash equivalents and working capital of $30.4 million. As of December 31, 2025, we had $19.3 million in principal outstanding under our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2025, we entered into the Sixth Amendment to the Term Loan Agreement, pursuant to which we (i) prepaid $45.0 million of principal using proceeds from the Second October 2025 Offering (as defined below), (ii) exchanged $25.0 million of principal for Series B Preferred Stock (convertible at $31.50 per share, with 8% cash and 2% “in kind” dividends), and (iii) had $5.0 million of principal forgiven by the Term Loan Lenders. Following these transactions, approximately $19.4 million of principal remained outstanding under the Term Loan, bearing 12% interest payable monthly and maturing in October 2027. We paid $0.9 million in fees (half in cash, half added to principal) and obtained covenant waivers through December 2026, subject to maintaining $5.0 million of minimum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Sixth Amendment significantly improved our liquidity by reducing total debt from $93.1 million to approximately $19.4 million and deferring near-term cash interest requirements through the preferred stock exchange and covenant waivers. However, our ability to achieve profitability and positive cash flow continues to depend on our ability to increase revenue, contain our expenses and maintain compliance with the financial covenants in our outstanding indebtedness agreements once the convent waivers expire.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will need to raise additional debt and/or equity financing to fund our operations and strategic plans and meet our financial covenants. We have historically been able to raise additional capital through issuance of equity and/or debt financing and we intend to use the ATM (as defined herein) with Canaccord Genuity, LLC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adversely affect us, including the market price of our common stock and may be dilutive to our current stockholders. Additionally, any convertible or exchangeable securities as well as preferred stock that we issue in the future may have rights, preferences and privileges more favorable than those of our common stock. If we are unable to raise additional capital or service our debt, we may be forced to reduce operations, seek the protection of bankruptcy courts or shut down our operations and dissolve. If we liquidate our assets and the values we receive for our assets in liquidation or dissolution could be significantly lower than the values reflected in our financial statements.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governing our indebtedness restrict us from engaging in specified types of transactions. These restrictive covenants restrict our ability to, among other things:</w:t>
      </w:r>
    </w:p>
    <w:p>
      <w:pPr>
        <w:pStyle w:val="TextBody"/>
        <w:bidi w:val="0"/>
        <w:spacing w:before="0" w:after="0"/>
        <w:ind w:left="0" w:right="0" w:hanging="0"/>
        <w:jc w:val="both"/>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185"/>
        <w:gridCol w:w="930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indebtedness;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or incur encumbrances or liens;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consolidations, amalgamations, mergers, acquisitions, liquidations, dissolutions or dispositions;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transfer or otherwise dispose of assets;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dividends and distributions on, or purchase, redeem, defease, or otherwise acquire or retire for value, our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agreements governing our indebtedness, we are also subject to certain financial covenants, including maintaining minimum levels of Adjusted EBITDA, minimum liquidity, maximum capital expenditure levels and a minimum fixed charge coverage ratio.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 the past identified material weaknesses in our internal control over financial reporting. These material weaknesses in the future could adversely affect our ability to report our results of operations and financial condition accurately and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the generally accepted accounting principles generally accepted in the United States of America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remediate these material weaknesses in internal controls over financial reporting may not be successful,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Nasdaq, or to other regulatory investigations and civil or criminal sanctions.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and/or a “non-accelerated filer”,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continue to meet the continued listing requirements for The Nasdaq Capital Market, our common stock may be delisted, which could affect the market price and liquidity for our common stock and reduce our ability to raise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currently listed for trading on The Nasdaq Capital Market. Continued listing of a security on the Nasdaq Capital Market is conditioned upon compliance with various continued listing standards. In the past, we have received notices from Nasdaq’s Listing Qualifications Department indicating that we had not complied with certain of the Nasdaq Capital Market’s continued listing standards, including compliance with the $1.00 minimum bid price for our common stock (the “Minimum Bid Price”) and market value of listed securities. While we have regained compliance for each instance, there can be no assurance that we will continue to maintain compliance with the Nasdaq listing requirements, including the Minimum Bid Price, market value of listed securities and stockholder equity standards. A delisting could substantially decrease trading in our common stock, adversely affect the market liquidity of our common stock as a result of the loss of market efficiencies associated with Nasdaq and the loss of federal pre-emption of state securities laws, result in a default under the terms of our outstanding indebtedness, adversely affect its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 There can be no assurance that we will be able to maintain compliance with the continued listing standards of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resales of our outstanding securities may cause the market price of our securities to drop significantly, even if our business is doing 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registration statements registering the resale of up to approximately 0.2 million shares of common stock underlying outstanding warrants that may be sold and/or issued into the public markets by certain securityholders. The shares being registered for resale into the public markets represent a significant number of shares in respect to our outstanding common stock. The securityholders selling pursuant to the registration statements will determine the timing, pricing and rate at which they sell such shares into the public market and such sales could have a significant negative impact on the trading price of our common stock. As such, while sales by the securityholders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securityholders selling pursuant to such registration statements, the sale of shares by such securityholders, or the perception in the market that the securityholders of a large number of shares intend to sell shares, may increase the volatility of the market price of our common stock, and may cause the trading prices of our securities to experience a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have registered up to $50.0 million of shares of common stock to be issued and sold from time to time through Canaccord Genuity LLC, acting as sales agent, in connection with the ATM. Any sales of such shares into the public market could have a significant negative impact on the trading price of our common stock. If the trading price of our common stock does not recover or experiences a further decline, sales of shares of common stock pursuant to the ATM may be a less attractive source of capital and/or may not allow us to raise capital at rates that would be possible if the trading price of our common stock were higher.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or publish negative reports,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meet the expectations of investors, stockholders or securities analysts, the market price of our securities may decline. In addition, fluctuations in the price of our securities could contribute to the loss of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depends on many factors, including those described in this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many of which are beyond our control and may not be related to our operating performance. These fluctuations could cause you to lose all or part of your investment in our common stock.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the trading price of our securities may include:</w:t>
      </w:r>
    </w:p>
    <w:p>
      <w:pPr>
        <w:pStyle w:val="TextBody"/>
        <w:bidi w:val="0"/>
        <w:spacing w:before="0" w:after="0"/>
        <w:ind w:left="32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financial results or the quarterly financial results of companies perceived to be similar to ours;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market’s expectations about our operating results;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 releases, other public announcements and filings with the SEC;</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speculation in the press or investment community;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developments in our business, competitors’ businesses or the competitive landscape generally;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innovations or new products developed by us or our competitors;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supply or distribution delays or shortages;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to our relationship with any manufacturers, suppliers, licensors, future collaborators, or other strategic partners;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failing to meet the expectation of securities analysts or investors in a particular period;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and recommendations by securities analysts concerning us or the market in general;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and stock price performance of other companies that investors deem comparable to ours;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affecting our business;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of, or involvement in, litigation involving us;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such as future issuances of securities or the incurrence of additional debt;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 of our common stock available for public sale;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major change in our board of directors or management;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common stock by our directors, officers or significant stockholders or the perception that such sales could occur;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political conditions such as recessions, interest rates, “trade wars,” pandemics (such as COVID-19) and acts of war or terrorism (including the Russia-Ukraine conflict, the India-Pakistan conflict, Hamas’ attack on Israel and the Iranian conflict).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the impact of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securities may not be available on a consistent basis to provide stockholders with adequate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exercise of outstanding warrants or conversion of the Series B Preferred Stock to acquire our common stock would increase the number of shares eligible for future resale in the public market and result in dilution 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outstanding warrants or conversion of the Series B Preferred Stock to acquire our common stock will increase the number of shares eligible for future resale in the public market and result in dilution to our stockholders. As of March 26, 2026, there are currently (i) 104,695 shares of common stock issuable upon the exercise of outstanding public warrants at an exercise price of $180.00 per share (the “Public Warrants”); (ii) 16,083 shares of common stock issuable upon the exercise of outstanding private warrants at an exercise price of $180.00 per share (the “Private Warrants”); (iii) 103,947 shares of common stock issuable upon exercise of outstanding Penny Warrants at an exercise price of $0.01 per share; (iv) 500,000 shares of common stock issuable upon the exercise of outstanding pre-funded warrants at an exercise price of $0.0001 per share. As of March 26, 2026, there are currently 799,835 share of common stock issuable upon the conversion of the outstanding 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Penny Warrants have price-based anti-dilution protection against certain subsequent equity sales or distributions at below $900.00 per share of common stock, subject to exclusions including for issuances upon conversion exercise or exchange of securities outstanding as of October 7, 2022, the closing date of the Business Combination, issuances pursuant to agreements in effect as of the closing date of the Business Combination, issuances pursuant to employee benefit plans and similar arrangements, issuances in joint ventures, strategic arrangements or other non-financing type transactions and issuances pursuant to any public equity offerings. Depending on the nature and price of any equity issuances by us, the number of shares issuable upon the exercise of such Penny Warrants could be increased and the exercise price of the Penny Warrants could be adjusted down. Under the terms of the Penny Warrants, no adjustment will be made in connection with any sale of shares of up to $150.0 million in gross proceeds under the Purchase Agreement (or any replacement thereof) if the sales price is higher than $450.00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rights of holders of our Series B Preferred Stock rank senior to the rights of the holders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the holders of shares of our Series B Preferred Stock, while such shares remain outstanding, rank senior to the rights of the holders of shares of our common stock as to dividends, distributions and payments upon the liquidation, dissolution and winding up of the Company. Upon liquidation, dissolution or winding up of our affairs, the holders of shares of our Series B Preferred Stock are entitled to receive a liquidation preference of one thousand dollars ($1,000), plus (2) the aggregate amount of all PIK Dividends (as defined below) paid since the date of issuance of the Series B Preferred Stock (the “</w:t>
      </w:r>
      <w:r>
        <w:rPr>
          <w:rFonts w:ascii="Times New Roman;Times;Serif" w:hAnsi="Times New Roman;Times;Serif"/>
          <w:b/>
          <w:i w:val="false"/>
          <w:caps w:val="false"/>
          <w:smallCaps w:val="false"/>
          <w:sz w:val="20"/>
        </w:rPr>
        <w:t>Initial Issuance Date</w:t>
      </w:r>
      <w:r>
        <w:rPr>
          <w:rFonts w:ascii="Times New Roman;Times;Serif" w:hAnsi="Times New Roman;Times;Serif"/>
          <w:b w:val="false"/>
          <w:i w:val="false"/>
          <w:caps w:val="false"/>
          <w:smallCaps w:val="false"/>
          <w:sz w:val="20"/>
        </w:rPr>
        <w:t>”), plus (3) the aggregate amount of all Cash Dividends and PIK Dividends that have accrued and remain unpaid since the Initial Issuance Date (the “B”). In addition, the holders of the Series B Preferred Stock are entitled to receive dividends, which will accrue at 10% per annum, commencing from the Initial Issuance Date, payable (i) 80% in cash (the “</w:t>
      </w:r>
      <w:r>
        <w:rPr>
          <w:rFonts w:ascii="Times New Roman;Times;Serif" w:hAnsi="Times New Roman;Times;Serif"/>
          <w:b/>
          <w:i w:val="false"/>
          <w:caps w:val="false"/>
          <w:smallCaps w:val="false"/>
          <w:sz w:val="20"/>
        </w:rPr>
        <w:t>Cash Dividends</w:t>
      </w:r>
      <w:r>
        <w:rPr>
          <w:rFonts w:ascii="Times New Roman;Times;Serif" w:hAnsi="Times New Roman;Times;Serif"/>
          <w:b w:val="false"/>
          <w:i w:val="false"/>
          <w:caps w:val="false"/>
          <w:smallCaps w:val="false"/>
          <w:sz w:val="20"/>
        </w:rPr>
        <w:t>”) and (i) 20% “in kind” and added the Liquidation Preference of such holder’s Series B Preferred Stock (“</w:t>
      </w:r>
      <w:r>
        <w:rPr>
          <w:rFonts w:ascii="Times New Roman;Times;Serif" w:hAnsi="Times New Roman;Times;Serif"/>
          <w:b/>
          <w:i w:val="false"/>
          <w:caps w:val="false"/>
          <w:smallCaps w:val="false"/>
          <w:sz w:val="20"/>
        </w:rPr>
        <w:t>PIK Dividends</w:t>
      </w:r>
      <w:r>
        <w:rPr>
          <w:rFonts w:ascii="Times New Roman;Times;Serif" w:hAnsi="Times New Roman;Times;Serif"/>
          <w:b w:val="false"/>
          <w:i w:val="false"/>
          <w:caps w:val="false"/>
          <w:smallCaps w:val="false"/>
          <w:sz w:val="20"/>
        </w:rPr>
        <w:t>”). Such dividends are payable quarterly in arrears on the first trading day of each fiscal quarter commencing on the first trading day of the initial fiscal quarter after the date of issuance. Upon the occurrence of certain events, the dividend rate may automatically increase, as described in the Certificate of Designation of the Powers, Preferences and Relative, Participating, Optional and Other Restrictions of Series B Convertible Preferred Stock of the Company (the “</w:t>
      </w:r>
      <w:r>
        <w:rPr>
          <w:rFonts w:ascii="Times New Roman;Times;Serif" w:hAnsi="Times New Roman;Times;Serif"/>
          <w:b/>
          <w:i w:val="false"/>
          <w:caps w:val="false"/>
          <w:smallCaps w:val="false"/>
          <w:sz w:val="20"/>
        </w:rPr>
        <w:t>Certificate of Designation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dividend payment obligations could impact our liquidity and reduce the amount of cash available to us for our working capital needs, capital expenditures, funding growth opportunities, acquisitions, and other general corporate purposes. Our obligations to the holders of the Series B Preferred Stock could also limit our ability to obtain additional financing or increase our borrowing costs, which could have an adverse effect on our financial condition. The preferential rights could also result in divergent interests between the holders of the Series B Preferred Stock and holders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may fluctuate significantly, which makes our future operating results difficult to predict and could cause our operating results to fall below expectations or any guidance we may provide.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185"/>
        <w:gridCol w:w="998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convert these customers into meaningful orders in the future;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two suppliers for LFP cells and a single supplier for the manufacture of our battery management system;</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growth of the potential markets for our batteries and its ability to serve those markets;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our attempts to develop and produce solid state battery cells;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demand for any products, which may vary significantly;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accounting pronouncements or changes in our accounting policies;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both nationally and locally;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change in the competitive landscape of our industry, including consolidation among our competitors or partners.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its past results as an indication of our future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laws, regulations or rules, or a failure to comply with any laws, regulations or rules, may adversely affect our business, investments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Articles of Incorporation designates specific courts as the exclusive forum for substantially all stockholder litigation matters, which could limit the ability of our stockholders to obtain a favorable forum for disputes with us or our directors, officers or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unless we consent in writing to the selection of an alternative forum, to the fullest extent permitted by applicable law the Second Judicial District Court of Washoe County, Nevada is the sole and exclusive forum for any or all actions, suits or proceedings, whether civil, administrative or investigative or that asserts any claim or counterclaim: (a) brought in our name or right or on our behalf; (b) asserting a claim for breach of any fiduciary duty owed by any of our directors, officers, employees or agents to us or our stockholders; (c) arising or asserting a claim arising pursuant to any provision of the Nevada Revised Statutes (the “</w:t>
      </w:r>
      <w:r>
        <w:rPr>
          <w:rFonts w:ascii="Times New Roman;Times;Serif" w:hAnsi="Times New Roman;Times;Serif"/>
          <w:b/>
          <w:i w:val="false"/>
          <w:caps w:val="false"/>
          <w:smallCaps w:val="false"/>
          <w:sz w:val="20"/>
        </w:rPr>
        <w:t>NRS</w:t>
      </w:r>
      <w:r>
        <w:rPr>
          <w:rFonts w:ascii="Times New Roman;Times;Serif" w:hAnsi="Times New Roman;Times;Serif"/>
          <w:b w:val="false"/>
          <w:i w:val="false"/>
          <w:caps w:val="false"/>
          <w:smallCaps w:val="false"/>
          <w:sz w:val="20"/>
        </w:rPr>
        <w:t>”) Chapters 78 or 92A or any provision of our Articles of Incorporation or our Bylaws; (d) to interpret, apply, enforce or determine the validity of our Articles of Incorporation or our Bylaws; or (e)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Articles of Incorporation could discourage another company from acquiring us and may prevent attempts by our stockholders to replace or remove our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Articles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will be divided into three classes, with each class serving staggered three-year terms, which may delay the ability of stockholders to change the membership of a majority of our board of directors;</w:t>
            </w:r>
          </w:p>
        </w:tc>
      </w:tr>
    </w:tbl>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exclusive right to expand the size of its board of directors and to elect directors to fill a vacancy created by the expansion of the board of directors or the resignation, death or removal of a director, which prevents stockholders from being able to fill vacancies on our board of directors;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may not act by written consent, which forces stockholder action to be taken at an annual or special meeting of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meeting of stockholders may be called only by a majority of our board of directors, which may delay the ability of our stockholders to force consideration of a proposal or to take action, including the removal of directors;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prohibits cumulative voting in the election of directors, which limits the ability of minority stockholders to elect director candidates;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alter certain provisions of our Bylaws without obtaining stockholder approval;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holders of at least sixty-six and two-thirds percent (66 2⁄3%) of our common shares entitled to vote at an election of our board of directors is required to adopt, amend, alter or repeal our Bylaws or amend, alter, change or repeal or adopt any provision of our Articles of Incorporation inconsistent with the provisions of our Articles of Incorporation regarding the election and removal of directors;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any decision to comply only with certain reduced reporting and disclosure requirements applicable to emerging growth companies could make our common stock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have an independent registered public accounting firm audit our internal control over financial reporting under Section 404 of the Sarbanes-Oxley Act;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regarding executive compensation in our periodic reports and annual report on Form 10-K;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of holding non-binding advisory votes on executive compensation and stockholder approval of any golden parachute payments not previously approved.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stockholders may not have access to certain information that they may deem important. Our status as an emerging growth company will end as soon as any of the following takes place:</w:t>
      </w:r>
    </w:p>
    <w:p>
      <w:pPr>
        <w:pStyle w:val="TextBody"/>
        <w:bidi w:val="0"/>
        <w:spacing w:before="0" w:after="0"/>
        <w:ind w:left="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185"/>
        <w:gridCol w:w="971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day of the fiscal year in which we have at least $1.235 billion in annual revenue;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we qualify as a “large accelerated filer,” with at least $700.0 million of equity securities held by non-affiliates;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we have issued, in any three-year period, more than $1.0 billion in non-convertible debt securities;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day of the fiscal year ending after the fifth anniversary of our IPO.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will be required to comply with the requirements of the Sarbanes-Oxley Act, including,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Unanticipated changes in effective tax rates or adverse outcomes resulting from examination of our income or other tax returns could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valuation of our deferred tax assets and liabilities;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timing and amount of the release of any tax valuation allowances;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effects of stock-based compensation;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intercompany restructurings;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laws, regulations or interpretations thereof;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lower than anticipated future earnings in jurisdictions where we have lower statutory tax rates and higher than anticipated future earnings in jurisdictions where we have higher statutory tax rates.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subject to audits of our income, sales and other transaction taxes by taxing authorities. Outcomes from these audits could have an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 w:name="a_004"/>
      <w:bookmarkEnd w:id="42"/>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 w:name="a_005"/>
      <w:bookmarkEnd w:id="43"/>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4" w:name="xdx_985_ecyd--CybersecurityRiskManagemen"/>
      <w:bookmarkEnd w:id="44"/>
      <w:r>
        <w:rPr>
          <w:rFonts w:ascii="Times New Roman;Times;Serif" w:hAnsi="Times New Roman;Times;Serif"/>
          <w:b/>
          <w:i/>
          <w:caps w:val="false"/>
          <w:smallCaps w:val="false"/>
          <w:sz w:val="20"/>
        </w:rPr>
        <w:t>Cybersecurity Risk Management</w:t>
      </w:r>
    </w:p>
    <w:p>
      <w:pPr>
        <w:pStyle w:val="TextBody"/>
        <w:bidi w:val="0"/>
        <w:spacing w:before="0" w:after="0"/>
        <w:ind w:left="0" w:right="0" w:hanging="0"/>
        <w:jc w:val="both"/>
        <w:rPr>
          <w:caps w:val="false"/>
          <w:smallCaps w:val="false"/>
        </w:rPr>
      </w:pPr>
      <w:bookmarkStart w:id="45" w:name="xdx_C09_gBFCRMPFAIAMT-XKBXMA_zMtXXxEL1AN"/>
      <w:bookmarkEnd w:id="45"/>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like other companies in our industry, face several cybersecurity risks in connection with our business. Our business strategy, results of operations, and financial condition have not, to date, been affected by risks from cybersecurity threats. During the reporting period, we have </w:t>
      </w:r>
      <w:bookmarkStart w:id="46" w:name="xdx_90D_ecyd--CybersecurityRiskMateriall"/>
      <w:bookmarkEnd w:id="46"/>
      <w:r>
        <w:rPr>
          <w:rFonts w:ascii="Times New Roman;Times;Serif" w:hAnsi="Times New Roman;Times;Serif"/>
          <w:b w:val="false"/>
          <w:i w:val="false"/>
          <w:caps w:val="false"/>
          <w:smallCaps w:val="false"/>
          <w:sz w:val="20"/>
        </w:rPr>
        <w:t>not experienced any material cyber incidents, nor have we experienced a series of immaterial incidents, which would require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use, store and process data including data of our employees, partners, collaborators, and vendors. To effectively prevent, detect, and respond to cybersecurity threats, we maintain a cyber risk management program, which is comprised of a wide array of policies, standards, architecture, and processes. The cyber risk management program falls under the responsibility of our Chief Executive Officer, who in turn, manages our outsourced experts in information technology (“</w:t>
      </w:r>
      <w:r>
        <w:rPr>
          <w:rFonts w:ascii="Times New Roman;Times;Serif" w:hAnsi="Times New Roman;Times;Serif"/>
          <w:b/>
          <w:i w:val="false"/>
          <w:caps w:val="false"/>
          <w:smallCaps w:val="false"/>
          <w:sz w:val="20"/>
        </w:rPr>
        <w:t>IT</w:t>
      </w:r>
      <w:r>
        <w:rPr>
          <w:rFonts w:ascii="Times New Roman;Times;Serif" w:hAnsi="Times New Roman;Times;Serif"/>
          <w:b w:val="false"/>
          <w:i w:val="false"/>
          <w:caps w:val="false"/>
          <w:smallCaps w:val="false"/>
          <w:sz w:val="20"/>
        </w:rPr>
        <w:t>”) and cybersecurity. Under the guidance of our Chief Executive Officer, we task reputable third-party IT experts that utilize a wide variety of software to secure the environment. We also utilize a variety of cybersecurity software from reputable vendors in the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implemented a cybersecurity risk management program that is designed to </w:t>
      </w:r>
      <w:bookmarkStart w:id="47" w:name="xdx_90A_ecyd--CybersecurityRiskThirdPart"/>
      <w:bookmarkEnd w:id="47"/>
      <w:r>
        <w:rPr>
          <w:rFonts w:ascii="Times New Roman;Times;Serif" w:hAnsi="Times New Roman;Times;Serif"/>
          <w:b w:val="false"/>
          <w:i w:val="false"/>
          <w:caps w:val="false"/>
          <w:smallCaps w:val="false"/>
          <w:sz w:val="20"/>
        </w:rPr>
        <w:t>identify, assess, and mitigate risks from cybersecurity threats against our data and systems and ensure the effectiveness of our security controls. Our cybersecurity risk management program incorporates several components, including information security program assessments, continuous monitoring of critical risks from cybersecurity threats using automated tools, restoration testing, periodic threat testing, and documented standards, policies, and procedures. We deploy a wide range of security tools across the environment, require multifactor authentication across all critical systems, and implement access control policies to further limit protect the data within the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periodically </w:t>
      </w:r>
      <w:bookmarkStart w:id="48" w:name="xdx_90B_ecyd--CybersecurityRiskManagemen"/>
      <w:bookmarkEnd w:id="48"/>
      <w:r>
        <w:rPr>
          <w:rFonts w:ascii="Times New Roman;Times;Serif" w:hAnsi="Times New Roman;Times;Serif"/>
          <w:b w:val="false"/>
          <w:i w:val="false"/>
          <w:caps w:val="false"/>
          <w:smallCaps w:val="false"/>
          <w:sz w:val="20"/>
        </w:rPr>
        <w:t>engage third parties to conduct risk assessments and other system vulnerability analyses. As a result of these assessments, we have not identified any material cybersecurity risks. We also maintain documentation of our system hardening progress and plans. Additionally, our program requires cybersecurity training, which includes social engineering and phishing training, on a quarterly basis, for all employees with access to our internal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underlying processes and controls of our cyber risk management program incorporate recognized best practices and standards for cybersecurity and IT, including the National Institute of Standards and Technology, or NIST, Cybersecurity Framework, or CSF, and processes and controls supporting data protection requirements under applicable law. The NIST CSF offers a thorough set of guidelines and best practices to help establish a strong cybersecurity posture. Utilizing NIST CSF enables us to systemically identify, assess, and manage cybersecurity risks most relevant and impactful to our business operations. It is important to note that using the NIST CSF as a guide does not imply our cybersecurity program meets any specific technical standards or requirements.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9" w:name="xdx_C02_gBFCRMPFAIAMT-XKBXMA_zViv7ZAD4sy"/>
      <w:bookmarkEnd w:id="49"/>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0" w:name="xdx_98B_ecyd--CybersecurityRiskBoardOfDi"/>
      <w:bookmarkEnd w:id="50"/>
      <w:r>
        <w:rPr>
          <w:rFonts w:ascii="Times New Roman;Times;Serif" w:hAnsi="Times New Roman;Times;Serif"/>
          <w:b/>
          <w:i/>
          <w:caps w:val="false"/>
          <w:smallCaps w:val="false"/>
          <w:sz w:val="20"/>
        </w:rPr>
        <w:t>Governance</w:t>
      </w:r>
    </w:p>
    <w:p>
      <w:pPr>
        <w:pStyle w:val="TextBody"/>
        <w:bidi w:val="0"/>
        <w:spacing w:before="0" w:after="0"/>
        <w:ind w:left="0" w:right="0" w:hanging="0"/>
        <w:jc w:val="both"/>
        <w:rPr>
          <w:caps w:val="false"/>
          <w:smallCaps w:val="false"/>
        </w:rPr>
      </w:pPr>
      <w:bookmarkStart w:id="51" w:name="xdx_C0B_gBFCRBODOTB-LGVQBE_z7J7dJGwojd5"/>
      <w:bookmarkEnd w:id="5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is </w:t>
      </w:r>
      <w:bookmarkStart w:id="52" w:name="xdx_90B_ecyd--CybersecurityRiskBoardComm"/>
      <w:bookmarkEnd w:id="52"/>
      <w:r>
        <w:rPr>
          <w:rFonts w:ascii="Times New Roman;Times;Serif" w:hAnsi="Times New Roman;Times;Serif"/>
          <w:b w:val="false"/>
          <w:i w:val="false"/>
          <w:caps w:val="false"/>
          <w:smallCaps w:val="false"/>
          <w:sz w:val="20"/>
        </w:rPr>
        <w:t xml:space="preserve">responsible for the oversight of cybersecurity risk management. </w:t>
      </w:r>
      <w:bookmarkStart w:id="53" w:name="xdx_900_ecyd--CybersecurityRiskManagemen"/>
      <w:bookmarkEnd w:id="53"/>
      <w:r>
        <w:rPr>
          <w:rFonts w:ascii="Times New Roman;Times;Serif" w:hAnsi="Times New Roman;Times;Serif"/>
          <w:b w:val="false"/>
          <w:i w:val="false"/>
          <w:caps w:val="false"/>
          <w:smallCaps w:val="false"/>
          <w:sz w:val="20"/>
        </w:rPr>
        <w:t>The Chief Executive Officer reports to our Board. The Chief Executive Officer provides updates to the Board on our cybersecurity risk management program, including any critical cybersecurity risks, ongoing cybersecurity initiatives and strategies, and applicable regulatory requirements and industry standards on a regular basis. The Chief Executive Officer also notifies the Board of any cybersecurity incidents (suspected or actual) and provides updates on the incidents as well as cybersecurity risk mitigation activities as appropriate.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54" w:name="xdx_C02_gBFCRBODOTB-LGVQBE_zoT9ttK7sYI2"/>
      <w:bookmarkEnd w:id="5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 w:name="a_006"/>
      <w:bookmarkEnd w:id="55"/>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8, 2022, we entered into a 124-month lease for an additional 390,240 square foot warehouse. In November, 2024, we relocated our headquarters to our new 390,240 square foot warehouse at 12915 Old Virginia Road in Reno, Nevada 89521. The current monthly rent is $237,149 payable monthly.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leasing a 99,000 square foot facility at 1190 Trademark Drive #108, Reno, Nevada, which was the prior location of our headquarters until November 2024. The lease for this building was entered into on March 1, 2021 and expires on April 30, 2026. As of September 30, 2025, management has determined to further consolidate our warehousing and operations into our headquarters location, which resulted in the full impairment of the Trademark Drive lease agreement. Subsequent to December 31, 2025 the lease termination agreement was executed and no further monthly rents are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currently leasing a 59,500 square foot warehouse facility at 12815 Old Virginia Road in Reno, Nevada. The lease for this space was entered into on December 1, 2021, and expires December 31, 2026; the current monthly rent is $45,244. As of December 31, 2025, management has determined to further consolidate our warehousing and operations into our headquarters location, which resulted in the full impairment of the Old Virginia Road lease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we entered into a lease agreement, effective April 1, 2024, for the approximately 64,000 square foot premises located at 2275 East Newlands Road, Fernley, Nevada (the “</w:t>
      </w:r>
      <w:r>
        <w:rPr>
          <w:rFonts w:ascii="Times New Roman;Times;Serif" w:hAnsi="Times New Roman;Times;Serif"/>
          <w:b/>
          <w:i w:val="false"/>
          <w:caps w:val="false"/>
          <w:smallCaps w:val="false"/>
          <w:sz w:val="20"/>
        </w:rPr>
        <w:t>Fernley Lease Agreement</w:t>
      </w:r>
      <w:r>
        <w:rPr>
          <w:rFonts w:ascii="Times New Roman;Times;Serif" w:hAnsi="Times New Roman;Times;Serif"/>
          <w:b w:val="false"/>
          <w:i w:val="false"/>
          <w:caps w:val="false"/>
          <w:smallCaps w:val="false"/>
          <w:sz w:val="20"/>
        </w:rPr>
        <w:t>”). As of December 31, 2025, management has determined to further consolidate our warehousing and operations into our headquarters location, which resulted in the full impairment of the Fernley Lease Agreement. The current monthly rent is $46,144.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&amp; Development lab is a 9,600 square foot facility located in Sparks, Nevada. The lease for these premises was entered into on July 27, 2020 and expires on July 31, 2025. On May 8, 2025, we entered into a sixth lease amendment with our landlord to extend the lease term for an additional sixty-four (64) month period. Under the terms of the amended lease, the base rent due shall be fully abated for the four (4) month period commencing on August 1, 2025, and ending on November 30, 2025. The lease is set to expire on November 30, 2030. The current monthly rent is $12,480.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podcast studio was a 1,772 square foot facility located in Sparks, Nevada. The lease for this space expired on September 20,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 w:name="a_007"/>
      <w:bookmarkEnd w:id="56"/>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13, 2026, a putative consumer class action captioned </w:t>
      </w:r>
      <w:r>
        <w:rPr>
          <w:rFonts w:ascii="Times New Roman;Times;Serif" w:hAnsi="Times New Roman;Times;Serif"/>
          <w:b w:val="false"/>
          <w:i/>
          <w:caps w:val="false"/>
          <w:smallCaps w:val="false"/>
          <w:sz w:val="20"/>
        </w:rPr>
        <w:t>Berdner et al v. Dragonfly Energy Holdings Corp. d/b/a Battle Born</w:t>
      </w:r>
      <w:r>
        <w:rPr>
          <w:rFonts w:ascii="Times New Roman;Times;Serif" w:hAnsi="Times New Roman;Times;Serif"/>
          <w:b w:val="false"/>
          <w:i w:val="false"/>
          <w:caps w:val="false"/>
          <w:smallCaps w:val="false"/>
          <w:sz w:val="20"/>
        </w:rPr>
        <w:t>, was filed against the Company in the Superior Court of the State of California, County of Sonoma, Case No. 26CV01247, however, the Company has yet to be served with the complaint. The plaintiffs purport to represent four classes of purchasers of certain “Battle Born” branded 100 amp-hour 12V LiFePo4 batteries. They allege that the products share a uniform design defect related to the positive terminal connection that can result in overheating, premature failure, and safety risk. The complaint asserts violations of various state consumer protection statutes, breach of express and implied warranties (including under California law), and false advertising, and seeks damages, restitution, injunctive relief, punitive damages, and attorneys’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claims are without merit and intends to vigorously defend this matter. No trial date has been set as of the date of this report. The Company is unable at this time to reasonably estimate a range of possible loss or determine whether an adverse outcome is probable; accordingly, no liability has been recorded related to this matter as of the date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a_008"/>
      <w:bookmarkEnd w:id="5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4" w:right="0" w:hanging="0"/>
        <w:jc w:val="center"/>
        <w:rPr>
          <w:rFonts w:ascii="Times New Roman;Times;Serif" w:hAnsi="Times New Roman;Times;Serif"/>
          <w:b/>
          <w:i w:val="false"/>
          <w:caps w:val="false"/>
          <w:smallCaps w:val="false"/>
          <w:sz w:val="20"/>
        </w:rPr>
      </w:pPr>
      <w:bookmarkStart w:id="58" w:name="a_009"/>
      <w:bookmarkEnd w:id="58"/>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 w:name="a_010"/>
      <w:bookmarkEnd w:id="59"/>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Capital Market under the symbol “DFLI” and our Public Warrants are currently listed on the Nasdaq Capital Market under the symbol “DFLIW”. As of March 26, 2026, the closing price of our common stock and warrants was $1.94 and $0.05, respectively. As of March 26, 2026, there were 77 holders of record of our common stock and 2 holders of record of our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available funds and any future earnings to fund the growth and development of our business. We have never declared or paid any cash dividends on our common stock. We do not intend to pay cash dividends to our common stockholders in the foreseeable future. Investors should not purchase our common stock with the expectation of receiving cash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Series B Preferred Stock are entitled to receive dividends, which will accrue at 10% per annum, commencing from the Initial Issuance Date, payable (i) 80% in cash and (i) 20% “in kind” and added the Liquidation Preference of such holder’s Series B Preferred Stock. Such dividends are payable quarterly in arrears on the first trading day of each fiscal quarter commencing on the first trading day of the initial fiscal quarter after the date of issuance. Upon the occurrence of certain events, the dividend rate may automatically increase, as described in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 w:name="a_011"/>
      <w:bookmarkEnd w:id="60"/>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 w:name="a_012"/>
      <w:bookmarkEnd w:id="61"/>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statements other than statements of historical fact included in this section regarding our financial position, business strategy and the plans and objectives of management for future operations, are forward- looking statements. When used in this section, words such as “anticipate,” “believe,” “estimate,” “expect,” “intend” and similar expressions, as they relate to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 looking statements as a result of certain factors detailed herein. All subsequent written or oral forward-looking statements attributable to us or persons acting on our behalf are qualified in their entirety by this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Some of the information contained in this discussion and analysis or set forth elsewhere, including information with respect to our plans and strategy for our business include forward-looking statements that involve risks, uncertainties and assumptions. You should read the sections titled “Cautionary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December 18, 2025, we effected a reverse stock split for our issued and outstanding Common Stock at a ratio of 1-for-10. All of our historical share and per share information related to issued and outstanding Common Stock and outstanding options and warrants exercisable for Common Stock included in this prospectus have been adjusted, on a retroactive basis, to reflect the reverse stock splits. See “Corporate Information.”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caters to customers in the consumer industry (including the RV, marine vessel, solar and off-grid residence industries), and trucking, industrial and energy storage markets, with proprietary, patented and disruptive battery cell manufacturing and non-flammable solid-state cell technology currently under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we have sold over 370,000 batteries. For the years ended December 31, 2025 and 2024, we sold 43,129 and 42,447 batteries, respectively, and had $58.6 million and $50.6 million in net sales, respectively. We currently offer several lines of batteries across our two brands, each differentiated by size, power and capacity, consisting of seven different models, which come with an option for internal heat for cold temperature operation or an option for wireless communication using our Dragonfly IntelLigence feature. As a result of changes to our marketing focus and corporate objectives, we our focusing our selling efforts of “Battle Born” branded batteries primarily to OEMs as well as DTC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increase in sales is a reflection of a slight recovery in the motorized RV market and increased market penetration as compared to the prior year. Although our existing RV OEM customers have only slightly increased their year-over-year production rates, the incorporation of lithium storage systems has accelerated faster than the increase in RV units shipped. This is in contrast to the de-contenting trend that had occurred over the previous 18 months. DTC sales remained relatively flat, indicating generally constant consumer sentiment in the space. During the second half of 2025, we continued to implement our corporate optimization initiative, prioritizing product development to drive near term revenue and profit. For instance, this strategic shift is accelerating our development of purpose-built solutions for the trucking and industrial markets, resulting in the recent launch of our Battle Born DualFlow Power Pack, a practical, cost-effective hybrid electrification solution for the trucking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source the LFP cells incorporated into our batteries from a limited number of carefully selected suppliers that can meet our demanding quality standards and with whom we have developed long-term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and the other parties thereto, we also acquired the assets, including Wakespeed of Thomason Jones, allowing us to include our own alternator regulator in systems that we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conventional LFP batteries, we have been developing proprietary dry electrode cell manufacturing processes and solid-state cell technology. We believe that our solid-state technology design allows for a much safer, more efficient battery cell that we believe will be a key differentiator in the energy storage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we completed the construction of our proprietary and patented cell electrode manufacturing pilot line. Our patented dry deposition process is chemistry agnostic - meaning it can produce battery cells across a variety of chemistries - and is less capital intensive, uses less energy, and can produce cells in a smaller manufacturing footprint, leading to a lower total cost of manufacturing. In August 2023, we successfully demonstrated the ability to produce anode material at scale using this manufacturing process and did the same with cathode material in October 2023. We have since produced sample cells using PFAS-free binders and automotive-grade electrode loadings and C-rates and are now working on the design and deployment of scaled-up coating equipment that can be applied to a GWh-scale factory, reflecting the shift in industry priorities from cell performance to cost-effective scalability.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totaling $18.3 million. Our net loss for the years ended December 31, 2025 and December 31, 2024, were $69.9 million and $40.6 million, respectively. In the year ended December 31, 2025, we raised an aggregate of $90.9 million in net proceeds in connection with our various financings, as described below. As discussed under “</w:t>
      </w:r>
      <w:r>
        <w:rPr>
          <w:rFonts w:ascii="Times New Roman;Times;Serif" w:hAnsi="Times New Roman;Times;Serif"/>
          <w:b w:val="false"/>
          <w:i/>
          <w:caps w:val="false"/>
          <w:smallCaps w:val="false"/>
          <w:sz w:val="20"/>
        </w:rPr>
        <w:t>-Liquidity and Capital Resources</w:t>
      </w:r>
      <w:r>
        <w:rPr>
          <w:rFonts w:ascii="Times New Roman;Times;Serif" w:hAnsi="Times New Roman;Times;Serif"/>
          <w:b w:val="false"/>
          <w:i w:val="false"/>
          <w:caps w:val="false"/>
          <w:smallCaps w:val="false"/>
          <w:sz w:val="20"/>
        </w:rPr>
        <w:t>” below we expect that we will need to raise additional funds, including through the issuance of equity, equity-related or debt securities or by obtaining additional credit from financial institutions to fund, together with our principal sources of liquidity, ongoing costs.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reduce operations, sell off our assets, seek the protection of bankruptcy courts or shut down our operations and dissolve.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Agreement with Stryten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Legacy Dragonfly and Battle Born Battery Products, LLC (“</w:t>
      </w:r>
      <w:r>
        <w:rPr>
          <w:rFonts w:ascii="Times New Roman;Times;Serif" w:hAnsi="Times New Roman;Times;Serif"/>
          <w:b/>
          <w:i w:val="false"/>
          <w:caps w:val="false"/>
          <w:smallCaps w:val="false"/>
          <w:sz w:val="20"/>
        </w:rPr>
        <w:t>Battle Born LLC</w:t>
      </w:r>
      <w:r>
        <w:rPr>
          <w:rFonts w:ascii="Times New Roman;Times;Serif" w:hAnsi="Times New Roman;Times;Serif"/>
          <w:b w:val="false"/>
          <w:i w:val="false"/>
          <w:caps w:val="false"/>
          <w:smallCaps w:val="false"/>
          <w:sz w:val="20"/>
        </w:rPr>
        <w:t>”), a wholly-owned subsidiary of Legacy Dragonfly, entered into a License Agreement (the “</w:t>
      </w:r>
      <w:r>
        <w:rPr>
          <w:rFonts w:ascii="Times New Roman;Times;Serif" w:hAnsi="Times New Roman;Times;Serif"/>
          <w:b/>
          <w:i w:val="false"/>
          <w:caps w:val="false"/>
          <w:smallCaps w:val="false"/>
          <w:sz w:val="20"/>
        </w:rPr>
        <w:t>License Agreement</w:t>
      </w:r>
      <w:r>
        <w:rPr>
          <w:rFonts w:ascii="Times New Roman;Times;Serif" w:hAnsi="Times New Roman;Times;Serif"/>
          <w:b w:val="false"/>
          <w:i w:val="false"/>
          <w:caps w:val="false"/>
          <w:smallCaps w:val="false"/>
          <w:sz w:val="20"/>
        </w:rPr>
        <w:t>”) with Stryten. Pursuant to the License Agreement, Battle Born LLC granted Stryten an exclusive, worldwide license to use certain trademarks relating to Legacy Dragonfly’s lithium-ion battery brand, Battle Born Batteries® (the “Licensed Trademarks”) for business-to-business sales of batteries to customers within the following markets: (i) automative, (ii) marine, (iii) powersports, (iv) lawn and garden, (v) golf cart, and (vi) military and defense (such industries, the “Stryten Market”). In exchange for the licensing rights, Stryten agreed to pay Battle Born LLC an initial licensing fee of five million dollars ($5,000,000) (the “Initial Licensing Fee”), which was paid on August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 Agreement provides for mid-single digit royalty payments based on net sales using the Licensed Trademarks, with a tiered structure reaching up to twenty-five million dollars ($25,000,000), at which point Stryten will be required to pay a nominal annual license fee. Additional fees will apply for battery design and contract manufacturing services outside of the License Agreement. The License Agreement is perpetual in term, unless terminated by: (i) Battle Born LLC if Stryten fails to pay the royalty payments required by the License Agreement and such royalty payments remain unpaid thirty (30) days after notice of such overdue payments (provided that Battle Born LLC uses reasonable efforts to discuss such overdue payments with Stryten), or (ii) either party (x) if the other party materially breaches the License Agreement and fails to cure such material breach within thirty (30) days of notice of such breach, (y) upon the occurrence of certain bankruptcy-related events, or (z) under certain circumstances, if the aggregate royalty payments received by Battle Born LLC under the License Agreement are less than fifteen million dollars ($15,000,000) after five (5)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initial merger consideration in connection with our business combination in October of 2022, up to 444,445 additional shares of common stock (“</w:t>
      </w:r>
      <w:r>
        <w:rPr>
          <w:rFonts w:ascii="Times New Roman;Times;Serif" w:hAnsi="Times New Roman;Times;Serif"/>
          <w:b/>
          <w:i w:val="false"/>
          <w:caps w:val="false"/>
          <w:smallCaps w:val="false"/>
          <w:sz w:val="20"/>
        </w:rPr>
        <w:t>Earnout Shares</w:t>
      </w:r>
      <w:r>
        <w:rPr>
          <w:rFonts w:ascii="Times New Roman;Times;Serif" w:hAnsi="Times New Roman;Times;Serif"/>
          <w:b w:val="false"/>
          <w:i w:val="false"/>
          <w:caps w:val="false"/>
          <w:smallCaps w:val="false"/>
          <w:sz w:val="20"/>
        </w:rPr>
        <w:t>”) may be issued based on achieving specified milestones in three tranches: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Tranche (166,667 shares): Issuable if 2023 total audited revenue is at least $250 million and audited operating income is at least $35 million. This milestone was not achieved for 2023.</w:t>
            </w:r>
          </w:p>
        </w:tc>
      </w:tr>
      <w:tr>
        <w:trPr/>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Tranche (138,889 shares): Issuable if the volume-weighted average trading price of common stock reaches $2,025.00 over any 20 trading days within a 30-day period, on or before December 31, 2026.</w:t>
            </w:r>
          </w:p>
        </w:tc>
      </w:tr>
      <w:tr>
        <w:trPr/>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Tranche (138,889 shares): Issuable if the volume-weighted average trading price of common stock reaches $2,925.00 over any 20 trading days within a 30-day period, on or before December 31, 2028.</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occurs during the second or third earnout periods, unachieved milestones will be automatically deemed satisfied if the share price at the time of the transaction meets or exceeds $2,025.00 for the second period or $2,925.00 for the third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Chardan Capital Markets LLC, a New York limited liability company (“CCM LLC”) entered into a purchase agreement (as amended, the “</w:t>
      </w:r>
      <w:r>
        <w:rPr>
          <w:rFonts w:ascii="Times New Roman;Times;Serif" w:hAnsi="Times New Roman;Times;Serif"/>
          <w:b/>
          <w:i w:val="false"/>
          <w:caps w:val="false"/>
          <w:smallCaps w:val="false"/>
          <w:sz w:val="20"/>
        </w:rPr>
        <w:t>ChEF Purchase Agreement</w:t>
      </w:r>
      <w:r>
        <w:rPr>
          <w:rFonts w:ascii="Times New Roman;Times;Serif" w:hAnsi="Times New Roman;Times;Serif"/>
          <w:b w:val="false"/>
          <w:i w:val="false"/>
          <w:caps w:val="false"/>
          <w:smallCaps w:val="false"/>
          <w:sz w:val="20"/>
        </w:rPr>
        <w:t>”) and a Registration Rights Agreement in connection with our merger in October 2022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Pursuant to the Original Purchase Agreement, we had the right to sell to CCM LLC an amount of shares of common stock, up to a maximum aggregate purchase price of $150 million, pursuant to the terms of the ChEF Purchase Agreement (the “</w:t>
      </w:r>
      <w:r>
        <w:rPr>
          <w:rFonts w:ascii="Times New Roman;Times;Serif" w:hAnsi="Times New Roman;Times;Serif"/>
          <w:b/>
          <w:i w:val="false"/>
          <w:caps w:val="false"/>
          <w:smallCaps w:val="false"/>
          <w:sz w:val="20"/>
        </w:rPr>
        <w:t>ChEF Equity Facility</w:t>
      </w:r>
      <w:r>
        <w:rPr>
          <w:rFonts w:ascii="Times New Roman;Times;Serif" w:hAnsi="Times New Roman;Times;Serif"/>
          <w:b w:val="false"/>
          <w:i w:val="false"/>
          <w:caps w:val="false"/>
          <w:smallCaps w:val="false"/>
          <w:sz w:val="20"/>
        </w:rPr>
        <w:t>”), subject to certain restrictions set forth in the Term Loan Agreement (as defined below). The ChEF Purchase Agreement terminated in December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February 2025 Registered Direct Offering and Concurrent Private Placement, Fifth Amendment to Term Loan Agreement and April 2025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we entered into a securities purchase agreement with a single institutional investor, pursuant to which we sold in a registered direct offering (the “</w:t>
      </w:r>
      <w:r>
        <w:rPr>
          <w:rFonts w:ascii="Times New Roman;Times;Serif" w:hAnsi="Times New Roman;Times;Serif"/>
          <w:b/>
          <w:i w:val="false"/>
          <w:caps w:val="false"/>
          <w:smallCaps w:val="false"/>
          <w:sz w:val="20"/>
        </w:rPr>
        <w:t>Registered Direct Offering</w:t>
      </w:r>
      <w:r>
        <w:rPr>
          <w:rFonts w:ascii="Times New Roman;Times;Serif" w:hAnsi="Times New Roman;Times;Serif"/>
          <w:b w:val="false"/>
          <w:i w:val="false"/>
          <w:caps w:val="false"/>
          <w:smallCaps w:val="false"/>
          <w:sz w:val="20"/>
        </w:rPr>
        <w:t>”) 18 shares of Series A Convertible Preferred Stock, par value $0.001 per share (the “</w:t>
      </w:r>
      <w:r>
        <w:rPr>
          <w:rFonts w:ascii="Times New Roman;Times;Serif" w:hAnsi="Times New Roman;Times;Serif"/>
          <w:b/>
          <w:i w:val="false"/>
          <w:caps w:val="false"/>
          <w:smallCaps w:val="false"/>
          <w:sz w:val="20"/>
        </w:rPr>
        <w:t>Series A Preferred Stock</w:t>
      </w:r>
      <w:r>
        <w:rPr>
          <w:rFonts w:ascii="Times New Roman;Times;Serif" w:hAnsi="Times New Roman;Times;Serif"/>
          <w:b w:val="false"/>
          <w:i w:val="false"/>
          <w:caps w:val="false"/>
          <w:smallCaps w:val="false"/>
          <w:sz w:val="20"/>
        </w:rPr>
        <w:t>”), at a price of $100,000 per share, initially convertible into shares of our common stock, at a conversion price of $23.32 per share of common stock. The Series A Preferred Stock was also convertible by the investor at an adjusted conversion price, subject to the applicable floor price.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sale of the Series A Preferred Stock in the Registered Direct Offering, in a private placement offering pursuant to the Purchase Agreement (the “</w:t>
      </w:r>
      <w:r>
        <w:rPr>
          <w:rFonts w:ascii="Times New Roman;Times;Serif" w:hAnsi="Times New Roman;Times;Serif"/>
          <w:b/>
          <w:i w:val="false"/>
          <w:caps w:val="false"/>
          <w:smallCaps w:val="false"/>
          <w:sz w:val="20"/>
        </w:rPr>
        <w:t>Private Placement</w:t>
      </w:r>
      <w:r>
        <w:rPr>
          <w:rFonts w:ascii="Times New Roman;Times;Serif" w:hAnsi="Times New Roman;Times;Serif"/>
          <w:b w:val="false"/>
          <w:i w:val="false"/>
          <w:caps w:val="false"/>
          <w:smallCaps w:val="false"/>
          <w:sz w:val="20"/>
        </w:rPr>
        <w:t>” and, together with the Registered Direct Offering, the “</w:t>
      </w:r>
      <w:r>
        <w:rPr>
          <w:rFonts w:ascii="Times New Roman;Times;Serif" w:hAnsi="Times New Roman;Times;Serif"/>
          <w:b/>
          <w:i w:val="false"/>
          <w:caps w:val="false"/>
          <w:smallCaps w:val="false"/>
          <w:sz w:val="20"/>
        </w:rPr>
        <w:t>Offerings</w:t>
      </w:r>
      <w:r>
        <w:rPr>
          <w:rFonts w:ascii="Times New Roman;Times;Serif" w:hAnsi="Times New Roman;Times;Serif"/>
          <w:b w:val="false"/>
          <w:i w:val="false"/>
          <w:caps w:val="false"/>
          <w:smallCaps w:val="false"/>
          <w:sz w:val="20"/>
        </w:rPr>
        <w:t>”), we sold, at the initial closing of the Private Placement (the “Initial Closing” and, together with the Registered Direct Offering, the “</w:t>
      </w:r>
      <w:r>
        <w:rPr>
          <w:rFonts w:ascii="Times New Roman;Times;Serif" w:hAnsi="Times New Roman;Times;Serif"/>
          <w:b/>
          <w:i w:val="false"/>
          <w:caps w:val="false"/>
          <w:smallCaps w:val="false"/>
          <w:sz w:val="20"/>
        </w:rPr>
        <w:t>Initial Offerings</w:t>
      </w:r>
      <w:r>
        <w:rPr>
          <w:rFonts w:ascii="Times New Roman;Times;Serif" w:hAnsi="Times New Roman;Times;Serif"/>
          <w:b w:val="false"/>
          <w:i w:val="false"/>
          <w:caps w:val="false"/>
          <w:smallCaps w:val="false"/>
          <w:sz w:val="20"/>
        </w:rPr>
        <w:t>”), (i) an additional 17 shares of Series A Preferred Stock at the same offering price as the Series A Preferred Stock offered in the Registered Direct Offering, initially convertible into shares of common stock at a conversion price of $23.32 per share, and (ii) warrants (the “</w:t>
      </w:r>
      <w:r>
        <w:rPr>
          <w:rFonts w:ascii="Times New Roman;Times;Serif" w:hAnsi="Times New Roman;Times;Serif"/>
          <w:b/>
          <w:i w:val="false"/>
          <w:caps w:val="false"/>
          <w:smallCaps w:val="false"/>
          <w:sz w:val="20"/>
        </w:rPr>
        <w:t>Private Placement Convertible Preferred Warrants</w:t>
      </w:r>
      <w:r>
        <w:rPr>
          <w:rFonts w:ascii="Times New Roman;Times;Serif" w:hAnsi="Times New Roman;Times;Serif"/>
          <w:b w:val="false"/>
          <w:i w:val="false"/>
          <w:caps w:val="false"/>
          <w:smallCaps w:val="false"/>
          <w:sz w:val="20"/>
        </w:rPr>
        <w:t>”) to purchase up to an aggregate of 400 shares of Series A Preferred Stock (the “</w:t>
      </w:r>
      <w:r>
        <w:rPr>
          <w:rFonts w:ascii="Times New Roman;Times;Serif" w:hAnsi="Times New Roman;Times;Serif"/>
          <w:b/>
          <w:i w:val="false"/>
          <w:caps w:val="false"/>
          <w:smallCaps w:val="false"/>
          <w:sz w:val="20"/>
        </w:rPr>
        <w:t>Private Placement Warrant Shares</w:t>
      </w:r>
      <w:r>
        <w:rPr>
          <w:rFonts w:ascii="Times New Roman;Times;Serif" w:hAnsi="Times New Roman;Times;Serif"/>
          <w:b w:val="false"/>
          <w:i w:val="false"/>
          <w:caps w:val="false"/>
          <w:smallCaps w:val="false"/>
          <w:sz w:val="20"/>
        </w:rPr>
        <w:t>”), with an exercise price of $100,000 per share of Series A Preferred Stock, and a term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under each Private Placement Convertible Preferred Warrant was $100,000 per share of Series A Preferred Stock. Each Private Placement Convertible Preferred Warrant was exercisable for 20 shares of Series A Preferred Stock in minimum increments of $500,000. The Private Placement Convertible Preferred Warrants had a term beginning on the issuance date and ending on or prior to the earlier of (i) the thirty-three (33) month anniversary of the date the shares of common stock issued or issuable upon the conversion of the Series A Preferred Stock issued in the concurrent Private Placement were registered for resale (“</w:t>
      </w:r>
      <w:r>
        <w:rPr>
          <w:rFonts w:ascii="Times New Roman;Times;Serif" w:hAnsi="Times New Roman;Times;Serif"/>
          <w:b/>
          <w:i w:val="false"/>
          <w:caps w:val="false"/>
          <w:smallCaps w:val="false"/>
          <w:sz w:val="20"/>
        </w:rPr>
        <w:t>Registration Effectiveness</w:t>
      </w:r>
      <w:r>
        <w:rPr>
          <w:rFonts w:ascii="Times New Roman;Times;Serif" w:hAnsi="Times New Roman;Times;Serif"/>
          <w:b w:val="false"/>
          <w:i w:val="false"/>
          <w:caps w:val="false"/>
          <w:smallCaps w:val="false"/>
          <w:sz w:val="20"/>
        </w:rPr>
        <w:t>”) pursuant to an effective registration statement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(such date, the “</w:t>
      </w:r>
      <w:r>
        <w:rPr>
          <w:rFonts w:ascii="Times New Roman;Times;Serif" w:hAnsi="Times New Roman;Times;Serif"/>
          <w:b/>
          <w:i w:val="false"/>
          <w:caps w:val="false"/>
          <w:smallCaps w:val="false"/>
          <w:sz w:val="20"/>
        </w:rPr>
        <w:t>Registration Effectiveness Date</w:t>
      </w:r>
      <w:r>
        <w:rPr>
          <w:rFonts w:ascii="Times New Roman;Times;Serif" w:hAnsi="Times New Roman;Times;Serif"/>
          <w:b w:val="false"/>
          <w:i w:val="false"/>
          <w:caps w:val="false"/>
          <w:smallCaps w:val="false"/>
          <w:sz w:val="20"/>
        </w:rPr>
        <w:t>”) and (ii) (A) the consummation of a Change of Control (as defined in the certificate of designation) and (B) the consummation of a redemption of the then outstanding Series A Preferred Stock in full. The exercise price and number of shares of Series A Preferred Stock issuable upon exercise was subject to appropriate adjustment in the event of share dividends, share splits, reorganizations or similar events affecting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2025, pursuant to the Purchase Agreement, we sold to the Purchaser, in the second closing of the Private Placement (the “Second Closing”) 45 Preferred Shares at a price of $100,000 per share, initially convertible into shares of common stock at a conversion price of $5.95 per share,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to us from the Initial Offerings and the Second Offering, after deducting the placement agent’s fees and expenses and estimated offering expenses, were approximately $3.2 million and $4.2 million, respectively, excluding the net proceeds, if any, from the exercise of the Private Placement Convertible Preferred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precedent to the closing of the Initial Offerings, on February 26, 2025, we entered into the Fifth Amendment (the “</w:t>
      </w:r>
      <w:r>
        <w:rPr>
          <w:rFonts w:ascii="Times New Roman;Times;Serif" w:hAnsi="Times New Roman;Times;Serif"/>
          <w:b/>
          <w:i w:val="false"/>
          <w:caps w:val="false"/>
          <w:smallCaps w:val="false"/>
          <w:sz w:val="20"/>
        </w:rPr>
        <w:t>Fifth Amendment</w:t>
      </w:r>
      <w:r>
        <w:rPr>
          <w:rFonts w:ascii="Times New Roman;Times;Serif" w:hAnsi="Times New Roman;Times;Serif"/>
          <w:b w:val="false"/>
          <w:i w:val="false"/>
          <w:caps w:val="false"/>
          <w:smallCaps w:val="false"/>
          <w:sz w:val="20"/>
        </w:rPr>
        <w:t>”) to the Term Loan Agreement with the Term Loan Lenders. Under the Fifth Amendment, the Term Loan Lenders agreed to, among other matters (i) receive no principal or interest payments under the Term Loan Agreement through March 31, 2026, and (ii) remove certain financial covenant tests under the Term Loan, provided that we maintain cash and cash equivalents equal to at least $2.5 million through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2025, we and the holder of Private Placement Convertible Preferred Warrants agreed to cancel such holder’s Private Placement Convertible Preferred Warrants to purchase up to an aggregate of 400 shares of Series A Preferred Stock, with an exercise price of $100,000 per share of Series A Preferred Stock. As a result, the Private Placement Convertible Preferred Warrants are no longer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2025, we entered into a Settlement and Release Agreement (the “</w:t>
      </w:r>
      <w:r>
        <w:rPr>
          <w:rFonts w:ascii="Times New Roman;Times;Serif" w:hAnsi="Times New Roman;Times;Serif"/>
          <w:b/>
          <w:i w:val="false"/>
          <w:caps w:val="false"/>
          <w:smallCaps w:val="false"/>
          <w:sz w:val="20"/>
        </w:rPr>
        <w:t>Release Agreement</w:t>
      </w:r>
      <w:r>
        <w:rPr>
          <w:rFonts w:ascii="Times New Roman;Times;Serif" w:hAnsi="Times New Roman;Times;Serif"/>
          <w:b w:val="false"/>
          <w:i w:val="false"/>
          <w:caps w:val="false"/>
          <w:smallCaps w:val="false"/>
          <w:sz w:val="20"/>
        </w:rPr>
        <w:t>”) with the holder of the outstanding shares of Series A Preferred Stock. Pursuant to the terms of the Release Agreement, we issued and delivered 210,000 shares of common stock to the holder and the holder surrendered to the Company all of the outstanding shares of Series A Preferred Stock. In addition, under the Release Agreement, upon the issuance of the shares of common stock, our obligations under the Purchase Agreement, the Certificate of Designation governing the Series A Preferred Stock and the other agreements entered into in connection with the offering of the Series A Preferred Stock were satisfied in full and the Purchase Agreement and the other agreements were deemed terminated and any remaining shares of Series A Preferred Stock that were outstanding or deemed to be outstanding were deemed cancelled and no longer outstanding. We have no further obligation to issue any shares of common stock or Series A Preferred Stock to the holder under the Purchase Agreement or otherwise. Under the Release Agreement, each party also provided a full release to the other party.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2025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2025, we entered into an underwriting agreement with Canaccord Genuity LLC (“</w:t>
      </w:r>
      <w:r>
        <w:rPr>
          <w:rFonts w:ascii="Times New Roman;Times;Serif" w:hAnsi="Times New Roman;Times;Serif"/>
          <w:b/>
          <w:i w:val="false"/>
          <w:caps w:val="false"/>
          <w:smallCaps w:val="false"/>
          <w:sz w:val="20"/>
        </w:rPr>
        <w:t>Canaccord</w:t>
      </w:r>
      <w:r>
        <w:rPr>
          <w:rFonts w:ascii="Times New Roman;Times;Serif" w:hAnsi="Times New Roman;Times;Serif"/>
          <w:b w:val="false"/>
          <w:i w:val="false"/>
          <w:caps w:val="false"/>
          <w:smallCaps w:val="false"/>
          <w:sz w:val="20"/>
        </w:rPr>
        <w:t>”), as representative of the several underwriters named in the certain underwriting agreement, relating to an underwritten public offering (the “</w:t>
      </w:r>
      <w:r>
        <w:rPr>
          <w:rFonts w:ascii="Times New Roman;Times;Serif" w:hAnsi="Times New Roman;Times;Serif"/>
          <w:b/>
          <w:i w:val="false"/>
          <w:caps w:val="false"/>
          <w:smallCaps w:val="false"/>
          <w:sz w:val="20"/>
        </w:rPr>
        <w:t>July 2025 Public Offering</w:t>
      </w:r>
      <w:r>
        <w:rPr>
          <w:rFonts w:ascii="Times New Roman;Times;Serif" w:hAnsi="Times New Roman;Times;Serif"/>
          <w:b w:val="false"/>
          <w:i w:val="false"/>
          <w:caps w:val="false"/>
          <w:smallCaps w:val="false"/>
          <w:sz w:val="20"/>
        </w:rPr>
        <w:t>”) of 2,198,000 shares of common stock, at a price to the public of $2.50 per share. On July 31, 2025, we completed the July 2025 Public Offering raising gross proceeds of approximately $5.5 million and net proceeds of $4.7 million after deducting underwriting discounts and commissions and other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October 2025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we entered into an underwriting agreement with Canaccord, as representative of the several underwriters (the “</w:t>
      </w:r>
      <w:r>
        <w:rPr>
          <w:rFonts w:ascii="Times New Roman;Times;Serif" w:hAnsi="Times New Roman;Times;Serif"/>
          <w:b/>
          <w:i w:val="false"/>
          <w:caps w:val="false"/>
          <w:smallCaps w:val="false"/>
          <w:sz w:val="20"/>
        </w:rPr>
        <w:t>First Offering Underwriters</w:t>
      </w:r>
      <w:r>
        <w:rPr>
          <w:rFonts w:ascii="Times New Roman;Times;Serif" w:hAnsi="Times New Roman;Times;Serif"/>
          <w:b w:val="false"/>
          <w:i w:val="false"/>
          <w:caps w:val="false"/>
          <w:smallCaps w:val="false"/>
          <w:sz w:val="20"/>
        </w:rPr>
        <w:t>”) named in the underwriting agreement dated October 6, 2025, relating to an underwritten public offering (the “</w:t>
      </w:r>
      <w:r>
        <w:rPr>
          <w:rFonts w:ascii="Times New Roman;Times;Serif" w:hAnsi="Times New Roman;Times;Serif"/>
          <w:b/>
          <w:i w:val="false"/>
          <w:caps w:val="false"/>
          <w:smallCaps w:val="false"/>
          <w:sz w:val="20"/>
        </w:rPr>
        <w:t>First October 2025 Offering</w:t>
      </w:r>
      <w:r>
        <w:rPr>
          <w:rFonts w:ascii="Times New Roman;Times;Serif" w:hAnsi="Times New Roman;Times;Serif"/>
          <w:b w:val="false"/>
          <w:i w:val="false"/>
          <w:caps w:val="false"/>
          <w:smallCaps w:val="false"/>
          <w:sz w:val="20"/>
        </w:rPr>
        <w:t>”) of 2,000,000 shares of common stock at a price to the public of $12.50 per share, which includes the First Offering Underwriters’ option to purchase an additional 300,000 shares of common stock, at a public offering price of $12.50 per share. On October 8, 2025, we completed the First October 2025 Offering, including the full exercise of the additional 300,000 shares of common stock, raising gross proceeds of approximately $28.8 million and net proceeds of $26.9 million after deducting underwriting discounts and commissions and other estimated offering expenses payable by us. On October 8, 2025 upon a request from our Term Loan Lenders under the term loan agreement, we repaid $4.0 million of principal to satisfy a portion of its outstanding principal under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we entered into an additional underwriting agreement with Canaccord, as representative of the several underwriters (the “</w:t>
      </w:r>
      <w:r>
        <w:rPr>
          <w:rFonts w:ascii="Times New Roman;Times;Serif" w:hAnsi="Times New Roman;Times;Serif"/>
          <w:b/>
          <w:i w:val="false"/>
          <w:caps w:val="false"/>
          <w:smallCaps w:val="false"/>
          <w:sz w:val="20"/>
        </w:rPr>
        <w:t>Second Offering Underwriters</w:t>
      </w:r>
      <w:r>
        <w:rPr>
          <w:rFonts w:ascii="Times New Roman;Times;Serif" w:hAnsi="Times New Roman;Times;Serif"/>
          <w:b w:val="false"/>
          <w:i w:val="false"/>
          <w:caps w:val="false"/>
          <w:smallCaps w:val="false"/>
          <w:sz w:val="20"/>
        </w:rPr>
        <w:t>”) named in the underwriting agreement, dated October 17, 2025 (the “</w:t>
      </w:r>
      <w:r>
        <w:rPr>
          <w:rFonts w:ascii="Times New Roman;Times;Serif" w:hAnsi="Times New Roman;Times;Serif"/>
          <w:b/>
          <w:i w:val="false"/>
          <w:caps w:val="false"/>
          <w:smallCaps w:val="false"/>
          <w:sz w:val="20"/>
        </w:rPr>
        <w:t>Second Offering Underwriting Agreement</w:t>
      </w:r>
      <w:r>
        <w:rPr>
          <w:rFonts w:ascii="Times New Roman;Times;Serif" w:hAnsi="Times New Roman;Times;Serif"/>
          <w:b w:val="false"/>
          <w:i w:val="false"/>
          <w:caps w:val="false"/>
          <w:smallCaps w:val="false"/>
          <w:sz w:val="20"/>
        </w:rPr>
        <w:t>”), relating to an underwritten public offering (the “</w:t>
      </w:r>
      <w:r>
        <w:rPr>
          <w:rFonts w:ascii="Times New Roman;Times;Serif" w:hAnsi="Times New Roman;Times;Serif"/>
          <w:b/>
          <w:i w:val="false"/>
          <w:caps w:val="false"/>
          <w:smallCaps w:val="false"/>
          <w:sz w:val="20"/>
        </w:rPr>
        <w:t>Second October 2025 Offering</w:t>
      </w:r>
      <w:r>
        <w:rPr>
          <w:rFonts w:ascii="Times New Roman;Times;Serif" w:hAnsi="Times New Roman;Times;Serif"/>
          <w:b w:val="false"/>
          <w:i w:val="false"/>
          <w:caps w:val="false"/>
          <w:smallCaps w:val="false"/>
          <w:sz w:val="20"/>
        </w:rPr>
        <w:t>”) of 3,600,000 shares of common stock at a price to the public of $13.50 per share, and (ii) prefunded warrants (the “</w:t>
      </w:r>
      <w:r>
        <w:rPr>
          <w:rFonts w:ascii="Times New Roman;Times;Serif" w:hAnsi="Times New Roman;Times;Serif"/>
          <w:b/>
          <w:i w:val="false"/>
          <w:caps w:val="false"/>
          <w:smallCaps w:val="false"/>
          <w:sz w:val="20"/>
        </w:rPr>
        <w:t>October 2025 Pre-Funded Warrants</w:t>
      </w:r>
      <w:r>
        <w:rPr>
          <w:rFonts w:ascii="Times New Roman;Times;Serif" w:hAnsi="Times New Roman;Times;Serif"/>
          <w:b w:val="false"/>
          <w:i w:val="false"/>
          <w:caps w:val="false"/>
          <w:smallCaps w:val="false"/>
          <w:sz w:val="20"/>
        </w:rPr>
        <w:t>”) to purchase up to 500,000 shares of common stock (the “</w:t>
      </w:r>
      <w:r>
        <w:rPr>
          <w:rFonts w:ascii="Times New Roman;Times;Serif" w:hAnsi="Times New Roman;Times;Serif"/>
          <w:b/>
          <w:i w:val="false"/>
          <w:caps w:val="false"/>
          <w:smallCaps w:val="false"/>
          <w:sz w:val="20"/>
        </w:rPr>
        <w:t>Pre-Funded Warrant Shares</w:t>
      </w:r>
      <w:r>
        <w:rPr>
          <w:rFonts w:ascii="Times New Roman;Times;Serif" w:hAnsi="Times New Roman;Times;Serif"/>
          <w:b w:val="false"/>
          <w:i w:val="false"/>
          <w:caps w:val="false"/>
          <w:smallCaps w:val="false"/>
          <w:sz w:val="20"/>
        </w:rPr>
        <w:t>”) at a price to the public of $13.50 per October 2025 Pre-Funded Warrant, which represents the per share public offering price for the Shares (as defined below) less the $0.001 per share exercise price for each such Pre-Funded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Sixth Amendment to Term Loan, Series B Preferred Stock Issuance and 2025 Debt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2025, we entered into the Sixth Amendment to the Term Loan Agreement with the Term Loan Lenders to, among other matters, (i) adjust the fixed interest rate of the remaining outstanding principal amount under the Term Loan Agreement to a fixed interest rate of 12% per annum, payable monthly commencing December 31, 2025 that will mature in October 2027, and (ii) waive any applicable financial covenants (except for a financial covenant requiring us to maintain cash and cash equivalents equal to or greater than $5.0 million) through December 31, 2026. In connection with the Sixth Amendment, (i) we made a prepayment of $45.0 million of outstanding indebtedness under the Term Loan Agreement from the net proceeds from the Second October 2025 Offering (the “</w:t>
      </w:r>
      <w:r>
        <w:rPr>
          <w:rFonts w:ascii="Times New Roman;Times;Serif" w:hAnsi="Times New Roman;Times;Serif"/>
          <w:b/>
          <w:i w:val="false"/>
          <w:caps w:val="false"/>
          <w:smallCaps w:val="false"/>
          <w:sz w:val="20"/>
        </w:rPr>
        <w:t>Loan Prepayment</w:t>
      </w:r>
      <w:r>
        <w:rPr>
          <w:rFonts w:ascii="Times New Roman;Times;Serif" w:hAnsi="Times New Roman;Times;Serif"/>
          <w:b w:val="false"/>
          <w:i w:val="false"/>
          <w:caps w:val="false"/>
          <w:smallCaps w:val="false"/>
          <w:sz w:val="20"/>
        </w:rPr>
        <w:t>”), (ii) the Term Loan Lenders forgave the repayment of $5.0 million of the outstanding principal under the Term Loan Agreement, (iii) we paid a fee to the Term Loan Lenders equal to approximately $450,000 in cash and $450,000 added to principal outstanding amount of the loan under the Term Loan Agreement; and (iv) we issued 25,000 shares of Series B Preferred Stock in exchange for $25.0 million outstanding principal amount of the Term Loan. The remaining outstanding principal amount under the Term Loan Agreement of approximately $19.0 million, after the repayment and forgiveness disclosed above, will have a fixed interest rate of 12% per annum, payable monthly commencing December 31, 2025 and will mature in October 2027. In addition, certain covenants under the Term Loan Agreement have been waived through December 31, 2026, and we have agreed to a minimum liquidity covenant of $5.0 million calculated on a monthly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we filed a Certificate of Designation of the Powers, Preferences and Relative, Participating, Optional and Other Restrictions of Series B Convertible Preferred Stock (the “Series B Certificate of Designation”) with the Secretary of State of the State of Nevada to establish the rights, privileges, preferences, and restrictions of the Series B Preferred Stock. As set forth in the Certificate of Designation, we designated 25,000 shares of preferred stock as Series B Preferred Stock with a stated value of $1,000 per share. The Series B Preferred Stock is convertible into shares of common stock at the option of the Term Lenders at a conversion price of $31.50 per share, or an aggregate of 793,651 shares of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we entered into the Exchange Agreement with the Term Loan Lenders pursuant to we issued 25,000 shares of newly created Series B Preferred Stock in exchange for $25.0 million outstanding principal amount of the Term Loan. The Series B Preferred Stock (i) is convertible into shares of common stock at the option of the Term Loan Lenders at a conversion price of $31.50 per share, or an aggregate of 793,651 shares of common stock, (ii) has a dividend of 8% per annum payable quarterly in cash and (iii) has a dividend of 2% per annum payable quarterly in kind (“</w:t>
      </w:r>
      <w:r>
        <w:rPr>
          <w:rFonts w:ascii="Times New Roman;Times;Serif" w:hAnsi="Times New Roman;Times;Serif"/>
          <w:b/>
          <w:i w:val="false"/>
          <w:caps w:val="false"/>
          <w:smallCaps w:val="false"/>
          <w:sz w:val="20"/>
        </w:rPr>
        <w:t>PIK Dividends</w:t>
      </w:r>
      <w:r>
        <w:rPr>
          <w:rFonts w:ascii="Times New Roman;Times;Serif" w:hAnsi="Times New Roman;Times;Serif"/>
          <w:b w:val="false"/>
          <w:i w:val="false"/>
          <w:caps w:val="false"/>
          <w:smallCaps w:val="false"/>
          <w:sz w:val="20"/>
        </w:rPr>
        <w:t>”), which includes the aggregate amount of all paid PIK Dividends and any accrued and unpaid PIK Dividends on the applicable dividend date. In addition, we have a right to redeem any outstanding shares of the Series B Preferred Stock at our option at the greater of (i) the stated value plus any outstanding dividends and (ii) the as-converted value of the shares of common stock underlying the Series B Preferred Stock (the “Optional Redemption Price”). The Term Loan Lenders have also agreed not to convert any shares of the Series B Preferred Stock for a period of six months following the issuance of the Series B Preferred Stock. In connection with any future equity offerings, we will be required to use 50% of the net proceeds from such offering to redeem outstanding shares of the Series B Preferred Stock at the Optional Redemption Price. In the event we have not redeemed the outstanding shares of Series B Preferred Stock by October 7, 2027 or upon the occurrence of a Non-Payment Event (as defined in the Series B Certificate of Designation), the holders will have the right to require us to redeem the Series B Preferred Stock at the Optional Redemption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Distribution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entered into an Equity Distribution Agreement with Canaccord Genuity LLC (“</w:t>
      </w:r>
      <w:r>
        <w:rPr>
          <w:rFonts w:ascii="Times New Roman;Times;Serif" w:hAnsi="Times New Roman;Times;Serif"/>
          <w:b/>
          <w:i w:val="false"/>
          <w:caps w:val="false"/>
          <w:smallCaps w:val="false"/>
          <w:sz w:val="20"/>
        </w:rPr>
        <w:t>Canaccord</w:t>
      </w:r>
      <w:r>
        <w:rPr>
          <w:rFonts w:ascii="Times New Roman;Times;Serif" w:hAnsi="Times New Roman;Times;Serif"/>
          <w:b w:val="false"/>
          <w:i w:val="false"/>
          <w:caps w:val="false"/>
          <w:smallCaps w:val="false"/>
          <w:sz w:val="20"/>
        </w:rPr>
        <w:t>”) under which we may offer and sell, from time to time, shares of our common stock through an at-the-market equity offering program (the “</w:t>
      </w:r>
      <w:r>
        <w:rPr>
          <w:rFonts w:ascii="Times New Roman;Times;Serif" w:hAnsi="Times New Roman;Times;Serif"/>
          <w:b/>
          <w:i w:val="false"/>
          <w:caps w:val="false"/>
          <w:smallCaps w:val="false"/>
          <w:sz w:val="20"/>
        </w:rPr>
        <w:t>ATM</w:t>
      </w:r>
      <w:r>
        <w:rPr>
          <w:rFonts w:ascii="Times New Roman;Times;Serif" w:hAnsi="Times New Roman;Times;Serif"/>
          <w:b w:val="false"/>
          <w:i w:val="false"/>
          <w:caps w:val="false"/>
          <w:smallCaps w:val="false"/>
          <w:sz w:val="20"/>
        </w:rPr>
        <w:t>”) for up to $50.0 million in gross proceeds. Subsequent to December 31, 2025, we did not sell any shares of our common stock pursuant to the ATM.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position and results of operations depend to a significant extent on the following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 Consumers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ultimately depends on demand from consumers in our current end markets. We generate sales through (1) direct-to-customer and (2) through OEMs, particularly in the RV market. As our business has evolved, our growth strategy has increasingly shifted toward OEM, fleet, and industrial channels, where we can deliver integrated energy storage solutions at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from end market consumers is impacted by a number of factors, including travel restrictions, fuel costs and energy demands (including an increasing trend towards the use of green energy), as well as overall macro-economic conditions and inflation. Sales of our batteries have benefited from the increased adoption of the RV lifestyle, the demand for and inclusion of additional appliances and electronics in RVs, and the accelerating trend of solar power adoption among RV customers. However, macro-economic conditions and increased competition from imported battery packs have led to a decrease in direct to consumer sales. We have focused on product diversification, including the introduction of batteries equipped with our Dragonfly IntelLigence technology and the expansion of complementary system components that support integrated power solutions across our end markets. We expect that direct to consumer sales will remain relatively flat through 2026. However, we expect growth among our existing RV OEM customers to be driven by expanded adoption of our products across additional models and configurations, as well as increased system content per unit, rather than solely by changes in overall RV shipment volumes. In addition, we anticipate increased revenue from continued expansion within existing customer relationships across other end markets, including industrial and commercial energy storage applications and the heavy-duty trucking market, where fleet customers have begun to adopt our systems and expand deployments following initial pilot programs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we are actively working down our inventory to more appropriate safety stock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sales consist of sales of numerous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Production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390,240 square foot headquarters and manufacturing facility located in Reno, Nevada. We currently operate four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 We have also focused on optimizing our manufacturing efficiency and throughput, enabling us to increase our production capacity without the need for increased headcount.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own conventional LFP cells and, in the longer term, solid 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is currently primarily focused on the scaling our proprietary dry electrode process for domestic production of full LFP cells. Although we have reallocated resources from the advanced manufacturing of solid-state lithium-ion batteries in order to focus on conventional cells, we expect to return to the solid-state chemistry as capital becomes more available for these longer term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are primarily generated from the sale of our LFP batteries to OEMs and directly to consumers, as well as chargers and other accessories, either individually or bundled, and recognition of deferred licensing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includes the cost of cells and other components of our LFP batteries, labor and overhead, logistics and freight costs, and depreciation of manufacturing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calculated as net sales less cost of goods sold, may vary between periods and is primarily affected by various factors including average selling prices, product costs, product mix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include personnel-related expenses for scientists, experienced engineers and technicians as well as the material and supplies to support the development of new products and our solid-state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personnel-related expenses attributable to our executive, finance, human resources, engineering and product development organizations, certain facility and information technology costs, and fees for professional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consist primarily of debt extinguishment, interest expense, the change in fair value of the warrant liability and amortization of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years ended December 31, 2025 and 2024. This data should be read together with our financial statements and related notes included elsewhere in this Annual Report, and is qualified in its entirety by reference to such financial statements and related notes.</w:t>
      </w:r>
    </w:p>
    <w:p>
      <w:pPr>
        <w:pStyle w:val="TextBody"/>
        <w:bidi w:val="0"/>
        <w:spacing w:before="0" w:after="0"/>
        <w:ind w:left="0" w:right="0" w:hanging="0"/>
        <w:jc w:val="both"/>
        <w:rPr>
          <w:caps w:val="false"/>
          <w:smallCaps w:val="false"/>
        </w:rPr>
      </w:pPr>
      <w:r>
        <w:rPr>
          <w:caps w:val="false"/>
          <w:smallCaps w:val="false"/>
        </w:rPr>
        <w:t> </w:t>
      </w:r>
    </w:p>
    <w:tbl>
      <w:tblPr>
        <w:tblW w:w="9833" w:type="dxa"/>
        <w:jc w:val="left"/>
        <w:tblInd w:w="0" w:type="dxa"/>
        <w:tblLayout w:type="fixed"/>
        <w:tblCellMar>
          <w:top w:w="0" w:type="dxa"/>
          <w:left w:w="0" w:type="dxa"/>
          <w:bottom w:w="0" w:type="dxa"/>
          <w:right w:w="0" w:type="dxa"/>
        </w:tblCellMar>
      </w:tblPr>
      <w:tblGrid>
        <w:gridCol w:w="4910"/>
        <w:gridCol w:w="60"/>
        <w:gridCol w:w="140"/>
        <w:gridCol w:w="755"/>
        <w:gridCol w:w="95"/>
        <w:gridCol w:w="60"/>
        <w:gridCol w:w="107"/>
        <w:gridCol w:w="1142"/>
        <w:gridCol w:w="95"/>
        <w:gridCol w:w="60"/>
        <w:gridCol w:w="140"/>
        <w:gridCol w:w="755"/>
        <w:gridCol w:w="95"/>
        <w:gridCol w:w="60"/>
        <w:gridCol w:w="119"/>
        <w:gridCol w:w="1130"/>
        <w:gridCol w:w="110"/>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3"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11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11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3" w:type="dxa"/>
            <w:gridSpan w:val="14"/>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58,630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50,645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42,983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bottom w:val="single" w:sz="8" w:space="0" w:color="000000"/>
            </w:tcBorders>
            <w:shd w:fill="FFFFFF" w:val="clear"/>
            <w:tcMar>
              <w:bottom w:w="28" w:type="dxa"/>
            </w:tcMar>
            <w:vAlign w:val="center"/>
          </w:tcPr>
          <w:p>
            <w:pPr>
              <w:pStyle w:val="TableContents"/>
              <w:bidi w:val="0"/>
              <w:spacing w:before="0" w:after="283"/>
              <w:jc w:val="right"/>
              <w:rPr/>
            </w:pPr>
            <w:r>
              <w:rPr/>
              <w:t>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39,019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77.0</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23.0</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10.8</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39.2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21,909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43.3</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19.8</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Loss on impairment of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bottom w:val="single" w:sz="8" w:space="0" w:color="000000"/>
            </w:tcBorders>
            <w:shd w:fill="FFFFFF" w:val="clear"/>
            <w:tcMar>
              <w:bottom w:w="28" w:type="dxa"/>
            </w:tcMar>
            <w:vAlign w:val="center"/>
          </w:tcPr>
          <w:p>
            <w:pPr>
              <w:pStyle w:val="TableContents"/>
              <w:bidi w:val="0"/>
              <w:spacing w:before="0" w:after="283"/>
              <w:jc w:val="right"/>
              <w:rPr/>
            </w:pPr>
            <w:r>
              <w:rPr/>
              <w:t>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38,820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8" w:space="0" w:color="000000"/>
            </w:tcBorders>
            <w:shd w:fill="CCEEFF" w:val="clear"/>
            <w:tcMar>
              <w:bottom w:w="28" w:type="dxa"/>
            </w:tcMar>
            <w:vAlign w:val="center"/>
          </w:tcPr>
          <w:p>
            <w:pPr>
              <w:pStyle w:val="TableContents"/>
              <w:bidi w:val="0"/>
              <w:spacing w:before="0" w:after="283"/>
              <w:jc w:val="right"/>
              <w:rPr/>
            </w:pPr>
            <w:r>
              <w:rPr/>
              <w:t>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37,385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73.8</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(23,173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(39.5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(25,759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(50.9</w:t>
            </w:r>
          </w:p>
        </w:tc>
        <w:tc>
          <w:tcPr>
            <w:tcW w:w="110" w:type="dxa"/>
            <w:tcBorders/>
            <w:shd w:fill="FFFFFF" w:val="clear"/>
            <w:vAlign w:val="center"/>
          </w:tcPr>
          <w:p>
            <w:pPr>
              <w:pStyle w:val="TableContents"/>
              <w:bidi w:val="0"/>
              <w:spacing w:before="0" w:after="283"/>
              <w:jc w:val="left"/>
              <w:rPr/>
            </w:pPr>
            <w:r>
              <w:rPr/>
              <w:t>)</w:t>
            </w:r>
          </w:p>
        </w:tc>
      </w:tr>
      <w:tr>
        <w:trPr/>
        <w:tc>
          <w:tcPr>
            <w:tcW w:w="491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(0.1</w:t>
            </w:r>
          </w:p>
        </w:tc>
        <w:tc>
          <w:tcPr>
            <w:tcW w:w="110" w:type="dxa"/>
            <w:tcBorders/>
            <w:shd w:fill="FFFFFF" w:val="clear"/>
            <w:vAlign w:val="center"/>
          </w:tcPr>
          <w:p>
            <w:pPr>
              <w:pStyle w:val="TableContents"/>
              <w:bidi w:val="0"/>
              <w:spacing w:before="0" w:after="283"/>
              <w:jc w:val="left"/>
              <w:rPr/>
            </w:pPr>
            <w:r>
              <w:rPr/>
              <w:t>)</w:t>
            </w:r>
          </w:p>
        </w:tc>
      </w:tr>
      <w:tr>
        <w:trPr/>
        <w:tc>
          <w:tcPr>
            <w:tcW w:w="491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(20,265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(34.6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(42.5</w:t>
            </w:r>
          </w:p>
        </w:tc>
        <w:tc>
          <w:tcPr>
            <w:tcW w:w="110" w:type="dxa"/>
            <w:tcBorders/>
            <w:shd w:fill="CCEE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pPr>
            <w:r>
              <w:rPr/>
              <w:t>Debt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(31,843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(54.3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8" w:space="0" w:color="000000"/>
            </w:tcBorders>
            <w:shd w:fill="CCEEFF" w:val="clear"/>
            <w:tcMar>
              <w:bottom w:w="28" w:type="dxa"/>
            </w:tcM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13.2</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rPr>
            </w:pPr>
            <w:r>
              <w:rPr>
                <w:b/>
              </w:rPr>
              <w:t>Total Other (Expense)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(46,860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bottom w:val="single" w:sz="8" w:space="0" w:color="000000"/>
            </w:tcBorders>
            <w:shd w:fill="FFFFFF" w:val="clear"/>
            <w:tcMar>
              <w:bottom w:w="28" w:type="dxa"/>
            </w:tcMar>
            <w:vAlign w:val="center"/>
          </w:tcPr>
          <w:p>
            <w:pPr>
              <w:pStyle w:val="TableContents"/>
              <w:bidi w:val="0"/>
              <w:spacing w:before="0" w:after="283"/>
              <w:jc w:val="right"/>
              <w:rPr/>
            </w:pPr>
            <w:r>
              <w:rPr/>
              <w:t>(79.9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(14,856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(29.3</w:t>
            </w:r>
          </w:p>
        </w:tc>
        <w:tc>
          <w:tcPr>
            <w:tcW w:w="110" w:type="dxa"/>
            <w:tcBorders/>
            <w:shd w:fill="FFFFFF" w:val="clear"/>
            <w:vAlign w:val="center"/>
          </w:tcPr>
          <w:p>
            <w:pPr>
              <w:pStyle w:val="TableContents"/>
              <w:bidi w:val="0"/>
              <w:spacing w:before="0" w:after="283"/>
              <w:jc w:val="left"/>
              <w:rPr/>
            </w:pPr>
            <w:r>
              <w:rPr/>
              <w:t>)</w:t>
            </w:r>
          </w:p>
        </w:tc>
      </w:tr>
      <w:tr>
        <w:trPr/>
        <w:tc>
          <w:tcPr>
            <w:tcW w:w="4910" w:type="dxa"/>
            <w:tcBorders/>
            <w:shd w:fill="CCEEFF" w:val="clear"/>
            <w:vAlign w:val="center"/>
          </w:tcPr>
          <w:p>
            <w:pPr>
              <w:pStyle w:val="TableContents"/>
              <w:bidi w:val="0"/>
              <w:spacing w:before="0" w:after="283"/>
              <w:jc w:val="left"/>
              <w:rPr>
                <w:b/>
              </w:rPr>
            </w:pPr>
            <w:r>
              <w:rPr>
                <w:b/>
              </w:rPr>
              <w:t>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(70,033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(119.4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(40,615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(80.2</w:t>
            </w:r>
          </w:p>
        </w:tc>
        <w:tc>
          <w:tcPr>
            <w:tcW w:w="110" w:type="dxa"/>
            <w:tcBorders/>
            <w:shd w:fill="CCEE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b/>
              </w:rPr>
            </w:pPr>
            <w:r>
              <w:rPr>
                <w:b/>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bottom w:val="single" w:sz="8" w:space="0" w:color="000000"/>
            </w:tcBorders>
            <w:shd w:fill="FFFFFF" w:val="clear"/>
            <w:tcMar>
              <w:bottom w:w="28" w:type="dxa"/>
            </w:tcMar>
            <w:vAlign w:val="center"/>
          </w:tcPr>
          <w:p>
            <w:pPr>
              <w:pStyle w:val="TableContents"/>
              <w:bidi w:val="0"/>
              <w:spacing w:before="0" w:after="283"/>
              <w:jc w:val="right"/>
              <w:rPr/>
            </w:pPr>
            <w:r>
              <w:rPr/>
              <w:t>(0.2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(69,939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(119.3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(40,615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(80.2</w:t>
            </w:r>
          </w:p>
        </w:tc>
        <w:tc>
          <w:tcPr>
            <w:tcW w:w="110" w:type="dxa"/>
            <w:tcBorders/>
            <w:shd w:fill="CCEE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b/>
              </w:rPr>
            </w:pPr>
            <w:r>
              <w:rPr>
                <w:b/>
              </w:rPr>
              <w:t>Less: Preferred Stock Dividends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(869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bottom w:val="double" w:sz="6" w:space="0" w:color="000000"/>
            </w:tcBorders>
            <w:shd w:fill="FFFFFF" w:val="clear"/>
            <w:tcMar>
              <w:bottom w:w="28" w:type="dxa"/>
            </w:tcM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rPr>
            </w:pPr>
            <w:r>
              <w:rPr>
                <w:b/>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(70,808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double" w:sz="6" w:space="0" w:color="000000"/>
            </w:tcBorders>
            <w:shd w:fill="CCEEFF" w:val="clear"/>
            <w:tcMar>
              <w:bottom w:w="28" w:type="dxa"/>
            </w:tcMar>
            <w:vAlign w:val="center"/>
          </w:tcPr>
          <w:p>
            <w:pPr>
              <w:pStyle w:val="TableContents"/>
              <w:bidi w:val="0"/>
              <w:spacing w:before="0" w:after="283"/>
              <w:jc w:val="right"/>
              <w:rPr/>
            </w:pPr>
            <w:r>
              <w:rPr/>
              <w:t>(120.8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(40,615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(80.2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1865"/>
        <w:gridCol w:w="60"/>
        <w:gridCol w:w="140"/>
        <w:gridCol w:w="680"/>
        <w:gridCol w:w="60"/>
        <w:gridCol w:w="60"/>
        <w:gridCol w:w="119"/>
        <w:gridCol w:w="1130"/>
        <w:gridCol w:w="60"/>
        <w:gridCol w:w="60"/>
        <w:gridCol w:w="140"/>
        <w:gridCol w:w="680"/>
        <w:gridCol w:w="60"/>
        <w:gridCol w:w="60"/>
        <w:gridCol w:w="119"/>
        <w:gridCol w:w="1130"/>
        <w:gridCol w:w="75"/>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9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98" w:type="dxa"/>
            <w:gridSpan w:val="14"/>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DTC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22,616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44.7</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OEM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36,934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27,612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54.5</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Licensing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0.8</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Net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58,630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50,645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increased by $8.0 million, or 15.8%, to $58.6 million for the year ended December 31, 2025, as compared to $50.6 million for the year ended December 31, 2024. This increase was primarily due to higher OEM battery and accessory sales of new models to existing customers and licensing revenue which is part of the Stryten Licensing Agreement entered into the second half of 2024. For the year ended December 31, 2025, DTC revenue decreased by $1.9 million as a result of decreased customer demand for our products due to rising interest rates and inflation. We expect our sales to increase in the next 12 months as our customers expand the number of models they include our battery systems in for the new model year and our entrance into new markets, trucking and industrials, with new product offerings.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increased by $4.0 million, or 10.2%, to $43.0 million for the year ended December 31, 2025, as compared to $39.0 million for the year ended December 31, 2024. This increase was to higher unit volume of batteries and accessories. Overhead increased due to allocation of expense related to the new building and lease. We expect our cost of goods sold to increase over the next 12 months in conjunction with the anticipated increase in revenue and higher tariffs but will be slightly offset with some automation initiatives in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by $4.0 million, or 34.6%, to $15.7 million for the year ended December 31, 2025, as compared to $11.6 million for the year ended December 31, 2024. The increase in gross profit was primarily due to a higher unit volume of battery and accessory sales. Gross Profit percentage increased by 3.7% to 26.7% primarily due to sales of higher margin accessory units and assemblies.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$2.5 million, or 45.3%, to $3.0 million for the year ended December 31, 2025, as compared to $5.5 million for the year ended December 31, 2024. The decrease was primarily a result of lower employee related expenses in the amount of $1.5 million due to reduced headcount along with lower rent, travel and supplies. We expect Research and Development expenses to be relatively stable over the next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$3.8 million, or 17.1%, to $25.7 million for the year ended December 31, 2025, as compared to $21.9 million for the year ended December 31, 2024. This increase was primarily due to $3.2 million in expenses for the debt restructure and preferred stock financing along with $1.6 million in higher personnel costs related to increase in engineering and product development staffing. Additionally, we saw an increase in the allocation of building and depreciation expense of $1.7 million on our properties and impairment of three leases and related leasehold improvements of $2.9 million. These increases were partially offset by a reduction in legal, investor relations, insurance, board, audit and accounting support fees of $1.8 million. Prior year included non-recurring costs for patent litigation and settlement costs of $3.1 million and asset impairment of $0.9 million. We expect General and Administrative Expenses, as a percentage of revenue, to decrease over the next 12 months as a result of cost reduction measures beginning in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$0.2 million, or 1.5%, to $10.2 million for the year ended December 31, 2025, as compared to $10.0 million for the year ended December 31, 2024. This increase was primarily due to higher shipping costs due to higher unit sales volume. We expect our Selling and Marketing Expenses to decrease as a result of cost reduction measures beginning in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totaled $46.9 million for the year ended December 31, 2025 as compared to total other expense of $14.9 million for the year ended December 31, 2024. Other expense in 2025 is comprised primarily of debt extinguishment expense of $31.8 million related to our debt restructure and $20.3 million in interest expense related to our debt securities. The $31.8 million loss on debt extinguishment is comprised of a (i) pro rata debt discount of $26.2 million, (ii) Series B Preferred shares issued in settlement of $25.0 million of principal, with a fair value of $21.7 million netting a $3.3 gain, and a pro rata debt discount reduction of $13.0 million, resulting in a net loss of $9.7 million, (iii) amendment fees of $0.9 million, (iv) offset by a gain on the debt principal forgiven of $5.0 million. These increases are partially offset by a change in fair market value of warrant liability in the amount of $5.1 million. Other expense in 2024 is comprised primarily of interest expense of $21.5 million related to our debt securities partially offset by a change in fair market value of warrant liability in the amount of $6.7 million.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benefit for the years ended December 31, 2024 and December 31, 2025 were immaterial. The income tax benefit reflects our expected use of losses in the period against future tax obligations.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$29.4 million was recorded as of December 31, 2024 revalued at $37.7 million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a net loss of $69.9 million for the year ended December 31, 2025, as compared to a net loss of $40.6 million for the year ended December 31, 2024. As described above, this result was mainly due to debt extinguishment, partially offset by higher sales of higher margin accessory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in accordance with accounting principles generally accepted in the United States. The preparation of these consolidated financial statements requires us to make judgments and estimates that affect the reported amounts of assets, liabilities, revenues and expenses, and the disclosure of contingent assets and liabilities. We base our estimates on historical experience, known trends and events, and other factors we believe to be reasonable under the circumstances. These estimates form the basis for judgments about the carrying values of assets and liabilities that are not readily apparent from other sources, and actual results may differ from these estimates under different assumptions or conditions. On a recurring basis, we evaluate our judgments and estimates in light of changes in circumstances, facts and experience. The effects of material revisions in an estimate, if any, are reflected in the consolidated financial statements prospectively from the date of the change in the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(1) the accounting estimate requires us to make assumptions about matters that involve a significant degree of estimation uncertainty at the time the estimate is made; and (2) changes in the estimate that are reasonably likely to occur from period to period, or the use of different estimates that we reasonably could have used in the current period, would have a material impact on our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discussed the development and selection of these critical accounting estimates with the Audit Committee of our board of directors. In addition to the estimates described below, there are other items within our financial statements that require estimation, but that we do not consider critical under the definition above. Changes in estimates used in these and other items could have a material impact on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estimates are the most critical to the judgments and assumptions used in the preparation of our financial statements because they involve significant estimation uncertainty and have had, or are reasonably likely to have, a material impact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reserves for excess and obsolete inventory and for inventory that is carried at amounts in excess of its estimated realizable value. These reserves are inherently judgmental and involve significant estimates regarding expected future demand, product life cycles, pricing, and the recoverability of costs through future sales. In estimating these reserves, we consider factors such as recent sales experience, forecasted demand, the aging of inventories and specific identification of items that may be obsolete or slow-moving.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these assumptions, including adverse changes in customer demand, technological developments, or pricing pressures, could result in materially different reserve levels and related cost of goods sold in future periods. For example, a decrease in expected demand or sales prices, or an increase in the aging of inventory, could require us to increase our reserves, which would negatively affect our gross margin. Conversely, if actual demand is higher than currently estimated, our reserves could prove to be overstated, resulting in lower cost of goods sold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 warrants to purchase our common stock in connection with certain financing and other transactions. We apply the relevant guidance in ASC 480 and ASC 815 in determining whether warrants should be classified as liabilities or equity. Warrants that are classified as liabilities are initially recorded at fair value and remeasured at fair value at each reporting date, with changes in fair value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liability-classified warrants involves significant judgment, as it is based on valuation models that incorporate various inputs, including our common stock price, expected stock price volatility, expected term, risk-free interest rates and, as applicable, other market-based or contractual features. These inputs are subject to estimation uncertainty and can change over time in response to our operating performance, changes in our capital structure, market conditions or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changes in these inputs directly affect the fair value of the warrants, they can result in material volatility in our reported earnings from period to period. For example, an increase in the price or volatility of our common stock generally increases the fair value of liability-classified warrants and may result in a loss recognized in our statement of operations, whereas decreases in stock price or volatility may result in a gain.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Deferred tax assets and liabilities are recognized for the future tax consequences of temporary differences between the carrying amounts and tax bases of assets and liabilities and for operating loss and tax credit carryforwards. We measure deferred tax assets and liabilities using enacted tax rates expected to apply to taxable income in the years in which those temporary differences are expected to be recovered or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financial statement effect of an uncertain tax position when it is more likely than not, based on the technical merits, that the position will be sustained upon examination. Recognized tax positions are measured at the largest amount of benefit that has a greater than 50% likelihood of being realized upon ultimate settlement. We also establish a valuation allowance to reduce deferred tax assets to an amount that is more likely than 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assessment of the realizability of deferred tax assets and the recognition and measurement of uncertain tax positions involve significant judgment and estimation, including projections of future taxable income, the timing and character of that income, the reversal of existing temporary differences, the outcome of tax examinations and the interpretation of tax laws and regulations in multiple jurisdictions. Our projections of future taxable income are inherently uncertain and subject to change due to changes in our business, our industry, and the overall economic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actual results differ from our estimates, or if we adjust our estimates in future periods, we may need to increase or decrease our valuation allowance or adjust our uncertain tax positions, which could have a material impact on our effective tax rate, income tax expense and results of operations. For example, evidence of sustained profitability in one or more jurisdictions could result in a reduction of the valuation allowance and a related decrease in income tax expense, whereas evidence of sustained losses or unfavorable changes in tax law could result in an increase in the valuation allowance and higher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right-of-use assets and lease liabilities for our operating leases based on the present value of lease payments over the expected lease term. Because our leases generally do not provide an implicit rate, we estimate an incremental borrowing rate to determine the present value of lease payments. Our incremental borrowing rate is derived from market data, including current borrowing rates available to us for similar terms and collateral, as well as broader market interest rate information. We also make judgments regarding the lease term, including renewal and termination options, when it is reasonably certain that such options will be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estimates are subjective and can significantly affect the measurement of our right-of-use assets, lease liabilities and related lease cost recognized in the statement of operations. Changes in our assessment of the incremental borrowing rate, or our expectations about exercising renewal or termination options, could result in material changes to the recorded lease liabilities and right-of-use assets and affect the pattern of lease expense recognition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license arrangements under which we receive upfront compensation. We recognize this compensation as revenue over a five-year period, which we believe reflects the pattern in which control of the licensed rights and related services is transferred and the period over which we expect to realize the economic benefits of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the appropriate recognition pattern involves significant judgment, including our assessment of the nature and timing of performance obligations, the expected duration and level of customer engagement, and the likelihood of renewal or modification of the arrangement. These factors are inherently uncertain and may change over time as we gain more experience with the arrangements or as customer behavior evolves.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expectations regarding the timing or amount of the benefits to be provided under these arrangements change, or if we modify or renew the arrangements on terms different from those originally anticipated, we may be required to adjust the recognition pattern, which could result in a material increase or decrease in revenue in one or more reporting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Tariffs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import certain components used in the manufacturing of our products and are responsible for calculating and paying applicable tariffs and customs duties. Determining the appropriate tariffs involves judgment, including the interpretation and application of customs classifications, trade agreements and dutiable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customs regulations, interpretations by authorities, trade policies, or our sourcing and supply chain strategies could affect the applicable tariff rates or classifications and result in additional assessments, refunds or penalties. To the extent that we are required to pay higher tariffs or duties than currently estimated, or if we are unable to effectively mitigate increases through pricing or supply chain actions, our cost of goods sold and gross margin could be materially affected.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includes a non-GAAP measure that we use to supplement our results presented in accordance with U.S. GAAP. EBITDA is defined as earnings before interest and other income (expenses), income taxes, and depreciation and amortization. Adjusted EBITDA is calculated as EBITDA adjusted for stock-based compensation, change in fair market value of warrant liabilities, non-recurring costs associated with strategic financing, reverse stock split, litigation and loss on settlement. Adjusted EBITDA is a performance measure that we believe is useful to investors and analysts because it illustrates the underlying financial and business trends relating to our core, recurring results of operations and enhances comparability between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adjusted EBITDA, reconciled to net loss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7376" w:type="dxa"/>
        <w:jc w:val="left"/>
        <w:tblInd w:w="0" w:type="dxa"/>
        <w:tblLayout w:type="fixed"/>
        <w:tblCellMar>
          <w:top w:w="0" w:type="dxa"/>
          <w:left w:w="0" w:type="dxa"/>
          <w:bottom w:w="0" w:type="dxa"/>
          <w:right w:w="0" w:type="dxa"/>
        </w:tblCellMar>
      </w:tblPr>
      <w:tblGrid>
        <w:gridCol w:w="4460"/>
        <w:gridCol w:w="60"/>
        <w:gridCol w:w="197"/>
        <w:gridCol w:w="1067"/>
        <w:gridCol w:w="134"/>
        <w:gridCol w:w="84"/>
        <w:gridCol w:w="197"/>
        <w:gridCol w:w="1067"/>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46"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(70,808</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(40,615</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20,265</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21,504</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Taxes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(94</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pPr>
            <w:r>
              <w:rPr/>
              <w:t>2,236</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pPr>
            <w:r>
              <w:rPr/>
              <w:t>1,372</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EBITDA</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(48,401</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(17,739</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i/>
              </w:rPr>
            </w:pPr>
            <w:r>
              <w:rPr>
                <w:i/>
              </w:rPr>
              <w:t>Adjusted for:</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714</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1,020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Loss on Disposal of Assets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126</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69</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market value of warrant liability </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(5,117</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(6,684</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Non-Recurring/One-Time Expenses: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Tariff Investigation</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463</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Patent Litigation and loss on settlement</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862</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3,124</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Reverse Stock Split </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76</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90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Stryten Licensing Agreement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284</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Extinguishment</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31,843</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Restructure Expenses</w:t>
            </w:r>
            <w:r>
              <w:rPr>
                <w:rFonts w:ascii="Times New Roman;Times;Serif" w:hAnsi="Times New Roman;Times;Serif"/>
                <w:position w:val="7"/>
                <w:sz w:val="16"/>
                <w:sz w:val="20"/>
              </w:rPr>
              <w:t>(6)</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2,291</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ChEF Equity Facility termination fee</w:t>
            </w:r>
            <w:r>
              <w:rPr>
                <w:rFonts w:ascii="Times New Roman;Times;Serif" w:hAnsi="Times New Roman;Times;Serif"/>
                <w:position w:val="7"/>
                <w:sz w:val="16"/>
                <w:sz w:val="20"/>
              </w:rPr>
              <w:t>(7)</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891</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Preferred Stock Financing Expenses</w:t>
            </w:r>
            <w:r>
              <w:rPr>
                <w:rFonts w:ascii="Times New Roman;Times;Serif" w:hAnsi="Times New Roman;Times;Serif"/>
                <w:position w:val="7"/>
                <w:sz w:val="16"/>
                <w:sz w:val="20"/>
              </w:rPr>
              <w:t>(8)</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686</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Impairment of Assets</w:t>
            </w:r>
            <w:r>
              <w:rPr>
                <w:rFonts w:ascii="Times New Roman;Times;Serif" w:hAnsi="Times New Roman;Times;Serif"/>
                <w:position w:val="7"/>
                <w:sz w:val="16"/>
                <w:sz w:val="20"/>
              </w:rPr>
              <w:t>(9)</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3,043</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873</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year tariff estimate adjustment</w:t>
            </w:r>
            <w:r>
              <w:rPr>
                <w:rFonts w:ascii="Times New Roman;Times;Serif" w:hAnsi="Times New Roman;Times;Serif"/>
                <w:position w:val="7"/>
                <w:sz w:val="16"/>
                <w:sz w:val="20"/>
              </w:rPr>
              <w:t>(10)</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287</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Severance</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35</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Preferred Stock Dividend</w:t>
            </w:r>
            <w:r>
              <w:rPr>
                <w:rFonts w:ascii="Times New Roman;Times;Serif" w:hAnsi="Times New Roman;Times;Serif"/>
                <w:position w:val="7"/>
                <w:sz w:val="16"/>
                <w:sz w:val="20"/>
              </w:rPr>
              <w:t>(11)</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869</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pPr>
            <w:r>
              <w:rPr/>
              <w:t>(11,795</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pPr>
            <w:r>
              <w:rPr/>
              <w:t>(18,500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is comprised of costs associated with option and RSU grants made to our employees, consultants and Board members.</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liabilities represents the change in fair value from the date the warrants were issued through December 31, 2025.</w:t>
            </w:r>
          </w:p>
        </w:tc>
      </w:tr>
      <w:tr>
        <w:trPr/>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9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Fees and Loss on Settlement includes legal fees and expenses and settlement related to the International Trade Commission ‘ITC’ LithiumHub patent infringement case and others.</w:t>
            </w:r>
          </w:p>
        </w:tc>
      </w:tr>
      <w:tr>
        <w:trPr/>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9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Stock Split are transfer agent and legal expenses and fees related to the reverse stock split with the SEC.</w:t>
            </w:r>
          </w:p>
        </w:tc>
      </w:tr>
      <w:tr>
        <w:trPr/>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9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discount expensed as part of the restructuring.</w:t>
            </w:r>
          </w:p>
        </w:tc>
      </w:tr>
      <w:tr>
        <w:trPr/>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9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Restructure expenses including legal and professional services.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fee related to the ChEF Equity Facility.</w:t>
            </w:r>
          </w:p>
        </w:tc>
      </w:tr>
      <w:tr>
        <w:trPr/>
        <w:tc>
          <w:tcPr>
            <w:tcW w:w="336" w:type="dxa"/>
            <w:tcBorders/>
            <w:vAlign w:val="center"/>
          </w:tcPr>
          <w:p>
            <w:pPr>
              <w:pStyle w:val="TableContents"/>
              <w:bidi w:val="0"/>
              <w:spacing w:before="0" w:after="283"/>
              <w:jc w:val="both"/>
              <w:rPr>
                <w:caps w:val="false"/>
                <w:smallCaps w:val="false"/>
              </w:rPr>
            </w:pPr>
            <w:r>
              <w:rPr>
                <w:caps w:val="false"/>
                <w:smallCaps w:val="false"/>
              </w:rPr>
              <w:t> </w:t>
            </w:r>
          </w:p>
        </w:tc>
        <w:tc>
          <w:tcPr>
            <w:tcW w:w="98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Financing is comprised of the expense relating to the Offerings.</w:t>
            </w:r>
          </w:p>
        </w:tc>
      </w:tr>
      <w:tr>
        <w:trPr/>
        <w:tc>
          <w:tcPr>
            <w:tcW w:w="336" w:type="dxa"/>
            <w:tcBorders/>
            <w:vAlign w:val="center"/>
          </w:tcPr>
          <w:p>
            <w:pPr>
              <w:pStyle w:val="TableContents"/>
              <w:bidi w:val="0"/>
              <w:spacing w:before="0" w:after="283"/>
              <w:jc w:val="both"/>
              <w:rPr>
                <w:caps w:val="false"/>
                <w:smallCaps w:val="false"/>
              </w:rPr>
            </w:pPr>
            <w:r>
              <w:rPr>
                <w:caps w:val="false"/>
                <w:smallCaps w:val="false"/>
              </w:rPr>
              <w:t> </w:t>
            </w:r>
          </w:p>
        </w:tc>
        <w:tc>
          <w:tcPr>
            <w:tcW w:w="98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impairment of ROU assets and leasehold improvements from our previous main office, as well as Fernley location and prior storage warehouse. In 2024, impairment of asset previously classified as held for sale.</w:t>
            </w:r>
          </w:p>
        </w:tc>
      </w:tr>
      <w:tr>
        <w:trPr/>
        <w:tc>
          <w:tcPr>
            <w:tcW w:w="336" w:type="dxa"/>
            <w:tcBorders/>
            <w:vAlign w:val="center"/>
          </w:tcPr>
          <w:p>
            <w:pPr>
              <w:pStyle w:val="TableContents"/>
              <w:bidi w:val="0"/>
              <w:spacing w:before="0" w:after="283"/>
              <w:jc w:val="both"/>
              <w:rPr>
                <w:caps w:val="false"/>
                <w:smallCaps w:val="false"/>
              </w:rPr>
            </w:pPr>
            <w:r>
              <w:rPr>
                <w:caps w:val="false"/>
                <w:smallCaps w:val="false"/>
              </w:rPr>
              <w:t> </w:t>
            </w:r>
          </w:p>
        </w:tc>
        <w:tc>
          <w:tcPr>
            <w:tcW w:w="98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Revision to estimate of prior year tariff underpayment.</w:t>
            </w:r>
          </w:p>
        </w:tc>
      </w:tr>
      <w:tr>
        <w:trPr/>
        <w:tc>
          <w:tcPr>
            <w:tcW w:w="336" w:type="dxa"/>
            <w:tcBorders/>
            <w:vAlign w:val="center"/>
          </w:tcPr>
          <w:p>
            <w:pPr>
              <w:pStyle w:val="TableContents"/>
              <w:bidi w:val="0"/>
              <w:spacing w:before="0" w:after="283"/>
              <w:jc w:val="both"/>
              <w:rPr>
                <w:caps w:val="false"/>
                <w:smallCaps w:val="false"/>
              </w:rPr>
            </w:pPr>
            <w:r>
              <w:rPr>
                <w:caps w:val="false"/>
                <w:smallCaps w:val="false"/>
              </w:rPr>
              <w:t> </w:t>
            </w:r>
          </w:p>
        </w:tc>
        <w:tc>
          <w:tcPr>
            <w:tcW w:w="98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Preferred Stock Dividend.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December 31, 2025, we had cash totaling $18.3 million. We believe that our cash at December 31, 2025 will fund our operations through the end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December 31, 2025, we raised an aggregate of $90.9 million in net proceeds in connection with our various financings and capital raises throughout the year, as described per raise in the “</w:t>
      </w:r>
      <w:r>
        <w:rPr>
          <w:rFonts w:ascii="Times New Roman;Times;Serif" w:hAnsi="Times New Roman;Times;Serif"/>
          <w:b w:val="false"/>
          <w:i/>
          <w:caps w:val="false"/>
          <w:smallCaps w:val="false"/>
          <w:sz w:val="20"/>
        </w:rPr>
        <w:t>Overview”</w:t>
      </w:r>
      <w:r>
        <w:rPr>
          <w:rFonts w:ascii="Times New Roman;Times;Serif" w:hAnsi="Times New Roman;Times;Serif"/>
          <w:b w:val="false"/>
          <w:i w:val="false"/>
          <w:caps w:val="false"/>
          <w:smallCaps w:val="false"/>
          <w:sz w:val="20"/>
        </w:rPr>
        <w:t xml:space="preserve"> section above.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increased sales year over year, we increased our purchase activities in 2025. As a result, our inventory balance at December 31, 2025 increased by $2.5 million to $24.2 million, compared to $21.7 million at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need to raise additional funds, including through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reduce operations, sell off our assets, seek the protection of bankruptcy courts or shut down our operations and dissolve. Further, any future debt or equity financings may be dilutive to our current stockholders.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Obligations and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we issued $45.0 million of fixed rate senior notes, secured by among other things, a security interest in our intellectual property. As part of the Business Combination, we entered into a senior secured term loan facility in an aggregate principal amount of $75 million (the “Term Loan”) pursuant to the Term Loan, Guarantee and Security Agreement (the “Original Term Loan Agreement” and, as amended, the “Term Loan Agreement”) by and among, us, Legacy Dragonfly, Alter Domus (US) LLC, as the Agent to the lenders time-to-time party thereto (such lenders, the “Term Loan Lenders”), the proceeds of which were used to repay the $45.0 million fixed rate senior notes, and 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w:t>
      </w:r>
      <w:r>
        <w:rPr>
          <w:rFonts w:ascii="Times New Roman;Times;Serif" w:hAnsi="Times New Roman;Times;Serif"/>
          <w:b w:val="false"/>
          <w:i/>
          <w:caps w:val="false"/>
          <w:smallCaps w:val="false"/>
          <w:sz w:val="20"/>
        </w:rPr>
        <w:t xml:space="preserve">-Liquidity and Capital Resources” </w:t>
      </w:r>
      <w:r>
        <w:rPr>
          <w:rFonts w:ascii="Times New Roman;Times;Serif" w:hAnsi="Times New Roman;Times;Serif"/>
          <w:b w:val="false"/>
          <w:i w:val="false"/>
          <w:caps w:val="false"/>
          <w:smallCaps w:val="false"/>
          <w:sz w:val="20"/>
        </w:rPr>
        <w:t>above, under the Sixth Amendment, we (i) prepaid $45.0 million of principal using proceeds from the Second October 2025 Offering, (ii) exchanged $25.0 million of principal for redeemable Series B Preferred Stock (convertible at $31.50 per share, with 8% cash and 2% “in kind” dividends), which is redeemable in October 2027 unless otherwise converted by the holder, and (iii) had $5.0 million of principal forgiven by the Term Loan Lenders. Following these transactions, approximately $19.4 million of principal remained outstanding under the Term Loan, bearing 12% interest payable monthly and maturing in October 2027. We paid $0.9 million in fees (half in cash, half added to principal) and obtained covenant waivers through December 2026, subject to maintaining $5.0 million of minimum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Sixth Amendment significantly improved our liquidity by reducing total debt from $93.1 million to approximately $19.4 million and deferring near-term cash interest requirements through the preferred stock exchange and covenant waivers.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proceeds were used to: (i) support the Business Combination, (ii) prepay the fixed rate senior notes at closing of the Business Combination, (iii) pay fees and expenses in connection with the foregoing, (iv) to provide additional growth capital and (v) for other general/corporate purposes. The Term Loan will mature on October 7, 2027,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In accordance with U.S. GAAP, we reclassified our notes payable from a long-term liability to a current liability. The Term Loan accrues interest as follows: (i) until April 1, 2024, at a per annum rate equal to adjusted secured overnight financing rate (“SOFR”) plus 7% payable in cash plus an amount ranging from 4.5% to 6.5%, depending on our senior leverage ratio; (ii) effective April 1, 2024 and thereafter, interest payable to certain lenders subject to regulations of the U.S. Small Business Administration (“SBA”) with outstanding principal on that date of $30,846 will be limited to 14.0% per annum (except for default interest permitted under SBA regulations, as applicable); and (iii) the other outstanding principal will accrue interest from April 1, 2024 thereafter until October 1, 2024, at a per annum rate equal to adjusted SOFR plus 7% payable in cash plus an amount ranging from 4.5% to 6.5%, depending on the senior leverage ratio of the consolidated company, and at all times thereafter, at a per annum rate equal to adjusted SOFR plus a margin ranging from 11.5% to 13.5%, depending on our senior leverage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is secured by substantially all assets of the Company, Battle Born LLC and Legacy Dragonfly, and we pledged our equity interests in Battle Born LLC and Legacy Dragonfly as additional collateral. In connection with the Business Combination, the Term Loan Lenders also received Penny Warrants and $10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issued 2,316 shares pursuant to the ChEF Purchase Agreement with CCM LLC for aggregate proceeds to us of $0.06 million. The ChEF Purchase Agreement terminated in December 2025. In connection with the July 2025 Offering, we agreed not to sell shares of our common stock for a period of 90 days following the closing of the offering,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identified an underpayment of tariffs to U.S. Customs and Border Protection (“CBP”) in the amount of approximately $1.66 million in the aggregate, related to the improper classification and valuation of certain of the products used in our batteries. We have reported the underpayment to CBP. In June 2025, after a comprehensive review of this tariff calculation, an additional $0.29 million was discovered and also reported to CBP and a payment plan of $0.05 million per week was put into place and as of December 31, 2025, the remaining balance due is $0.6 million.</w:t>
      </w:r>
    </w:p>
    <w:p>
      <w:pPr>
        <w:pStyle w:val="TextBody"/>
        <w:bidi w:val="0"/>
        <w:spacing w:before="0" w:after="0"/>
        <w:ind w:left="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1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incurred losses and had a negative cash flow from operations. As of December 31, 2025, we had approximately $18.3 million in cash and cash equivalents and a working capital of $ 30.4 million. The Company’s ability to achieve profitability and positive cash flow depends on its ability to increase revenue, contain its expenses and maintain compliance with the financial covenants in its outstanding indebtedness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 Loan Agreement, we are obligated to comply with certain financial covenants, which include maintaining a maximum senior leverage ratio, minimum liquidity, a springing fixed charge coverage ratio, and maximum capital expenditures. On March 31, 2024, April 29, 2024, May, 30, 2024, June 28, 2024, July 31, 2024, August 31, 2024, September 30, 2024, October 31, 2024, November 30, 2024 and December 31, 2024, we obtained waivers from the Term Loan administrative agent and lenders of its failures to satisfy the liquidity requirement under the Term Loan for the quarters ended March 31, 2024, June 30, 2024, September 30, 2024, and December 31, 2024 and the fiscal months ended April 30, 2024, May 31, 2024, July 31, 2024, August 31, 2024, October 31, 2024, and November 30, 2024, as applicable. In connection with the License Agreement, on July 29, 2024, us, Legacy Dragonfly and Battle Born LLC entered into the Second Amendment. Pursuant to the Second Amendment, the Term Loan Lenders (i) consented to the transactions contemplated by the License Agreement and the Trademark Transfer Agreement and (ii) agreed to waive the mandatory prepayment under the Loan Agreement that would have been due to the Lenders under the Term Loan upon Battle Born LLC’s receipt of the Initial Licensing Fee. In connection with the Second Amendment, Battle Born LLC entered into the Joinder.</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we entered into the Third Amendment, which: (i) reduced the liquidity requirement under the Term Loan to be $7.0 million as of the last day of the month ended September 30, 2024, and $10.0 million as of the last day of each fiscal month thereafter commencing with the fiscal month ended July 31, 2024 and (ii) on October 1, 2024, interest is payable (a) $1,500,000 in cash for the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plus the Applicable Margin.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we entered into the Fourth Amendment, which: (i) reduced the liquidity requirement under the Term Loan to be $3.5 million as of the last day of the month ended December 31, 2024, and $10.0 million as of the last day of each fiscal month thereafter commencing with the fiscal month ended January 31, 2025 and (ii) on January 1, 2025, interest is payable in-kind, to be capitalized and added to the principal. For Payment Dates occurring on or after April 1, 2025 (including interest accruing from January 1, 2025, through March 31, 2025), all interest shall be paid in cash at a rate equal to Adjusted Term SOFR plus the Applicable Margin.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we entered into a Securities Purchase agreement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The Purchase Agreement called for us to authorize a new series of convertible preferred stock of the Company designated as the Series A Convertible Preferred Stock, par value $0.0001 per share (the “Series A Preferred Stock”), which shall be convertible into shares of the Company’s common stock, and sell to each Buyer an aggregate number of shares of Series A Preferred Stock and 20 warrants, to each buyer, that are convertible to common stock. During the year ended December 31, 2025, we received proceeds of $8,000 less $670 in costs for net proceeds of $7,330 due to the conversion of for the conversion of 800 shares of Series A Preferred Stock for 3,231,462 shares of common stock which we have been using for working capital and general corporate purposes. As of December 31, 2025, all Series A Convertible Preferred Stock has been converted into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Purchase Agreement, the Term Loan was amended on February 26, 2025 to (i) extend the maturity date by one (1) year to October 2027, (ii) defer all principal and interest payments to April 2026 and (iii) remove any applicable financial covenants (except for a financial covenant requiring us to maintain cash and cash equivalents equal to or greater than $2,500) through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investors received warrants to purchase up to 4,000 shares of Series A Preferred Stock at $10,000 per share, potentially providing up to $40 million in future capital, however, these warrants were cancelled on June 23,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2025, we received proceeds of $5,495 less $811 in costs, which we have been using for working capital and other general corporate purposes, including the repayment of indebtedness in the ordinary course. Investors received an aggregate of 2,198,000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6, 2025, we received proceeds of $26,925, net of costs, in connection with the issuance of 2,300,000 shares of common stock and option to purchase 300,000 shares of common stock. On October 17, 2025, we received additional proceeds of $51,928, net of costs, from the issuance of 3,600,000 shares of common stock and 500,000 pre-funded warrants to purchase shares of common stock. We used the aggregate net proceeds for working capital and other general corporate purposes, including the repayment of indebtedness in the ordinary course of business. Additionally, on October 20, 2025, the Term Loan was restructured and we entered into the Sixth Amendment (the “Sixth Amendment”) with the Term Loan lenders, which included new interest payment terms, $45,000 prepayment in October, and $5,000 debt cancellation. Lastly, as part of the restructuring, on November 4, 2025, we and the lenders entered into an exchange agreement (the “Exchange Agreement”) pursuant to which we issued 25,000 shares of Series B Preferred Stock in exchange for $25,000 outstanding principal amount of the Term Loan. Please see </w:t>
      </w:r>
      <w:r>
        <w:rPr>
          <w:rFonts w:ascii="Times New Roman;Times;Serif" w:hAnsi="Times New Roman;Times;Serif"/>
          <w:b/>
          <w:i w:val="false"/>
          <w:caps w:val="false"/>
          <w:smallCaps w:val="false"/>
          <w:sz w:val="20"/>
        </w:rPr>
        <w:t>Notes 6 &amp; 10</w:t>
      </w:r>
      <w:r>
        <w:rPr>
          <w:rFonts w:ascii="Times New Roman;Times;Serif" w:hAnsi="Times New Roman;Times;Serif"/>
          <w:b w:val="false"/>
          <w:i w:val="false"/>
          <w:caps w:val="false"/>
          <w:smallCaps w:val="false"/>
          <w:sz w:val="20"/>
        </w:rPr>
        <w:t xml:space="preserve"> in our accompanying condensed consolidated financial statements for more information regarding the offerings, term loan amendment, and exchange agreement that occurred in October and November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year end, on January 30, 2026, weentered into an Equity Distribution Agreement with Canaccord Genuity LLC, as lead agent and representative of the other sales agents, establishing an at-the-market equity offering program under which we may, at our discretion, offer and sell from time to time up to $50 million of its common stock. While we are not obligated to issue any shares under the agreement and retain full control over the timing, amount, pricing, and terms of any sales effected through the lead agent, this agreement provides us with a flexible, readily accessible source of capital to support its liquidity needs, subject to customary closing conditions, a 3% sales commission and reimbursement of specified expenses payable to the agents, and standard indemnification and contribution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presented above, strategic initiatives were executed in 2025 and early 2026 in order to alleviate the substantial doubt regarding our ability to continue as a going concern. These initiatives include multiple capital raises totaling a net cash increase of $90.0 million and Term Loan restructuring to reduce principal and interest owed, including a significant principal paydown, partial debt cancellation, and partial principal conversion into preferred shares, along with the at-the-market equity offering program entered into January 2026. With these strong initiatives, along with continued revenue generation anticipated in the next twelve months and our ability to maintain covenant compliance with a monthly liquidity minimum of $5,000, management has concluded that the substantial doubt regarding our ability to continue as a going concern has been mitigated.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may need to raise additional debt and/or equity financing to fund our operations, strategic plans, meet our financial covenants under the Term Loan and our redemption obligations under the Series B Preferred Stock and repay our outstanding indebtedness under the Term Loan. We have historically been able to raise additional capital through issuance of equity and/or debt financing and we intend to raise additional capital as needed. However, we cannot guarantee that we will be able to raise additional equity, contain expenses, or increase revenue, and comply with the financial covenants under the Term Loan. </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Years ended December 31, 2025 and 2024</w:t>
      </w:r>
    </w:p>
    <w:p>
      <w:pPr>
        <w:pStyle w:val="TextBody"/>
        <w:bidi w:val="0"/>
        <w:spacing w:before="0" w:after="0"/>
        <w:ind w:left="0" w:right="0" w:hanging="10"/>
        <w:jc w:val="both"/>
        <w:rPr>
          <w:caps w:val="false"/>
          <w:smallCaps w:val="false"/>
        </w:rPr>
      </w:pPr>
      <w:r>
        <w:rPr>
          <w:caps w:val="false"/>
          <w:smallCaps w:val="false"/>
        </w:rPr>
        <w:t> </w:t>
      </w:r>
    </w:p>
    <w:tbl>
      <w:tblPr>
        <w:tblW w:w="6191" w:type="dxa"/>
        <w:jc w:val="left"/>
        <w:tblInd w:w="0" w:type="dxa"/>
        <w:tblLayout w:type="fixed"/>
        <w:tblCellMar>
          <w:top w:w="0" w:type="dxa"/>
          <w:left w:w="0" w:type="dxa"/>
          <w:bottom w:w="0" w:type="dxa"/>
          <w:right w:w="0" w:type="dxa"/>
        </w:tblCellMar>
      </w:tblPr>
      <w:tblGrid>
        <w:gridCol w:w="3275"/>
        <w:gridCol w:w="60"/>
        <w:gridCol w:w="210"/>
        <w:gridCol w:w="1137"/>
        <w:gridCol w:w="143"/>
        <w:gridCol w:w="90"/>
        <w:gridCol w:w="210"/>
        <w:gridCol w:w="956"/>
        <w:gridCol w:w="11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b/>
              </w:rPr>
            </w:pPr>
            <w:r>
              <w:rPr>
                <w:b/>
              </w:rPr>
              <w:t>Net Cash provided by/(used in):</w:t>
            </w:r>
          </w:p>
        </w:tc>
        <w:tc>
          <w:tcPr>
            <w:tcW w:w="60" w:type="dxa"/>
            <w:tcBorders/>
            <w:vAlign w:val="center"/>
          </w:tcPr>
          <w:p>
            <w:pPr>
              <w:pStyle w:val="TableContents"/>
              <w:bidi w:val="0"/>
              <w:spacing w:before="0" w:after="283"/>
              <w:jc w:val="left"/>
              <w:rPr/>
            </w:pPr>
            <w:r>
              <w:rPr/>
              <w:t> </w:t>
            </w:r>
          </w:p>
        </w:tc>
        <w:tc>
          <w:tcPr>
            <w:tcW w:w="2746"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(25,968</w:t>
            </w:r>
          </w:p>
        </w:tc>
        <w:tc>
          <w:tcPr>
            <w:tcW w:w="14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(7,190</w:t>
            </w:r>
          </w:p>
        </w:tc>
        <w:tc>
          <w:tcPr>
            <w:tcW w:w="110" w:type="dxa"/>
            <w:tcBorders/>
            <w:shd w:fill="CCEEFF" w:val="clear"/>
            <w:vAlign w:val="center"/>
          </w:tcPr>
          <w:p>
            <w:pPr>
              <w:pStyle w:val="TableContents"/>
              <w:bidi w:val="0"/>
              <w:spacing w:before="0" w:after="283"/>
              <w:jc w:val="left"/>
              <w:rPr/>
            </w:pPr>
            <w:r>
              <w:rPr/>
              <w:t>)</w:t>
            </w:r>
          </w:p>
        </w:tc>
      </w:tr>
      <w:tr>
        <w:trPr/>
        <w:tc>
          <w:tcPr>
            <w:tcW w:w="3275"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137" w:type="dxa"/>
            <w:tcBorders/>
            <w:shd w:fill="FFFFFF" w:val="clear"/>
            <w:vAlign w:val="center"/>
          </w:tcPr>
          <w:p>
            <w:pPr>
              <w:pStyle w:val="TableContents"/>
              <w:bidi w:val="0"/>
              <w:spacing w:before="0" w:after="283"/>
              <w:jc w:val="right"/>
              <w:rPr/>
            </w:pPr>
            <w:r>
              <w:rPr/>
              <w:t>(1,949</w:t>
            </w:r>
          </w:p>
        </w:tc>
        <w:tc>
          <w:tcPr>
            <w:tcW w:w="14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956" w:type="dxa"/>
            <w:tcBorders/>
            <w:shd w:fill="FFFFFF" w:val="clear"/>
            <w:vAlign w:val="center"/>
          </w:tcPr>
          <w:p>
            <w:pPr>
              <w:pStyle w:val="TableContents"/>
              <w:bidi w:val="0"/>
              <w:spacing w:before="0" w:after="283"/>
              <w:jc w:val="right"/>
              <w:rPr/>
            </w:pPr>
            <w:r>
              <w:rPr/>
              <w:t>(2,676</w:t>
            </w:r>
          </w:p>
        </w:tc>
        <w:tc>
          <w:tcPr>
            <w:tcW w:w="110"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41,338</w:t>
            </w:r>
          </w:p>
        </w:tc>
        <w:tc>
          <w:tcPr>
            <w:tcW w:w="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2,002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$26.0 million for the year ended December 31, 2025, primarily due to a net loss of during the period and the change in fair market value of the warrant liability, partially offset by a loss on extinguishment of debt and a payment in-kind interest accrued on the Term Loan.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$7.2 million for the year ended December 31, 2024, primarily due to a net loss during the period and the change in fair market value of the warrant liability, partially offset by a decrease in inventory as a result of management’s decision to lower overall stocking levels to adjust for more modest demand.</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$2.0 million for the year ended December 31, 2025, as compared to $2.7 million for the year ended December 31, 2024. The cash used in investing activities was primarily due to capital expenses to support our core battery business.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$41.3 million for the year ended December 31, 2025, primarily as a result of net proceeds of $26.9 million from the First October 2025 Offering, $51.9 million from the Second Offering Underwriting Agreement, $7.3 million as part of the Purchase Agreement entered into in February 2025 and $4.7 million as part of the public offering in July 2025 partially offset by $49.1 million partial repayment of the Term Loan.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$2.0 million for the year ended December 31, 2024, primarily as a result of proceeds $2.0 million from the utilization of the ChEF Equity Facility.</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future obligations consist of short-term and long-term operating and financing lease liabilities. As of December 31, 2025, we had $2.6 million in short-term operating and financing lease liabilities and $20.5 million in long-term operating and financing lease liabilities.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above, we have a Term Loan and as of December 31, 2025, the principal amount outstanding under the Term Loan was $19.3 million.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required to pay to the holders of the Series B Preferred Stock dividends, which will accrue at 10% per annum, commencing from the Initial Issuance Date, payable (i) 80% in cash and (i) 20% “in kind” and added the Liquidation Preference of such holder’s Series B Preferred Stock. Such dividends are payable quarterly in arrears on the first trading day of each fiscal quarter commencing on the first trading day of the initial fiscal quarter after the date of issuance. Upon the occurrence of certain events, the dividend rate may automatically increase, as described in the Certificate of Designation. Additionally, in connection with any future equity offerings, we are required to use 50% of the net proceeds from such offering to redeem outstanding shares of the Series B Preferred Stock at the Optional Redemption Price. In the event we have not redeemed the outstanding shares of Series B Preferred Stock by October 7, 2027 or upon the occurrence of a Non-Payment Event (as defined in the Certificate of Designation), the holders will have the right to require us to redeem the Series B Preferred Stock at the Optional Redemption Price.</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 Accounting Election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under the JOBS Act, we are eligible to take advantage of certain exemptions from various reporting requirements that are applicable to other public companies that are not emerging growth companies. We have elected not to opt out of such extended transition period. Accordingly, when an accounting standard is issued or revised and it has different application dates for public or private companies, we, as an emerging growth company, will adopt the new or revised accounting standard at the time private companies adopt the new or revised accounting standard, unless early adoption is permitted by the accounting standard, and we elect early adoption.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62" w:name="a_013"/>
      <w:bookmarkEnd w:id="62"/>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63" w:name="a_014"/>
      <w:bookmarkEnd w:id="63"/>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audited financial statements as of and for the years ended December 31, 2025 and December 31, 2024, together with the report of the independent registered public accounting firm thereon and the notes thereto, are presented beginning at page F-2.</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64" w:name="a_015"/>
      <w:bookmarkEnd w:id="64"/>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65" w:name="a_016"/>
      <w:bookmarkEnd w:id="65"/>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reports under the Exchange Act, and the rules and regulations thereunder,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13a-15(b) under the Exchange Act, our management, under the supervision and with the participation of our principal executive officer and principal financial officer, has evaluated the effectiveness of the design and implementation of our disclosure controls and procedures (as such term is defined in Rules 13a-15(e) and 15d-15(e) under the Exchange Act) as of December 31, 2025. Based on that evaluation, management concluded that as of December 31, 2025, the Company did maintain effective disclosure controls and procedures.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Annual Report on Internal Control Over Financial Reporting</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such term is defined in Exchange Act Rules 13a-15(f) and 15d-15(f). Our internal control over financial reporting is a process designed under the supervision of our principal executive officer and principal financial officer to provide reasonable assurance regarding the reliability of financial reporting and preparation of our financial statements for external purposes in accordance with generally accepted accounting principles.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its inherent limitations, internal control over financial reporting may not prevent or detect misstatements and, even when determined to be effective, can only provide reasonable, not absolute, assurance with respect to financial statement preparation and presentation. Projections of any evaluation of effectiveness to future periods are subject to risk that controls may become inadequate as a result of changes in conditions or deterioration in the degree of compliance.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who is also acting as our Interim Chief Financial Officer, we conducted an evaluation of the effectiveness of our internal control over financial reporting based on the framework in Internal Control - Integrated Framework issued by the Committee of Sponsoring Organizations of the Treadway Commission (“</w:t>
      </w:r>
      <w:r>
        <w:rPr>
          <w:rFonts w:ascii="Times New Roman;Times;Serif" w:hAnsi="Times New Roman;Times;Serif"/>
          <w:b/>
          <w:i w:val="false"/>
          <w:caps w:val="false"/>
          <w:smallCaps w:val="false"/>
          <w:sz w:val="20"/>
        </w:rPr>
        <w:t>COSO</w:t>
      </w:r>
      <w:r>
        <w:rPr>
          <w:rFonts w:ascii="Times New Roman;Times;Serif" w:hAnsi="Times New Roman;Times;Serif"/>
          <w:b w:val="false"/>
          <w:i w:val="false"/>
          <w:caps w:val="false"/>
          <w:smallCaps w:val="false"/>
          <w:sz w:val="20"/>
        </w:rPr>
        <w:t>”) issued in May 2013 and related COSO guidance. Based on our evaluation under this framework, management concluded that, as of December 31, 2025, our internal control over financial reporting was considered effective.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does not include an attestation report of our registered public accounting firm on our internal control over financial reporting due to an exemption established by the JOBS Act for “emerging growth companies.” In addition, we are currently a non-accelerated filer and are therefore not required to provide an attestation report on our internal control over financial reporting until such time as we are an accelerated filer or large accelerated filer.</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changes in our internal control over financial reporting (as defined by Rules 13a015(f) and 15d-15(f) under the Exchange Act) occurred during the fiscal quarter ended December 31, 2025, that has materially affected, or is reasonably likely to materially affect, our internal control over financial reporting.</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66" w:name="a_017"/>
      <w:bookmarkEnd w:id="66"/>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633" w:right="0" w:hanging="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w:t>
      </w:r>
    </w:p>
    <w:p>
      <w:pPr>
        <w:pStyle w:val="TextBody"/>
        <w:bidi w:val="0"/>
        <w:spacing w:before="0" w:after="0"/>
        <w:ind w:left="633" w:right="0" w:hanging="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the fiscal quarter ended December 31, 2025, none of our directors or “officers” (as defined in Rule 16a-1(f) under the Exchange Act) </w:t>
      </w:r>
      <w:bookmarkStart w:id="67" w:name="xdx_900_eecd--NonRule10b51ArrAdoptedFlag"/>
      <w:bookmarkStart w:id="68" w:name="xdx_90E_eecd--Rule10b51ArrAdoptedFlag_db"/>
      <w:bookmarkEnd w:id="67"/>
      <w:bookmarkEnd w:id="68"/>
      <w:r>
        <w:rPr>
          <w:rFonts w:ascii="Times New Roman;Times;Serif" w:hAnsi="Times New Roman;Times;Serif"/>
          <w:b w:val="false"/>
          <w:i w:val="false"/>
          <w:caps w:val="false"/>
          <w:smallCaps w:val="false"/>
          <w:sz w:val="20"/>
        </w:rPr>
        <w:t xml:space="preserve">adopted or </w:t>
      </w:r>
      <w:bookmarkStart w:id="69" w:name="xdx_905_eecd--NonRule10b51ArrTrmntdFlag_"/>
      <w:bookmarkStart w:id="70" w:name="xdx_908_eecd--Rule10b51ArrTrmntdFlag_dbF"/>
      <w:bookmarkEnd w:id="69"/>
      <w:bookmarkEnd w:id="70"/>
      <w:r>
        <w:rPr>
          <w:rFonts w:ascii="Times New Roman;Times;Serif" w:hAnsi="Times New Roman;Times;Serif"/>
          <w:b w:val="false"/>
          <w:i w:val="false"/>
          <w:caps w:val="false"/>
          <w:smallCaps w:val="false"/>
          <w:sz w:val="20"/>
        </w:rPr>
        <w:t>terminated any “Rule 10b5-1 trading arrangement” or “non-Rule 10b5-1 trading arrangement,” as each term is defined in Item 408(c) of Regulation S-K.</w:t>
      </w:r>
    </w:p>
    <w:p>
      <w:pPr>
        <w:pStyle w:val="TextBody"/>
        <w:bidi w:val="0"/>
        <w:spacing w:before="0" w:after="0"/>
        <w:ind w:left="633" w:right="0" w:hanging="648"/>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71" w:name="a_018"/>
      <w:bookmarkEnd w:id="71"/>
      <w:r>
        <w:rPr>
          <w:rFonts w:ascii="Times New Roman;Times;Serif" w:hAnsi="Times New Roman;Times;Serif"/>
          <w:b/>
          <w:i w:val="false"/>
          <w:caps w:val="false"/>
          <w:smallCaps w:val="false"/>
          <w:sz w:val="20"/>
        </w:rPr>
        <w:t>Item 9C. Disclosure Regarding Foreign Jurisdiction that Prevent Inspections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4" w:right="0" w:hanging="10"/>
        <w:jc w:val="center"/>
        <w:rPr>
          <w:rFonts w:ascii="Times New Roman;Times;Serif" w:hAnsi="Times New Roman;Times;Serif"/>
          <w:b/>
          <w:i w:val="false"/>
          <w:caps w:val="false"/>
          <w:smallCaps w:val="false"/>
          <w:sz w:val="20"/>
        </w:rPr>
      </w:pPr>
      <w:bookmarkStart w:id="72" w:name="a_019"/>
      <w:bookmarkEnd w:id="72"/>
      <w:r>
        <w:rPr>
          <w:rFonts w:ascii="Times New Roman;Times;Serif" w:hAnsi="Times New Roman;Times;Serif"/>
          <w:b/>
          <w:i w:val="false"/>
          <w:caps w:val="false"/>
          <w:smallCaps w:val="false"/>
          <w:sz w:val="20"/>
        </w:rPr>
        <w:t>PART III</w:t>
      </w:r>
    </w:p>
    <w:p>
      <w:pPr>
        <w:pStyle w:val="TextBody"/>
        <w:bidi w:val="0"/>
        <w:spacing w:before="0" w:after="0"/>
        <w:ind w:left="154" w:right="0" w:hanging="10"/>
        <w:jc w:val="center"/>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73" w:name="a_020"/>
      <w:bookmarkEnd w:id="73"/>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our executive officers and members of our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with their respective ages as of March 26, 2026:</w:t>
      </w:r>
    </w:p>
    <w:p>
      <w:pPr>
        <w:pStyle w:val="TextBody"/>
        <w:bidi w:val="0"/>
        <w:spacing w:before="0" w:after="0"/>
        <w:ind w:left="10" w:right="0" w:hanging="10"/>
        <w:jc w:val="both"/>
        <w:rPr>
          <w:caps w:val="false"/>
          <w:smallCaps w:val="false"/>
        </w:rPr>
      </w:pPr>
      <w:r>
        <w:rPr>
          <w:caps w:val="false"/>
          <w:smallCaps w:val="false"/>
        </w:rPr>
        <w:t> </w:t>
      </w:r>
    </w:p>
    <w:tbl>
      <w:tblPr>
        <w:tblW w:w="9450" w:type="dxa"/>
        <w:jc w:val="left"/>
        <w:tblInd w:w="0" w:type="dxa"/>
        <w:tblLayout w:type="fixed"/>
        <w:tblCellMar>
          <w:top w:w="0" w:type="dxa"/>
          <w:left w:w="0" w:type="dxa"/>
          <w:bottom w:w="28" w:type="dxa"/>
          <w:right w:w="0" w:type="dxa"/>
        </w:tblCellMar>
      </w:tblPr>
      <w:tblGrid>
        <w:gridCol w:w="1370"/>
        <w:gridCol w:w="60"/>
        <w:gridCol w:w="350"/>
        <w:gridCol w:w="60"/>
        <w:gridCol w:w="7610"/>
      </w:tblGrid>
      <w:tr>
        <w:trPr/>
        <w:tc>
          <w:tcPr>
            <w:tcW w:w="137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61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 Held With Dragonfly</w:t>
            </w:r>
          </w:p>
        </w:tc>
      </w:tr>
      <w:tr>
        <w:trPr/>
        <w:tc>
          <w:tcPr>
            <w:tcW w:w="13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61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Interim Chief Financial Officer and Chairman of the Board</w:t>
            </w:r>
          </w:p>
        </w:tc>
      </w:tr>
      <w:tr>
        <w:trPr/>
        <w:tc>
          <w:tcPr>
            <w:tcW w:w="13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Wade Seaburg</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61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Commercial Officer</w:t>
            </w:r>
          </w:p>
        </w:tc>
      </w:tr>
      <w:tr>
        <w:trPr/>
        <w:tc>
          <w:tcPr>
            <w:tcW w:w="13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Tyler Bourns</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61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Marketing Officer</w:t>
            </w:r>
          </w:p>
        </w:tc>
      </w:tr>
      <w:tr>
        <w:trPr/>
        <w:tc>
          <w:tcPr>
            <w:tcW w:w="13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Vickram Singh</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61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w:t>
            </w:r>
          </w:p>
        </w:tc>
      </w:tr>
      <w:tr>
        <w:trPr/>
        <w:tc>
          <w:tcPr>
            <w:tcW w:w="13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61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Independent Director</w:t>
            </w:r>
          </w:p>
        </w:tc>
      </w:tr>
      <w:tr>
        <w:trPr/>
        <w:tc>
          <w:tcPr>
            <w:tcW w:w="13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61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3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61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Denis Phares</w:t>
      </w:r>
      <w:r>
        <w:rPr>
          <w:rFonts w:ascii="Times New Roman;Times;Serif" w:hAnsi="Times New Roman;Times;Serif"/>
          <w:b w:val="false"/>
          <w:i w:val="false"/>
          <w:caps w:val="false"/>
          <w:smallCaps w:val="false"/>
          <w:sz w:val="20"/>
        </w:rPr>
        <w:t xml:space="preserve"> has served as our Chief Executive Officer and Chairman of our Board since October 2022. Since April 2024, Dr. Phares has served as our Interim Chief Financial Officer. Dr. Phares is the co-founder of Dragonfly Energy Corp., a Nevada corporation (“</w:t>
      </w:r>
      <w:r>
        <w:rPr>
          <w:rFonts w:ascii="Times New Roman;Times;Serif" w:hAnsi="Times New Roman;Times;Serif"/>
          <w:b/>
          <w:i w:val="false"/>
          <w:caps w:val="false"/>
          <w:smallCaps w:val="false"/>
          <w:sz w:val="20"/>
        </w:rPr>
        <w:t>Legacy Dragonfly</w:t>
      </w:r>
      <w:r>
        <w:rPr>
          <w:rFonts w:ascii="Times New Roman;Times;Serif" w:hAnsi="Times New Roman;Times;Serif"/>
          <w:b w:val="false"/>
          <w:i w:val="false"/>
          <w:caps w:val="false"/>
          <w:smallCaps w:val="false"/>
          <w:sz w:val="20"/>
        </w:rPr>
        <w:t>”)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an M.S. and a Ph.D. in Environmental Engineering Science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Wade Seaburg</w:t>
      </w:r>
      <w:r>
        <w:rPr>
          <w:rFonts w:ascii="Times New Roman;Times;Serif" w:hAnsi="Times New Roman;Times;Serif"/>
          <w:b w:val="false"/>
          <w:i w:val="false"/>
          <w:caps w:val="false"/>
          <w:smallCaps w:val="false"/>
          <w:sz w:val="20"/>
        </w:rPr>
        <w:t xml:space="preserve"> has served as our Chief Commercial Officer since February 2025. Prio to that, Mr. Seaburg served as our Chief Revenue Officer from November 2022. Prior to the Business Combination contemplated by that certain Agreement and Plan of Merger, dated May 15, 2022, as amended on July 12, 2022, by and among Chardan NexTech Acquisition 2 Corporation (“</w:t>
      </w:r>
      <w:r>
        <w:rPr>
          <w:rFonts w:ascii="Times New Roman;Times;Serif" w:hAnsi="Times New Roman;Times;Serif"/>
          <w:b/>
          <w:i w:val="false"/>
          <w:caps w:val="false"/>
          <w:smallCaps w:val="false"/>
          <w:sz w:val="20"/>
        </w:rPr>
        <w:t>CNTQ</w:t>
      </w:r>
      <w:r>
        <w:rPr>
          <w:rFonts w:ascii="Times New Roman;Times;Serif" w:hAnsi="Times New Roman;Times;Serif"/>
          <w:b w:val="false"/>
          <w:i w:val="false"/>
          <w:caps w:val="false"/>
          <w:smallCaps w:val="false"/>
          <w:sz w:val="20"/>
        </w:rPr>
        <w:t>”) Merger Sub and Legacy Dragonfly, Mr. Seaburg served as an outside contractor for Legacy Dragonfly from December 2018 through May 2021 and as the Director of Outside Sales and Business Development of Legacy Dragonfly from June 2021 through October 2022. Previously, Mr. Seaburg served as a senior account representative within the Distribution Manufactured Structures Division at WESCO International, Inc. (“</w:t>
      </w:r>
      <w:r>
        <w:rPr>
          <w:rFonts w:ascii="Times New Roman;Times;Serif" w:hAnsi="Times New Roman;Times;Serif"/>
          <w:b/>
          <w:i w:val="false"/>
          <w:caps w:val="false"/>
          <w:smallCaps w:val="false"/>
          <w:sz w:val="20"/>
        </w:rPr>
        <w:t>WESCO</w:t>
      </w:r>
      <w:r>
        <w:rPr>
          <w:rFonts w:ascii="Times New Roman;Times;Serif" w:hAnsi="Times New Roman;Times;Serif"/>
          <w:b w:val="false"/>
          <w:i w:val="false"/>
          <w:caps w:val="false"/>
          <w:smallCaps w:val="false"/>
          <w:sz w:val="20"/>
        </w:rPr>
        <w:t>”) (NYSE: WCC) from February 2004 to April 2016. After Mr. Seaburg’s time with WESCO, he served as the founder and president of Structure Sales, a company focused on representing industry-leading suppliers to OEMs in the RV and Marine markets, from May 2016 to May 2021. Mr. Seaburg graduated from Purdue University in May 2002 with a B.A. in Industrial Engineering. After graduating from Purdue, Mr. Seaburg completed the Eaton Corporation’s (NYSE: ETN) distinguished Technical Sales Training Program.</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Tyler Bourns</w:t>
      </w:r>
      <w:r>
        <w:rPr>
          <w:rFonts w:ascii="Times New Roman;Times;Serif" w:hAnsi="Times New Roman;Times;Serif"/>
          <w:b w:val="false"/>
          <w:i w:val="false"/>
          <w:caps w:val="false"/>
          <w:smallCaps w:val="false"/>
          <w:sz w:val="20"/>
        </w:rPr>
        <w:t xml:space="preserve"> has served as our Chief Marketing Officer since November 2022. Prior to the Business Combination, Mr. Bourns served as the Senior Vice President of Marketing of Legacy Dragonfly from December 2021 through October 2022. Previously, Mr. Bourns is the owner and serves as the present of Bourns Productions Inc., a video production and marketing company focused on content creation, messaging and strategy for various brands across multiple industries, for twelve years. At Bourns Productions Inc., he oversaw the day-to-day business of the company, worked closely with clients and provided hands-on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Vickram Singh</w:t>
      </w:r>
      <w:r>
        <w:rPr>
          <w:rFonts w:ascii="Times New Roman;Times;Serif" w:hAnsi="Times New Roman;Times;Serif"/>
          <w:b w:val="false"/>
          <w:i w:val="false"/>
          <w:caps w:val="false"/>
          <w:smallCaps w:val="false"/>
          <w:sz w:val="20"/>
        </w:rPr>
        <w:t xml:space="preserve"> has served as our Chief Operating Officer since February 2025. Prior to the Business Combination, Dr. Singh served as Director of Research and Development. In that capacity, he has been instrumental in overseeing the development of next-generation lithium-ion batteries and manufacturing processes and optimizing all-solid-state battery chemistries for deep-cycle applications. After the Business Combination, Dr. Singh transitioned to overseeing all technical efforts at Dragonfly Energy Corporation - R&amp;D, automation engineering, and pack development. Before joining Dragonfly Energy Corporation, Dr. Vick Singh was a Postdoctoral Research Fellow at the Lawrence Livermore National Laboratory’s Center for Global Security Research. His research focused on international energy development and its impact on foreign policy. Dr. Singh also served as a Nuclear Regulatory Commission Fellow during his Ph.D. studies at the University of Nevada, Reno, and holds a BS in Chemical Engineering from the University of Tennessee, Knoxville.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Luisa Ingargiola </w:t>
      </w:r>
      <w:r>
        <w:rPr>
          <w:rFonts w:ascii="Times New Roman;Times;Serif" w:hAnsi="Times New Roman;Times;Serif"/>
          <w:b w:val="false"/>
          <w:i w:val="false"/>
          <w:caps w:val="false"/>
          <w:smallCaps w:val="false"/>
          <w:sz w:val="20"/>
        </w:rPr>
        <w:t>has served as a member of our Board since October 2022. Prior to the Business Combination, Ms. Ingargiola served on the board of directors of Legacy Dragonfly from August 2021 to October 2022. Since February 2017, Ms. Ingargiola has served as Chief Financial Officer of Avalon GloboCare Corp. (NASDAQ: ALBT), a publicly listed bio-tech health care company. Prior to joining Avalon GloboCare Corp., Ms. Ingargiola served as the Chief Financial Officer and Co-Founder of MagneGas Corporation from 2007 to 2018. Ms. Ingargiola has also served as a director and Audit Committee Chair for various over-the-counter and Nasdaq companies. Ms. Ingargiola has served as a member of the board of directors and as Audit Committee Chair for Progress Acquisition Corporation from November 2020 to February 2023, as a member of the board of directors and as Audit Committee Chair for AgEagle Aerial Systems Inc. (NYSE American: UAVS) from May 2018 to November 2022, as the audit committee chair of Siyata Mobile (NASDAQ: SYTA) from December 2020 to December 2021, as a member of the board of directors, the Compensation Committee Chair and as audit committee chair for Electrameccanica Vehicles Corp. (Nasdaq: SOLO) since March 2018, as a member of the board and Audit Committee Chair for BioCorRx Inc. (OTC: BICX) since April 2018, and as a member of the board and Audit Committee Chair of Vision Marine Technologies, Inc. (NASDAQ: VMAR) since December 2020. Ms. Ingargiola holds a M.B.A. in Health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Brian Nelson </w:t>
      </w:r>
      <w:r>
        <w:rPr>
          <w:rFonts w:ascii="Times New Roman;Times;Serif" w:hAnsi="Times New Roman;Times;Serif"/>
          <w:b w:val="false"/>
          <w:i w:val="false"/>
          <w:caps w:val="false"/>
          <w:smallCaps w:val="false"/>
          <w:sz w:val="20"/>
        </w:rPr>
        <w:t>has served as a member of our Board since October 2022. Prior to the Business Combination, Mr. Nelson served on the board of directors of Legacy Dragonfly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Perry Boyle</w:t>
      </w:r>
      <w:r>
        <w:rPr>
          <w:rFonts w:ascii="Times New Roman;Times;Serif" w:hAnsi="Times New Roman;Times;Serif"/>
          <w:b w:val="false"/>
          <w:i w:val="false"/>
          <w:caps w:val="false"/>
          <w:smallCaps w:val="false"/>
          <w:sz w:val="20"/>
        </w:rPr>
        <w:t xml:space="preserve"> has served as a member of our Board since October 2022. Prior to the Business Combination, he served on the board of directors of CNTQ from August 2021 to October 2022. Mr. Boyle is the CEO of MITS Capital, a defense technology investment group he founded in New York and Kyiv in 2024. He is also the non-executive chairman of MITS Industries A/S, a Danish defense technology company. From 2009 to the end of 2025, Mr. Boyle served as Chair of BOMA.ngo, the largest African provider of poverty graduation programs. Mr. Boyle was with Point72 and its affiliates and predecessors from 2004 through March 2020. For most of that time, he managed the firm’s global long/short equity investing business. He helped lead Point72’s launch as a registered investment advisor, raising over $6 billion in external capital. Mr. Boyle was a founding partner of Thomas Weisel Partners from 1999 until 2004, and a managing director at Alex Brown &amp; Sons from 1992 to 1999. He began his career as an investment banker with Salomon Brothers Inc. Mr. Boyle received a B.A. in Economics from Stanford University, an M.B.A. from Dartmouth College, and an M.A. from the Fletcher School of Law and Diplomacy at Tufts University. He has a PGCert in Security Studies from King’s College London. He participated in Stanford’s Directors College and executive education in board governance at Wharton. He is a Chartered Financial Analyst. Mr. Boyle is qualified to serve on our Board based on his financial industry leadership, governance expertise, and international capital markets experience.</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0" w:hanging="1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w:t>
      </w:r>
    </w:p>
    <w:p>
      <w:pPr>
        <w:pStyle w:val="TextBody"/>
        <w:bidi w:val="0"/>
        <w:spacing w:before="0" w:after="0"/>
        <w:ind w:left="14" w:right="0" w:hanging="14"/>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three classes of a total of four directors. Our directors each serve staggered three-year terms with one class being elected at each year’s annual meeting of stockholders, as follows:</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which consists of Perry Boyle, whose term will expire at the 2026 annual meeting of stockholders;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which consists of Brian Nelson, whose term will expire at the 2027 annual meeting of stockholders;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C, which consists of Denis Phares and Luisa Ingargiola, whose terms will expire at the 2028 annual meeting of stockholders.</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formal policy regarding board diversity. Our priority in selecting our board members is the identification of members who will further the interests of our stockholders through their established record of professional accomplishment, the ability to contribute positively to the collaborative culture among board members, knowledge of our business and understanding of the competitive landscape.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oversees our business and monitors the performance of our management. In accordance with our corporate governance procedures, the Board does not involve itself in our day-to-day operations. Our executive officers and management oversee our day-to-day operations. Our directors fulfill their duties and responsibilities by attending meetings of the Board, which are usually held on at least a quarterly basis. Our directors also discuss business and other matters with other key executives and our principal external advisers (legal counsel, auditors, financial advisors and other consultants).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three standing committees - an Audit Committee, a Compensation Committee, and a Nominating and Corporate Governance Committee. Copies of the charters for each committee are posted under the “Investors” tab on our website, which is located at </w:t>
      </w:r>
      <w:r>
        <w:rPr>
          <w:rFonts w:ascii="Times New Roman;Times;Serif" w:hAnsi="Times New Roman;Times;Serif"/>
          <w:b w:val="false"/>
          <w:i/>
          <w:caps w:val="false"/>
          <w:smallCaps w:val="false"/>
          <w:sz w:val="20"/>
          <w:u w:val="single"/>
        </w:rPr>
        <w:t>https://dragonflyenergy.com</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formed an Audit Committee, which currently consists of Luisa Ingargiola, Brian Nelson and Perry Boyle. Each member of the Audit Committee is “independent” as that term is defined under the applicable rules of the SEC and Nasdaq. The Board has determined that each Audit Committee member has sufficient knowledge in financial and auditing matters to serve on the Audit Committee. In addition, our Board has determined that Ms. Ingargiola qualifies as an audit committee financial expert within the meaning of SEC regulations and the Nasdaq Marketplace Rules.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 serves as the chair of the Audit Committee. The Audit Committee oversees and monitors our financial reporting process and internal control system, reviews and evaluates the audit performed by our registered independent public accountants and reports to our Board any substantive issues found during the audit. The Audit Committee will be directly responsible for the appointment, compensation and oversight of the work of our registered independent public accountants. The Audit Committee reviews and approves all transactions with affiliated parties. The Board has adopted a written charter for the Audit Committee.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formed a Compensation Committee which consists of Luisa Ingargiola, Brian Nelson and Perry Boyle, all of whom are independent (as that term is defined under the Nasdaq Marketplace Rules). Brian Nelson serves as the chair of the Compensation Committee. The Compensation Committee assists the Board in fulfilling its oversight responsibilities relating to (i) corporate governance practices and policies and (ii) compensation matters, including our directors and senior management’s compensation and the administration of our compensation plans. Our Board determined that each of the members of the compensation committee are a non-employee director, as defined in Rule 16b-3 promulgated under the Exchange Act and satisfies the independence requirements of Nasdaq.</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formed a Nominating and Corporate Governance Committee, which currently consists of Luisa Ingargiola, Brian Nelson and Perry Boyle, all of whom are independent (as that term is defined under the Nasdaq Marketplace Rules). Brian Nelson serves as the chair of the Nominating and Corporate Governance Committee. The Nominating and Corporate Governance Committee assesses potential candidates to fill perceived needs on the Board for required, skills, expertise, independence and other factors.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Nomination of Directors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of the Board assesses potential candidates to fill perceived needs on the Board of Directors for required skills, expertise, independence and other factors. A director candidate recommended by our stockholders will be considered in the same manner as a nominee recommended by a Board member, management or other sources. Stockholders wishing to recommend a candidate for nomination should contact our Secretary in writing at the Secretary of Dragonfly at 12915 Old Virginia Road, Reno, Nevada 89521. Our Nominating and Corporate Governance Committee has discretion to decide which individuals to recommend for nomination as directors.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 and Role in Risk Oversight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Periodically, our Board will assess the roles of Chairman and Chief Executive Officer, and the Board leadership structure to ensure the interests of Dragonfly and our stockholders are best served. Our Board believes the current combination of the two roles is satisfactory at present. Dr. Phares, as our President, Chief Executive Officer and Chairman, has extensive knowledge of all aspects of Dragonfly and our business. Our Board has appointed Ms. Ingargiola as Lead Independent Director. We have no policy requiring the combination or separation of leadership roles and our governing documents do not mandate a particular structure. This has allowed, and will continue to allow, our Board the flexibility to establish the most appropriate structure for us at any given time.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primarily responsible for overseeing our risk management processes. The Board receives and reviews periodic reports from management, auditors, legal counsel, and others, as considered appropriate regarding our assessment of risks. The Board focuses on the most significant risks we face and our general risk management strategy, and also ensures that risks undertaken by us are consistent with the Board’s risk strategy. While the Board oversees our risk management, management is responsible for day-to-day risk management processes. We believe this division of responsibilities is the most effective approach for addressing the risks we face and that our Board leadership structure supports this approach.</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directors or executive officers.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Code of Business Conduct and Ethics that applies to all of our executive officers, financial and accounting officers, our directors, our financial managers and all of our employees. The Board is committed to a high standard of corporate governance practices and, through its oversight role, encourages and promotes a culture of ethical business conduct. A copy of our Code of Business Conduct and Ethics is posted under the “Investors” tab on our website, which is located at </w:t>
      </w:r>
      <w:r>
        <w:rPr>
          <w:rFonts w:ascii="Times New Roman;Times;Serif" w:hAnsi="Times New Roman;Times;Serif"/>
          <w:b w:val="false"/>
          <w:i/>
          <w:caps w:val="false"/>
          <w:smallCaps w:val="false"/>
          <w:sz w:val="20"/>
          <w:u w:val="single"/>
        </w:rPr>
        <w:t>https://dragonflyenergy.com/.</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arrangements and policies.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w:t>
      </w:r>
      <w:bookmarkStart w:id="74" w:name="xdx_909_eecd--InsiderTrdPoliciesProcAdop"/>
      <w:bookmarkEnd w:id="74"/>
      <w:r>
        <w:rPr>
          <w:rFonts w:ascii="Times New Roman;Times;Serif" w:hAnsi="Times New Roman;Times;Serif"/>
          <w:b w:val="false"/>
          <w:i w:val="false"/>
          <w:caps w:val="false"/>
          <w:smallCaps w:val="false"/>
          <w:sz w:val="20"/>
        </w:rPr>
        <w:t>adopted an insider trading policy that governs the purchase, sale, and/or other transactions of our securities by our directors, officers and employees. A copy of our insider trading policy is filed as Exhibit 19.1 to this Annual Report on Form 10-K for the fiscal year ended December 31, 2025. In addition, with regard to us trading in our own securities, it is our policy to comply with the federal securities laws and the applicable exchange listing requirements in all respects.</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75" w:name="a_021"/>
      <w:bookmarkEnd w:id="75"/>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formed a Compensation Committee. The Compensation Committee is responsible for reviewing and approving management compensation, including salaries, bonuses, and equity compensation. We seek to provide competitive compensation arrangements that attract and retain key talent necessary to achieve our business objectives.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regarding the total compensation awarded to, earned by, or paid to each person serving as our Chief Executive Officer during the fiscal year ended December 31, 2025, the two most highly-compensated executive officers (other than the Chief Executive Officer) who were serving as executive officers as of December 31, 2025, and up to two additional individuals for whom disclosure would have been provided but for the fact that such individuals were not serving as an executive officer as of December 31, 2025 for services rendered in all capacities to us for the fiscal year ended December 31, 2025. These individuals are our named executive officers (“</w:t>
      </w:r>
      <w:r>
        <w:rPr>
          <w:rFonts w:ascii="Times New Roman;Times;Serif" w:hAnsi="Times New Roman;Times;Serif"/>
          <w:b/>
          <w:i w:val="false"/>
          <w:caps w:val="false"/>
          <w:smallCaps w:val="false"/>
          <w:sz w:val="20"/>
        </w:rPr>
        <w:t>NEOs</w:t>
      </w:r>
      <w:r>
        <w:rPr>
          <w:rFonts w:ascii="Times New Roman;Times;Serif" w:hAnsi="Times New Roman;Times;Serif"/>
          <w:b w:val="false"/>
          <w:i w:val="false"/>
          <w:caps w:val="false"/>
          <w:smallCaps w:val="false"/>
          <w:sz w:val="20"/>
        </w:rPr>
        <w:t>”) for fiscal year 2025.</w:t>
      </w:r>
    </w:p>
    <w:p>
      <w:pPr>
        <w:pStyle w:val="TextBody"/>
        <w:bidi w:val="0"/>
        <w:spacing w:before="0" w:after="0"/>
        <w:ind w:left="10" w:right="0" w:hanging="10"/>
        <w:jc w:val="both"/>
        <w:rPr>
          <w:caps w:val="false"/>
          <w:smallCaps w:val="false"/>
        </w:rPr>
      </w:pPr>
      <w:r>
        <w:rPr>
          <w:caps w:val="false"/>
          <w:smallCaps w:val="false"/>
        </w:rPr>
        <w:t> </w:t>
      </w:r>
    </w:p>
    <w:tbl>
      <w:tblPr>
        <w:tblW w:w="11450" w:type="dxa"/>
        <w:jc w:val="left"/>
        <w:tblInd w:w="0" w:type="dxa"/>
        <w:tblLayout w:type="fixed"/>
        <w:tblCellMar>
          <w:top w:w="0" w:type="dxa"/>
          <w:left w:w="0" w:type="dxa"/>
          <w:bottom w:w="0" w:type="dxa"/>
          <w:right w:w="0" w:type="dxa"/>
        </w:tblCellMar>
      </w:tblPr>
      <w:tblGrid>
        <w:gridCol w:w="1220"/>
        <w:gridCol w:w="60"/>
        <w:gridCol w:w="60"/>
        <w:gridCol w:w="500"/>
        <w:gridCol w:w="60"/>
        <w:gridCol w:w="60"/>
        <w:gridCol w:w="60"/>
        <w:gridCol w:w="800"/>
        <w:gridCol w:w="60"/>
        <w:gridCol w:w="60"/>
        <w:gridCol w:w="70"/>
        <w:gridCol w:w="655"/>
        <w:gridCol w:w="60"/>
        <w:gridCol w:w="60"/>
        <w:gridCol w:w="320"/>
        <w:gridCol w:w="510"/>
        <w:gridCol w:w="60"/>
        <w:gridCol w:w="60"/>
        <w:gridCol w:w="320"/>
        <w:gridCol w:w="510"/>
        <w:gridCol w:w="60"/>
        <w:gridCol w:w="60"/>
        <w:gridCol w:w="576"/>
        <w:gridCol w:w="914"/>
        <w:gridCol w:w="60"/>
        <w:gridCol w:w="60"/>
        <w:gridCol w:w="576"/>
        <w:gridCol w:w="914"/>
        <w:gridCol w:w="60"/>
        <w:gridCol w:w="60"/>
        <w:gridCol w:w="576"/>
        <w:gridCol w:w="914"/>
        <w:gridCol w:w="60"/>
        <w:gridCol w:w="60"/>
        <w:gridCol w:w="60"/>
        <w:gridCol w:w="800"/>
        <w:gridCol w:w="75"/>
      </w:tblGrid>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Non-Equity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Non-Qualified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Incentive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Deferred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All 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center"/>
              <w:rPr>
                <w:b/>
              </w:rPr>
            </w:pPr>
            <w:r>
              <w:rPr>
                <w:b/>
              </w:rPr>
              <w:t>Name and</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Salary</w:t>
            </w:r>
            <w:r>
              <w:rPr>
                <w:b/>
                <w:position w:val="8"/>
                <w:sz w:val="19"/>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b/>
              </w:rPr>
            </w:pPr>
            <w:r>
              <w:rPr>
                <w:b/>
              </w:rPr>
              <w:t>Bonus</w:t>
            </w:r>
            <w:r>
              <w:rPr>
                <w:b/>
                <w:position w:val="8"/>
                <w:sz w:val="19"/>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220" w:type="dxa"/>
            <w:tcBorders>
              <w:bottom w:val="single" w:sz="8" w:space="0" w:color="000000"/>
            </w:tcBorders>
            <w:tcMar>
              <w:bottom w:w="28" w:type="dxa"/>
            </w:tcMar>
            <w:vAlign w:val="center"/>
          </w:tcPr>
          <w:p>
            <w:pPr>
              <w:pStyle w:val="TableContents"/>
              <w:bidi w:val="0"/>
              <w:spacing w:before="0" w:after="283"/>
              <w:jc w:val="center"/>
              <w:rPr>
                <w:b/>
              </w:rPr>
            </w:pPr>
            <w:r>
              <w:rPr>
                <w:b/>
              </w:rPr>
              <w:t>Principal 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both"/>
              <w:rPr/>
            </w:pPr>
            <w:r>
              <w:rPr/>
              <w:t>Dr. Denis Phares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622,000</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both"/>
              <w:rPr>
                <w:i/>
              </w:rPr>
            </w:pPr>
            <w:r>
              <w:rPr>
                <w:i/>
              </w:rPr>
              <w:t>Chief Executive Officer, Interim Chief Financial Officer, President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622,000</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both"/>
              <w:rPr/>
            </w:pPr>
            <w:r>
              <w:rPr/>
              <w:t>Wade Seaburg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340,000</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both"/>
              <w:rPr>
                <w:i/>
              </w:rPr>
            </w:pPr>
            <w:r>
              <w:rPr>
                <w:i/>
              </w:rPr>
              <w:t>Chief Commercial Officer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340,000</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both"/>
              <w:rPr/>
            </w:pPr>
            <w:r>
              <w:rPr/>
              <w:t>Dr. Vickram Singh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351,188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356,188</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40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Operating</w:t>
            </w:r>
          </w:p>
          <w:p>
            <w:pPr>
              <w:pStyle w:val="TableContents"/>
              <w:bidi w:val="0"/>
              <w:spacing w:before="0" w:after="0"/>
              <w:ind w:left="40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17"/>
        <w:gridCol w:w="9988"/>
      </w:tblGrid>
      <w:tr>
        <w:trPr/>
        <w:tc>
          <w:tcPr>
            <w:tcW w:w="21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fiscal year ended December 31, 2025, each of Dr. Phares, Mr. Seaburg and Dr. Singh agreed to reduce their salary by approximately 20% for the remainder of fiscal 2026, effective April 1, 2026. As a result of these reductions, the salaries for the NEOS for the remainder of fiscal 2026 shall be: (i) $497,600 for Dr. Phares; (ii) $221,000 for Mr. Seaburg, and (iii) $280,000 for Dr. Singh.</w:t>
            </w:r>
          </w:p>
        </w:tc>
      </w:tr>
      <w:tr>
        <w:trPr/>
        <w:tc>
          <w:tcPr>
            <w:tcW w:w="21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represent discretionary bonuses awarded to each executive for performance during the fiscal year ended December 31,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the Compensation Committee engaged Compensia, Inc. as our independent compensation consultant. Compensia, Inc. viewed both executive and director compensation and did not provide us any other services. Compensia, Inc. reported directly to the Compensation Committee and provided guidance on trends in executive and non-employee director compensation, the development of specific executive compensation programs, the composition of our compensation peer group and other matters as directed by the Compensation Committee. Dragonfly Energy Holdings Corp. did not engage an independent compensation consultant for years ended December 31, 2024 or December 31, 2025.</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Named Executive Officer Employment Agreements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Dr. Phares, dated as of October 11, 2022, Mr. Seaburg, dated as of November 7, 2022, and Dr. Singh, dated as of February 1, 2025.</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agreement provides for a three-year initial employment term, with automatic three-year renewal terms thereafter, subject to 90 days’ notice of non-renewal by either party. Each agreement also provides for the executive to receive an annual base salary (Dr. Phares - $622,000; Mr. Seaburg - $340,000; Dr. Singh - $350,000) and to be eligible for an annual bonus of up to a specified percentage of the executive’s base salary (Dr. Phares - 100%; Mr. Seaburg - 92%; Dr. Singh - 65%). The executive is generally eligible for an annual bonus only if he remains employed with us through the date the bonus is paid (or if the executive’s employment terminates due to his death or disability during the year). The executive is also eligible to receive a long-term incentive award each fiscal year with a grant-date value not less than a dollar amount specified in the agreement (Dr. Phares - $1,532,000; Mr. Seaburg - $490,000; Dr. Singh - $550,000),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or 1.0 times the executive’s annual base salary (in the case of Mr. Seaburg and Dr. Singh), payable in installments over two years following the termination date, (ii) reimbursement of monthly COBRA premiums for the executive and his dependents for up to 18 months (in the case of Dr. Phares) or 12 months (in the case of Mr. Seaburg, and Dr. Singh),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during the period commencing three months before a change in control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Mr. Seaburg and Dr. Singh,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executive’s right to receive the severance benefits described above is subject to him providing a release of claims to us and his continued compliance with the restrictive covenants in favor of us in the agreement.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12, 2024, we entered into amendments to the employment agreements with Dr. Phares and Mr. Seaburg to amend the terms of their annual equity compensation (the “</w:t>
      </w:r>
      <w:r>
        <w:rPr>
          <w:rFonts w:ascii="Times New Roman;Times;Serif" w:hAnsi="Times New Roman;Times;Serif"/>
          <w:b/>
          <w:i w:val="false"/>
          <w:caps w:val="false"/>
          <w:smallCaps w:val="false"/>
          <w:sz w:val="20"/>
        </w:rPr>
        <w:t>Amended Employee Agreements</w:t>
      </w:r>
      <w:r>
        <w:rPr>
          <w:rFonts w:ascii="Times New Roman;Times;Serif" w:hAnsi="Times New Roman;Times;Serif"/>
          <w:b w:val="false"/>
          <w:i w:val="false"/>
          <w:caps w:val="false"/>
          <w:smallCaps w:val="false"/>
          <w:sz w:val="20"/>
        </w:rPr>
        <w:t>”). The Amended Employee Agreements allow us to issue a combination of cash and equity awards on an annual basis up to a specified amount ($1,532,000 for Dr. Phares and $490,000 for Mr. Seaburg), subject to approval and such other terms and conditions imposed by the compensation committee of the board of directors.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2026, Dr. Phares, Mr. Seaburg and Dr. Singh, each agreed to reduce their salary by approximately 20% for the remainder of fiscal 2026, effective April 1, 2026. As a result of these reductions, the salaries for the following executive officers for fiscal 2026 shall be: (i) $497,600 for Dr. Phares; (ii) $221,000 for Mr. Seaburg, and (iii) $280,000 for Dr. Singh.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outstanding options to acquire our common stock held by each of the NEOs as of December 31, 2025, including the vesting dates for the portions of these awards that had not vested as of that date. The NEOs did not hold any other outstanding equity awards as of that date.</w:t>
      </w:r>
    </w:p>
    <w:p>
      <w:pPr>
        <w:pStyle w:val="TextBody"/>
        <w:bidi w:val="0"/>
        <w:spacing w:before="0" w:after="0"/>
        <w:ind w:left="10" w:right="0" w:hanging="10"/>
        <w:jc w:val="both"/>
        <w:rPr>
          <w:caps w:val="false"/>
          <w:smallCaps w:val="false"/>
        </w:rPr>
      </w:pPr>
      <w:r>
        <w:rPr>
          <w:caps w:val="false"/>
          <w:smallCaps w:val="false"/>
        </w:rPr>
        <w:t> </w:t>
      </w:r>
    </w:p>
    <w:tbl>
      <w:tblPr>
        <w:tblW w:w="8764" w:type="dxa"/>
        <w:jc w:val="left"/>
        <w:tblInd w:w="0" w:type="dxa"/>
        <w:tblLayout w:type="fixed"/>
        <w:tblCellMar>
          <w:top w:w="0" w:type="dxa"/>
          <w:left w:w="0" w:type="dxa"/>
          <w:bottom w:w="0" w:type="dxa"/>
          <w:right w:w="0" w:type="dxa"/>
        </w:tblCellMar>
      </w:tblPr>
      <w:tblGrid>
        <w:gridCol w:w="1850"/>
        <w:gridCol w:w="60"/>
        <w:gridCol w:w="193"/>
        <w:gridCol w:w="1072"/>
        <w:gridCol w:w="60"/>
        <w:gridCol w:w="60"/>
        <w:gridCol w:w="306"/>
        <w:gridCol w:w="1139"/>
        <w:gridCol w:w="60"/>
        <w:gridCol w:w="60"/>
        <w:gridCol w:w="135"/>
        <w:gridCol w:w="1294"/>
        <w:gridCol w:w="290"/>
        <w:gridCol w:w="60"/>
        <w:gridCol w:w="70"/>
        <w:gridCol w:w="805"/>
        <w:gridCol w:w="60"/>
        <w:gridCol w:w="60"/>
        <w:gridCol w:w="1130"/>
      </w:tblGrid>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54" w:type="dxa"/>
            <w:gridSpan w:val="17"/>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r>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Equity</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r>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Incentive</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r>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Plan Awards:</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r>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Number of</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r>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Securities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Securities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Securities</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r>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Underlying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Underlying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Underlying</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r>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Unexercised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Unexercised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Unexercised</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Option</w:t>
            </w:r>
          </w:p>
        </w:tc>
      </w:tr>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Options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Options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Unearned</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Expiration</w:t>
            </w:r>
          </w:p>
        </w:tc>
      </w:tr>
      <w:tr>
        <w:trPr/>
        <w:tc>
          <w:tcPr>
            <w:tcW w:w="1850" w:type="dxa"/>
            <w:tcBorders>
              <w:bottom w:val="single" w:sz="8" w:space="0" w:color="000000"/>
            </w:tcBorders>
            <w:tcMar>
              <w:bottom w:w="28" w:type="dxa"/>
            </w:tcMar>
            <w:vAlign w:val="center"/>
          </w:tcPr>
          <w:p>
            <w:pPr>
              <w:pStyle w:val="TableContents"/>
              <w:bidi w:val="0"/>
              <w:spacing w:before="0" w:after="283"/>
              <w:jc w:val="both"/>
              <w:rPr>
                <w:b/>
              </w:rPr>
            </w:pPr>
            <w:r>
              <w:rPr>
                <w:b/>
              </w:rPr>
              <w:t>Name</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Options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Price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b/>
              </w:rPr>
            </w:pPr>
            <w:r>
              <w:rPr>
                <w:b/>
              </w:rPr>
              <w:t>Date</w:t>
            </w:r>
          </w:p>
        </w:tc>
      </w:tr>
      <w:tr>
        <w:trPr/>
        <w:tc>
          <w:tcPr>
            <w:tcW w:w="1850" w:type="dxa"/>
            <w:tcBorders/>
            <w:shd w:fill="CCEEFF" w:val="clear"/>
            <w:vAlign w:val="center"/>
          </w:tcPr>
          <w:p>
            <w:pPr>
              <w:pStyle w:val="TableContents"/>
              <w:bidi w:val="0"/>
              <w:spacing w:before="0" w:after="283"/>
              <w:jc w:val="left"/>
              <w:rPr/>
            </w:pPr>
            <w:r>
              <w:rPr/>
              <w:t>Dr. Denis Phares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4,203</w:t>
            </w:r>
          </w:p>
        </w:tc>
        <w:tc>
          <w:tcPr>
            <w:tcW w:w="290" w:type="dxa"/>
            <w:tcBorders/>
            <w:shd w:fill="CCEEFF" w:val="clear"/>
            <w:vAlign w:val="center"/>
          </w:tcPr>
          <w:p>
            <w:pPr>
              <w:pStyle w:val="TableContents"/>
              <w:bidi w:val="0"/>
              <w:spacing w:before="0" w:after="283"/>
              <w:jc w:val="left"/>
              <w:rPr/>
            </w:pPr>
            <w:r>
              <w:rPr/>
              <w:t>(1)</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04/12/2034</w:t>
            </w:r>
          </w:p>
        </w:tc>
      </w:tr>
      <w:tr>
        <w:trPr/>
        <w:tc>
          <w:tcPr>
            <w:tcW w:w="1850" w:type="dxa"/>
            <w:tcBorders/>
            <w:shd w:fill="FFFFFF" w:val="clear"/>
            <w:vAlign w:val="center"/>
          </w:tcPr>
          <w:p>
            <w:pPr>
              <w:pStyle w:val="TableContents"/>
              <w:bidi w:val="0"/>
              <w:spacing w:before="0" w:after="283"/>
              <w:jc w:val="left"/>
              <w:rPr/>
            </w:pPr>
            <w:r>
              <w:rPr/>
              <w:t>Wade Seaburg</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1,344</w:t>
            </w:r>
          </w:p>
        </w:tc>
        <w:tc>
          <w:tcPr>
            <w:tcW w:w="290" w:type="dxa"/>
            <w:tcBorders/>
            <w:shd w:fill="FFFFFF" w:val="clear"/>
            <w:vAlign w:val="center"/>
          </w:tcPr>
          <w:p>
            <w:pPr>
              <w:pStyle w:val="TableContents"/>
              <w:bidi w:val="0"/>
              <w:spacing w:before="0" w:after="283"/>
              <w:jc w:val="left"/>
              <w:rPr/>
            </w:pPr>
            <w:r>
              <w:rPr/>
              <w:t>(1)</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04/12/2034</w:t>
            </w:r>
          </w:p>
        </w:tc>
      </w:tr>
      <w:tr>
        <w:trPr/>
        <w:tc>
          <w:tcPr>
            <w:tcW w:w="1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53.16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06/09/2030</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53.26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10/19/2030</w:t>
            </w:r>
          </w:p>
        </w:tc>
      </w:tr>
      <w:tr>
        <w:trPr/>
        <w:tc>
          <w:tcPr>
            <w:tcW w:w="1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985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260.28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08/04/2031</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260.38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12/06/2031</w:t>
            </w:r>
          </w:p>
        </w:tc>
      </w:tr>
      <w:tr>
        <w:trPr/>
        <w:tc>
          <w:tcPr>
            <w:tcW w:w="1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263.23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12/06/2031</w:t>
            </w:r>
          </w:p>
        </w:tc>
      </w:tr>
      <w:tr>
        <w:trPr/>
        <w:tc>
          <w:tcPr>
            <w:tcW w:w="1850" w:type="dxa"/>
            <w:tcBorders/>
            <w:shd w:fill="FFFFFF" w:val="clear"/>
            <w:vAlign w:val="center"/>
          </w:tcPr>
          <w:p>
            <w:pPr>
              <w:pStyle w:val="TableContents"/>
              <w:bidi w:val="0"/>
              <w:spacing w:before="0" w:after="283"/>
              <w:jc w:val="left"/>
              <w:rPr/>
            </w:pPr>
            <w:r>
              <w:rPr/>
              <w:t>Dr. Vickram Singh</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53.10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06/09/2030</w:t>
            </w:r>
          </w:p>
        </w:tc>
      </w:tr>
      <w:tr>
        <w:trPr/>
        <w:tc>
          <w:tcPr>
            <w:tcW w:w="1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53.15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10/19/2030</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260.30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12/06/2031</w:t>
            </w:r>
          </w:p>
        </w:tc>
      </w:tr>
      <w:tr>
        <w:trPr/>
        <w:tc>
          <w:tcPr>
            <w:tcW w:w="18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222</w:t>
            </w:r>
          </w:p>
        </w:tc>
        <w:tc>
          <w:tcPr>
            <w:tcW w:w="290" w:type="dxa"/>
            <w:tcBorders/>
            <w:shd w:fill="CCEEFF" w:val="clear"/>
            <w:vAlign w:val="center"/>
          </w:tcPr>
          <w:p>
            <w:pPr>
              <w:pStyle w:val="TableContents"/>
              <w:bidi w:val="0"/>
              <w:spacing w:before="0" w:after="283"/>
              <w:jc w:val="left"/>
              <w:rPr/>
            </w:pPr>
            <w:r>
              <w:rPr/>
              <w:t>(2)</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08/19/2034</w:t>
            </w:r>
          </w:p>
        </w:tc>
      </w:tr>
    </w:tbl>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units vest annually as to 1/3rd on April 12, 2025, with the remaining shares vesting in equal annual installments over a period of 2 years.</w:t>
            </w:r>
          </w:p>
        </w:tc>
      </w:tr>
      <w:tr>
        <w:trPr/>
        <w:tc>
          <w:tcPr>
            <w:tcW w:w="2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units vest annually as to 1/3rd on August 9, 2025, with the remaining shares vesting in equal annual installments over a period of 2 years.</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Grants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services performed during the year ended December 31, 2023, on April 12, 2024, Dr. Phares was granted 6,304 restricted stock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and Mr. Seaburg was granted 2,016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our Board also approved the following cash awards to the above referenced employees: (i) $510,666.67 to Dr. Phares; and (ii) $163,333.33 to Mr. Seaburg. Each of the approved cash awards will not be paid out to the employees until we have achieved a minimum cash balance of $30,000,000, and are subject to each employee’s continued employment on the date of payment.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services performed during the year ended December 31, 2022, on February 10, 2023, Dr. Phares was granted 2,269 RSUs and Mr. Seaburg was granted 726 RSUs. Each grant vested in full on the date of grant.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his appointment as Chief Operating Officer, Dr. Singh was granted 1,111 RSUs, in which 1,111 vested on February 5, 2024 and 333 RSU’s, in which 111 vested on August 19, 2025, and the remaining shares vest in two equal installments on the first and second anniversaries of the first vesting date.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Dr. Phares, Mr. Seaburg and Dr. Singh were each granted option awards under the 2022 Plan (as defined below) as follows: (i) Dr. Phares received options to purchase 38,269 shares of common stock, (ii) Mr. Seaburg received options to purchase 36,607 shares of common stock, and (iii) Dr. Singh received options to purchase 21,534 shares of common stock, in each case at an exercise price of $2.99 per share. The options vest in three equal annual installments, with one-third of the options vesting on April 1, 2026, one-third vesting on April 1, 2027, and the remaining one-third vesting on April 1, 2028, in each case subject to such NEO’s continued service through the applicable vesting date and the terms of the 2022 Plan.</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Practices Related to the Grant of Certain Equity Awards Close in Time to the Release of Material Nonpublic Information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formal policy that requires us to grant, or avoid granting, stock options at particular times. We have in the past typically granted RSUs to our officers and directors and do not typically grant stock options but may do so in the future. The timing of any stock option grants in connection with new hires, promotions, or other non-routine grants is tied to the event giving rise to the award (such as an employee’s commencement of employment or promotion effective date). As a result, in all cases, the timing of grants of stock options occurs independent of the release of any material nonpublic information, and we do not time the disclosure of material nonpublic information for the purpose of affecting the value of executive compensation.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 options were issued to executive officers in 2025 during any period beginning four business days before the filing of a periodic report or current report disclosing material non-public information and ending one business day after the filing or furnishing of such report with the SEC.</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policy that provides for cash and equity compensation for members of our Board of directors who are not employed by us or any of our subsidiaries (our “</w:t>
      </w:r>
      <w:r>
        <w:rPr>
          <w:rFonts w:ascii="Times New Roman;Times;Serif" w:hAnsi="Times New Roman;Times;Serif"/>
          <w:b/>
          <w:i w:val="false"/>
          <w:caps w:val="false"/>
          <w:smallCaps w:val="false"/>
          <w:sz w:val="20"/>
        </w:rPr>
        <w:t>Non-Employee Directors</w:t>
      </w:r>
      <w:r>
        <w:rPr>
          <w:rFonts w:ascii="Times New Roman;Times;Serif" w:hAnsi="Times New Roman;Times;Serif"/>
          <w:b w:val="false"/>
          <w:i w:val="false"/>
          <w:caps w:val="false"/>
          <w:smallCaps w:val="false"/>
          <w:sz w:val="20"/>
        </w:rPr>
        <w:t>”). The policy provides that each Non-Employee Director is entitled to receive the following cash compensation for board service, as applicable:</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$58,800 annual retainer for service as a Board member;</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additional annual retainer for service as Lead Independent Director;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also has discretion under the director compensation policy to grant Non-Employee Directors equity-based awards under our Dragonfly Energy Holdings 2022 Equity Incentive Plan (“</w:t>
      </w:r>
      <w:r>
        <w:rPr>
          <w:rFonts w:ascii="Times New Roman;Times;Serif" w:hAnsi="Times New Roman;Times;Serif"/>
          <w:b/>
          <w:i w:val="false"/>
          <w:caps w:val="false"/>
          <w:smallCaps w:val="false"/>
          <w:sz w:val="20"/>
        </w:rPr>
        <w:t>2022 Plan</w:t>
      </w:r>
      <w:r>
        <w:rPr>
          <w:rFonts w:ascii="Times New Roman;Times;Serif" w:hAnsi="Times New Roman;Times;Serif"/>
          <w:b w:val="false"/>
          <w:i w:val="false"/>
          <w:caps w:val="false"/>
          <w:smallCaps w:val="false"/>
          <w:sz w:val="20"/>
        </w:rPr>
        <w:t>”) (or any successor equity compensation plan approved by our stockholders). It is currently expected that Non-Employee Directors will receive an award of options, RSUs and/or cash with a value of $300,000 upon their initial appointment to the Board and an award of options, RSUs and/or cash with a value of $100,000 on an annual basis thereafter. For each award, the Compensation Committee will determine at the time of grant the methodology for converting the foregoing dollar amounts to shares and the vesting schedule. The Compensation Committee may approve other grants of equity-based awards to Non-Employee Directors from time to time, on such terms as the Compensation Committee may determine and subject to the applicable provisions of our equity compensation plan then in effect.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change the terms of our director compensation policy from time to time.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October 7, 2022, we granted each of our Non-Employee Directors then serving of the Board (i.e. Perry Boyle, Luisa Ingargiola, and Brian Nelson) an award of 333 RSUs under the 2022 Plan that are eligible to vest on the first anniversary of the grant date, subject to the director’s continued service on the Board through the vesting date.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we granted each of our Non-Employee Directors then serving on the Board (i.e. Perry Boyle, Luisa Ingargiola, and Brian Nelson) an award of 2,469 RSUs units under the 2022 Plan that are eligible to vest in three equal annual installments, beginning on the first anniversary of the grant date, subject to the director’s continued service on the Board through each vesting date.</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April 1, 2026, each Non-Employee Director agreed to reduce their cash compensation by approximately 20% for the remainder of fiscal 2026. In lieu of such cash compensation, the Non-Employee Directors were granted 13,364 RSUs in the aggregate under the Plan (Mr. Boyle – 4,204 RSUs, Ms. Edmonds – 4,956, and Mr. Nelson – 4,204). The RSUs vest in three equal annual installments, with one-third of the options vesting on April 1, 2026, one-third vesting on April 1, 2027, and the remaining one-third vesting on April 1, 2028, in each case subject to the directors continued service on the Board through the applicable vesting date.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4" w:right="0" w:hanging="1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Table - Fiscal 2025</w:t>
      </w:r>
    </w:p>
    <w:p>
      <w:pPr>
        <w:pStyle w:val="TextBody"/>
        <w:bidi w:val="0"/>
        <w:spacing w:before="0" w:after="0"/>
        <w:ind w:left="14" w:right="0" w:hanging="14"/>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concerning compensation awarded to, earned by, or paid to our Non-Employee Directors for services on our board during the year ended December 31, 2025. Dr. Phares did not receive any additional compensation for his service on the Board during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68"/>
        <w:gridCol w:w="60"/>
        <w:gridCol w:w="152"/>
        <w:gridCol w:w="1747"/>
        <w:gridCol w:w="60"/>
        <w:gridCol w:w="60"/>
        <w:gridCol w:w="257"/>
        <w:gridCol w:w="1122"/>
        <w:gridCol w:w="60"/>
        <w:gridCol w:w="60"/>
        <w:gridCol w:w="268"/>
        <w:gridCol w:w="1171"/>
        <w:gridCol w:w="60"/>
        <w:gridCol w:w="60"/>
        <w:gridCol w:w="391"/>
        <w:gridCol w:w="1702"/>
        <w:gridCol w:w="60"/>
        <w:gridCol w:w="60"/>
        <w:gridCol w:w="65"/>
        <w:gridCol w:w="741"/>
        <w:gridCol w:w="81"/>
      </w:tblGrid>
      <w:tr>
        <w:trPr/>
        <w:tc>
          <w:tcPr>
            <w:tcW w:w="1968" w:type="dxa"/>
            <w:tcBorders>
              <w:bottom w:val="single" w:sz="8" w:space="0" w:color="000000"/>
            </w:tcBorders>
            <w:vAlign w:val="center"/>
          </w:tcPr>
          <w:p>
            <w:pPr>
              <w:pStyle w:val="TableContents"/>
              <w:bidi w:val="0"/>
              <w:spacing w:before="0" w:after="283"/>
              <w:jc w:val="both"/>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899" w:type="dxa"/>
            <w:gridSpan w:val="2"/>
            <w:tcBorders>
              <w:bottom w:val="single" w:sz="8" w:space="0" w:color="000000"/>
            </w:tcBorders>
            <w:vAlign w:val="center"/>
          </w:tcPr>
          <w:p>
            <w:pPr>
              <w:pStyle w:val="TableContents"/>
              <w:bidi w:val="0"/>
              <w:spacing w:before="0" w:after="283"/>
              <w:jc w:val="left"/>
              <w:rPr>
                <w:b/>
              </w:rPr>
            </w:pPr>
            <w:r>
              <w:rPr>
                <w:b/>
              </w:rPr>
              <w:t>Fees Earned or Paid in Cash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9" w:type="dxa"/>
            <w:gridSpan w:val="2"/>
            <w:tcBorders>
              <w:bottom w:val="single" w:sz="8" w:space="0" w:color="000000"/>
            </w:tcBorders>
            <w:vAlign w:val="center"/>
          </w:tcPr>
          <w:p>
            <w:pPr>
              <w:pStyle w:val="TableContents"/>
              <w:bidi w:val="0"/>
              <w:spacing w:before="0" w:after="283"/>
              <w:jc w:val="left"/>
              <w:rPr>
                <w:b/>
              </w:rPr>
            </w:pPr>
            <w:r>
              <w:rPr>
                <w:b/>
              </w:rPr>
              <w:t>Stock Awards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9" w:type="dxa"/>
            <w:gridSpan w:val="2"/>
            <w:tcBorders>
              <w:bottom w:val="single" w:sz="8" w:space="0" w:color="000000"/>
            </w:tcBorders>
            <w:vAlign w:val="center"/>
          </w:tcPr>
          <w:p>
            <w:pPr>
              <w:pStyle w:val="TableContents"/>
              <w:bidi w:val="0"/>
              <w:spacing w:before="0" w:after="283"/>
              <w:jc w:val="left"/>
              <w:rPr>
                <w:b/>
              </w:rPr>
            </w:pPr>
            <w:r>
              <w:rPr>
                <w:b/>
              </w:rPr>
              <w:t>Option Awards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93" w:type="dxa"/>
            <w:gridSpan w:val="2"/>
            <w:tcBorders>
              <w:bottom w:val="single" w:sz="8" w:space="0" w:color="000000"/>
            </w:tcBorders>
            <w:vAlign w:val="center"/>
          </w:tcPr>
          <w:p>
            <w:pPr>
              <w:pStyle w:val="TableContents"/>
              <w:bidi w:val="0"/>
              <w:spacing w:before="0" w:after="283"/>
              <w:jc w:val="left"/>
              <w:rPr>
                <w:b/>
              </w:rPr>
            </w:pPr>
            <w:r>
              <w:rPr>
                <w:b/>
              </w:rPr>
              <w:t>All Other Compensation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6" w:type="dxa"/>
            <w:gridSpan w:val="2"/>
            <w:tcBorders>
              <w:bottom w:val="single" w:sz="8" w:space="0" w:color="000000"/>
            </w:tcBorders>
            <w:vAlign w:val="center"/>
          </w:tcPr>
          <w:p>
            <w:pPr>
              <w:pStyle w:val="TableContents"/>
              <w:bidi w:val="0"/>
              <w:spacing w:before="0" w:after="283"/>
              <w:jc w:val="left"/>
              <w:rPr>
                <w:b/>
              </w:rPr>
            </w:pPr>
            <w:r>
              <w:rPr>
                <w:b/>
              </w:rPr>
              <w:t>Total ($)</w:t>
            </w:r>
          </w:p>
        </w:tc>
        <w:tc>
          <w:tcPr>
            <w:tcW w:w="81" w:type="dxa"/>
            <w:tcBorders/>
            <w:tcMar>
              <w:bottom w:w="0" w:type="dxa"/>
            </w:tcMar>
            <w:vAlign w:val="center"/>
          </w:tcPr>
          <w:p>
            <w:pPr>
              <w:pStyle w:val="TableContents"/>
              <w:bidi w:val="0"/>
              <w:spacing w:before="0" w:after="283"/>
              <w:jc w:val="left"/>
              <w:rPr/>
            </w:pPr>
            <w:r>
              <w:rPr/>
              <w:t> </w:t>
            </w:r>
          </w:p>
        </w:tc>
      </w:tr>
      <w:tr>
        <w:trPr/>
        <w:tc>
          <w:tcPr>
            <w:tcW w:w="1968" w:type="dxa"/>
            <w:tcBorders/>
            <w:shd w:fill="CCEEFF" w:val="clear"/>
            <w:tcMar>
              <w:bottom w:w="0" w:type="dxa"/>
            </w:tcMar>
            <w:vAlign w:val="center"/>
          </w:tcPr>
          <w:p>
            <w:pPr>
              <w:pStyle w:val="TableContents"/>
              <w:bidi w:val="0"/>
              <w:spacing w:before="0" w:after="283"/>
              <w:jc w:val="both"/>
              <w:rPr/>
            </w:pPr>
            <w:r>
              <w:rPr/>
              <w:t>Jonathan Bellows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174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8" w:type="dxa"/>
            <w:tcBorders/>
            <w:shd w:fill="CCEEFF" w:val="clear"/>
            <w:tcMar>
              <w:bottom w:w="0" w:type="dxa"/>
            </w:tcMar>
            <w:vAlign w:val="center"/>
          </w:tcPr>
          <w:p>
            <w:pPr>
              <w:pStyle w:val="TableContents"/>
              <w:bidi w:val="0"/>
              <w:spacing w:before="0" w:after="283"/>
              <w:jc w:val="left"/>
              <w:rPr/>
            </w:pPr>
            <w:r>
              <w:rPr/>
              <w:t> </w:t>
            </w:r>
          </w:p>
        </w:tc>
        <w:tc>
          <w:tcPr>
            <w:tcW w:w="11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jc w:val="left"/>
              <w:rPr/>
            </w:pPr>
            <w:r>
              <w:rPr/>
              <w:t> </w:t>
            </w:r>
          </w:p>
        </w:tc>
        <w:tc>
          <w:tcPr>
            <w:tcW w:w="17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741" w:type="dxa"/>
            <w:tcBorders/>
            <w:shd w:fill="CCEEFF" w:val="clear"/>
            <w:tcMar>
              <w:bottom w:w="0" w:type="dxa"/>
            </w:tcMar>
            <w:vAlign w:val="center"/>
          </w:tcPr>
          <w:p>
            <w:pPr>
              <w:pStyle w:val="TableContents"/>
              <w:bidi w:val="0"/>
              <w:spacing w:before="0" w:after="283"/>
              <w:jc w:val="right"/>
              <w:rPr/>
            </w:pPr>
            <w:r>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968" w:type="dxa"/>
            <w:tcBorders/>
            <w:shd w:fill="FFFFFF" w:val="clear"/>
            <w:tcMar>
              <w:bottom w:w="0" w:type="dxa"/>
            </w:tcMar>
            <w:vAlign w:val="center"/>
          </w:tcPr>
          <w:p>
            <w:pPr>
              <w:pStyle w:val="TableContents"/>
              <w:bidi w:val="0"/>
              <w:spacing w:before="0" w:after="283"/>
              <w:jc w:val="both"/>
              <w:rPr/>
            </w:pPr>
            <w:r>
              <w:rPr/>
              <w:t>Perry Boyle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1747" w:type="dxa"/>
            <w:tcBorders/>
            <w:shd w:fill="FFFFFF" w:val="clear"/>
            <w:tcMar>
              <w:bottom w:w="0" w:type="dxa"/>
            </w:tcMar>
            <w:vAlign w:val="center"/>
          </w:tcPr>
          <w:p>
            <w:pPr>
              <w:pStyle w:val="TableContents"/>
              <w:bidi w:val="0"/>
              <w:spacing w:before="0" w:after="283"/>
              <w:jc w:val="right"/>
              <w:rPr/>
            </w:pPr>
            <w:r>
              <w:rPr/>
              <w:t>79,750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8" w:type="dxa"/>
            <w:tcBorders/>
            <w:shd w:fill="FFFFFF" w:val="clear"/>
            <w:tcMar>
              <w:bottom w:w="0" w:type="dxa"/>
            </w:tcMar>
            <w:vAlign w:val="center"/>
          </w:tcPr>
          <w:p>
            <w:pPr>
              <w:pStyle w:val="TableContents"/>
              <w:bidi w:val="0"/>
              <w:spacing w:before="0" w:after="283"/>
              <w:jc w:val="left"/>
              <w:rPr/>
            </w:pPr>
            <w:r>
              <w:rPr/>
              <w:t> </w:t>
            </w:r>
          </w:p>
        </w:tc>
        <w:tc>
          <w:tcPr>
            <w:tcW w:w="11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pPr>
            <w:r>
              <w:rPr/>
              <w:t> </w:t>
            </w:r>
          </w:p>
        </w:tc>
        <w:tc>
          <w:tcPr>
            <w:tcW w:w="17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741" w:type="dxa"/>
            <w:tcBorders/>
            <w:shd w:fill="FFFFFF" w:val="clear"/>
            <w:tcMar>
              <w:bottom w:w="0" w:type="dxa"/>
            </w:tcMar>
            <w:vAlign w:val="center"/>
          </w:tcPr>
          <w:p>
            <w:pPr>
              <w:pStyle w:val="TableContents"/>
              <w:bidi w:val="0"/>
              <w:spacing w:before="0" w:after="283"/>
              <w:jc w:val="right"/>
              <w:rPr/>
            </w:pPr>
            <w:r>
              <w:rPr/>
              <w:t>79,750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968" w:type="dxa"/>
            <w:tcBorders/>
            <w:shd w:fill="CCEEFF" w:val="clear"/>
            <w:tcMar>
              <w:bottom w:w="0" w:type="dxa"/>
            </w:tcMar>
            <w:vAlign w:val="center"/>
          </w:tcPr>
          <w:p>
            <w:pPr>
              <w:pStyle w:val="TableContents"/>
              <w:bidi w:val="0"/>
              <w:spacing w:before="0" w:after="283"/>
              <w:jc w:val="both"/>
              <w:rPr/>
            </w:pPr>
            <w:r>
              <w:rPr/>
              <w:t>Karina Montilla Edmonds,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174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8" w:type="dxa"/>
            <w:tcBorders/>
            <w:shd w:fill="CCEEFF" w:val="clear"/>
            <w:tcMar>
              <w:bottom w:w="0" w:type="dxa"/>
            </w:tcMar>
            <w:vAlign w:val="center"/>
          </w:tcPr>
          <w:p>
            <w:pPr>
              <w:pStyle w:val="TableContents"/>
              <w:bidi w:val="0"/>
              <w:spacing w:before="0" w:after="283"/>
              <w:jc w:val="left"/>
              <w:rPr/>
            </w:pPr>
            <w:r>
              <w:rPr/>
              <w:t> </w:t>
            </w:r>
          </w:p>
        </w:tc>
        <w:tc>
          <w:tcPr>
            <w:tcW w:w="11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jc w:val="left"/>
              <w:rPr/>
            </w:pPr>
            <w:r>
              <w:rPr/>
              <w:t> </w:t>
            </w:r>
          </w:p>
        </w:tc>
        <w:tc>
          <w:tcPr>
            <w:tcW w:w="17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741" w:type="dxa"/>
            <w:tcBorders/>
            <w:shd w:fill="CCEEFF" w:val="clear"/>
            <w:tcMar>
              <w:bottom w:w="0" w:type="dxa"/>
            </w:tcMar>
            <w:vAlign w:val="center"/>
          </w:tcPr>
          <w:p>
            <w:pPr>
              <w:pStyle w:val="TableContents"/>
              <w:bidi w:val="0"/>
              <w:spacing w:before="0" w:after="283"/>
              <w:jc w:val="right"/>
              <w:rPr/>
            </w:pPr>
            <w:r>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968" w:type="dxa"/>
            <w:tcBorders/>
            <w:shd w:fill="FFFFFF" w:val="clear"/>
            <w:tcMar>
              <w:bottom w:w="0" w:type="dxa"/>
            </w:tcMar>
            <w:vAlign w:val="center"/>
          </w:tcPr>
          <w:p>
            <w:pPr>
              <w:pStyle w:val="TableContents"/>
              <w:bidi w:val="0"/>
              <w:spacing w:before="0" w:after="283"/>
              <w:jc w:val="both"/>
              <w:rPr/>
            </w:pPr>
            <w:r>
              <w:rPr/>
              <w:t>Luisa Ingargiola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1747" w:type="dxa"/>
            <w:tcBorders/>
            <w:shd w:fill="FFFFFF" w:val="clear"/>
            <w:tcMar>
              <w:bottom w:w="0" w:type="dxa"/>
            </w:tcMar>
            <w:vAlign w:val="center"/>
          </w:tcPr>
          <w:p>
            <w:pPr>
              <w:pStyle w:val="TableContents"/>
              <w:bidi w:val="0"/>
              <w:spacing w:before="0" w:after="283"/>
              <w:jc w:val="right"/>
              <w:rPr/>
            </w:pPr>
            <w:r>
              <w:rPr/>
              <w:t>98,800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8" w:type="dxa"/>
            <w:tcBorders/>
            <w:shd w:fill="FFFFFF" w:val="clear"/>
            <w:tcMar>
              <w:bottom w:w="0" w:type="dxa"/>
            </w:tcMar>
            <w:vAlign w:val="center"/>
          </w:tcPr>
          <w:p>
            <w:pPr>
              <w:pStyle w:val="TableContents"/>
              <w:bidi w:val="0"/>
              <w:spacing w:before="0" w:after="283"/>
              <w:jc w:val="left"/>
              <w:rPr/>
            </w:pPr>
            <w:r>
              <w:rPr/>
              <w:t> </w:t>
            </w:r>
          </w:p>
        </w:tc>
        <w:tc>
          <w:tcPr>
            <w:tcW w:w="11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pPr>
            <w:r>
              <w:rPr/>
              <w:t> </w:t>
            </w:r>
          </w:p>
        </w:tc>
        <w:tc>
          <w:tcPr>
            <w:tcW w:w="17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741" w:type="dxa"/>
            <w:tcBorders/>
            <w:shd w:fill="FFFFFF" w:val="clear"/>
            <w:tcMar>
              <w:bottom w:w="0" w:type="dxa"/>
            </w:tcMar>
            <w:vAlign w:val="center"/>
          </w:tcPr>
          <w:p>
            <w:pPr>
              <w:pStyle w:val="TableContents"/>
              <w:bidi w:val="0"/>
              <w:spacing w:before="0" w:after="283"/>
              <w:jc w:val="right"/>
              <w:rPr/>
            </w:pPr>
            <w:r>
              <w:rPr/>
              <w:t>98,800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968" w:type="dxa"/>
            <w:tcBorders/>
            <w:shd w:fill="CCEEFF" w:val="clear"/>
            <w:tcMar>
              <w:bottom w:w="0" w:type="dxa"/>
            </w:tcMar>
            <w:vAlign w:val="center"/>
          </w:tcPr>
          <w:p>
            <w:pPr>
              <w:pStyle w:val="TableContents"/>
              <w:bidi w:val="0"/>
              <w:spacing w:before="0" w:after="283"/>
              <w:jc w:val="both"/>
              <w:rPr/>
            </w:pPr>
            <w:r>
              <w:rPr/>
              <w:t>Brian Nelson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1747" w:type="dxa"/>
            <w:tcBorders/>
            <w:shd w:fill="CCEEFF" w:val="clear"/>
            <w:tcMar>
              <w:bottom w:w="0" w:type="dxa"/>
            </w:tcMar>
            <w:vAlign w:val="center"/>
          </w:tcPr>
          <w:p>
            <w:pPr>
              <w:pStyle w:val="TableContents"/>
              <w:bidi w:val="0"/>
              <w:spacing w:before="0" w:after="283"/>
              <w:jc w:val="right"/>
              <w:rPr/>
            </w:pPr>
            <w:r>
              <w:rPr/>
              <w:t>60,350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8" w:type="dxa"/>
            <w:tcBorders/>
            <w:shd w:fill="CCEEFF" w:val="clear"/>
            <w:tcMar>
              <w:bottom w:w="0" w:type="dxa"/>
            </w:tcMar>
            <w:vAlign w:val="center"/>
          </w:tcPr>
          <w:p>
            <w:pPr>
              <w:pStyle w:val="TableContents"/>
              <w:bidi w:val="0"/>
              <w:spacing w:before="0" w:after="283"/>
              <w:jc w:val="left"/>
              <w:rPr/>
            </w:pPr>
            <w:r>
              <w:rPr/>
              <w:t> </w:t>
            </w:r>
          </w:p>
        </w:tc>
        <w:tc>
          <w:tcPr>
            <w:tcW w:w="11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jc w:val="left"/>
              <w:rPr/>
            </w:pPr>
            <w:r>
              <w:rPr/>
              <w:t> </w:t>
            </w:r>
          </w:p>
        </w:tc>
        <w:tc>
          <w:tcPr>
            <w:tcW w:w="17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741" w:type="dxa"/>
            <w:tcBorders/>
            <w:shd w:fill="CCEEFF" w:val="clear"/>
            <w:tcMar>
              <w:bottom w:w="0" w:type="dxa"/>
            </w:tcMar>
            <w:vAlign w:val="center"/>
          </w:tcPr>
          <w:p>
            <w:pPr>
              <w:pStyle w:val="TableContents"/>
              <w:bidi w:val="0"/>
              <w:spacing w:before="0" w:after="283"/>
              <w:jc w:val="right"/>
              <w:rPr/>
            </w:pPr>
            <w:r>
              <w:rPr/>
              <w:t>60,350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968" w:type="dxa"/>
            <w:tcBorders/>
            <w:shd w:fill="FFFFFF" w:val="clear"/>
            <w:tcMar>
              <w:bottom w:w="0" w:type="dxa"/>
            </w:tcMar>
            <w:vAlign w:val="center"/>
          </w:tcPr>
          <w:p>
            <w:pPr>
              <w:pStyle w:val="TableContents"/>
              <w:bidi w:val="0"/>
              <w:spacing w:before="0" w:after="283"/>
              <w:jc w:val="both"/>
              <w:rPr/>
            </w:pPr>
            <w:r>
              <w:rPr/>
              <w:t>Rick Parod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1747" w:type="dxa"/>
            <w:tcBorders/>
            <w:shd w:fill="FFFFFF" w:val="clear"/>
            <w:tcMar>
              <w:bottom w:w="0" w:type="dxa"/>
            </w:tcMar>
            <w:vAlign w:val="center"/>
          </w:tcPr>
          <w:p>
            <w:pPr>
              <w:pStyle w:val="TableContents"/>
              <w:bidi w:val="0"/>
              <w:spacing w:before="0" w:after="283"/>
              <w:jc w:val="right"/>
              <w:rPr/>
            </w:pPr>
            <w:r>
              <w:rPr/>
              <w:t>14,700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8" w:type="dxa"/>
            <w:tcBorders/>
            <w:shd w:fill="FFFFFF" w:val="clear"/>
            <w:tcMar>
              <w:bottom w:w="0" w:type="dxa"/>
            </w:tcMar>
            <w:vAlign w:val="center"/>
          </w:tcPr>
          <w:p>
            <w:pPr>
              <w:pStyle w:val="TableContents"/>
              <w:bidi w:val="0"/>
              <w:spacing w:before="0" w:after="283"/>
              <w:jc w:val="left"/>
              <w:rPr/>
            </w:pPr>
            <w:r>
              <w:rPr/>
              <w:t> </w:t>
            </w:r>
          </w:p>
        </w:tc>
        <w:tc>
          <w:tcPr>
            <w:tcW w:w="11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pPr>
            <w:r>
              <w:rPr/>
              <w:t> </w:t>
            </w:r>
          </w:p>
        </w:tc>
        <w:tc>
          <w:tcPr>
            <w:tcW w:w="17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741" w:type="dxa"/>
            <w:tcBorders/>
            <w:shd w:fill="FFFFFF" w:val="clear"/>
            <w:tcMar>
              <w:bottom w:w="0" w:type="dxa"/>
            </w:tcMar>
            <w:vAlign w:val="center"/>
          </w:tcPr>
          <w:p>
            <w:pPr>
              <w:pStyle w:val="TableContents"/>
              <w:bidi w:val="0"/>
              <w:spacing w:before="0" w:after="283"/>
              <w:jc w:val="right"/>
              <w:rPr/>
            </w:pPr>
            <w:r>
              <w:rPr/>
              <w:t>14,700</w:t>
            </w:r>
          </w:p>
        </w:tc>
        <w:tc>
          <w:tcPr>
            <w:tcW w:w="8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reflects the grant date fair value of the stock option and/or RSUs granted to the Non-Employee Directors for services performed during the year ended December 31, 2024 under the 2022 Plan as described above and is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in our Notes to Consolidated Financial Statements included in our Annual Report. As of March 26, 2026, Luisa Ingargiola held 6,602 unvested RSUs and Brian Nelson and Perry Boyle held 5,850 unvested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following options remained outstanding: (i) Luisa Ingargiola held options exercisable for 1,083 shares of common stock; and (ii) Brian Nelson held options exercisable for 788 shares of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76" w:name="a_022"/>
      <w:bookmarkEnd w:id="76"/>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as of March 26, 2026, with respect to the beneficial ownership of common stock by the following:</w:t>
      </w:r>
    </w:p>
    <w:p>
      <w:pPr>
        <w:pStyle w:val="TextBody"/>
        <w:bidi w:val="0"/>
        <w:spacing w:before="0" w:after="0"/>
        <w:ind w:left="1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other person, or group of affiliated persons, known by us to beneficially own more than 5% of any class of our outstanding shares of common stock;</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and directors as a group.</w:t>
            </w:r>
          </w:p>
        </w:tc>
      </w:tr>
    </w:tbl>
    <w:p>
      <w:pPr>
        <w:pStyle w:val="TextBody"/>
        <w:bidi w:val="0"/>
        <w:spacing w:before="0" w:after="0"/>
        <w:ind w:left="10" w:right="0" w:firstLine="72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relating to beneficial ownership of the voting securities by our principal stockholders and management is based upon each person’s information using “beneficial ownership” concepts under the SEC rules. Under these rules, a person is deemed to be a beneficial owner of a security if that person has or shares voting power, which includes the power to vote or direct the voting of the security, or investment power, which includes the power to vote or direct the voting of the security. For purposes of computing the number and percentage of shares beneficially owned by a security holder, any shares which such person has the right to acquire within 60 days of March 26, 2026 (“</w:t>
      </w:r>
      <w:r>
        <w:rPr>
          <w:rFonts w:ascii="Times New Roman;Times;Serif" w:hAnsi="Times New Roman;Times;Serif"/>
          <w:b/>
          <w:i w:val="false"/>
          <w:caps w:val="false"/>
          <w:smallCaps w:val="false"/>
          <w:sz w:val="20"/>
        </w:rPr>
        <w:t>Presently Exercisable Securities</w:t>
      </w:r>
      <w:r>
        <w:rPr>
          <w:rFonts w:ascii="Times New Roman;Times;Serif" w:hAnsi="Times New Roman;Times;Serif"/>
          <w:b w:val="false"/>
          <w:i w:val="false"/>
          <w:caps w:val="false"/>
          <w:smallCaps w:val="false"/>
          <w:sz w:val="20"/>
        </w:rPr>
        <w:t>”), are deemed to be outstanding, but those shares are not deemed to be outstanding for the purpose of computing the percentage ownership of any other security holder.</w:t>
      </w:r>
    </w:p>
    <w:p>
      <w:pPr>
        <w:pStyle w:val="TextBody"/>
        <w:bidi w:val="0"/>
        <w:spacing w:before="0" w:after="0"/>
        <w:ind w:left="1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reflects 12,148,783 shares common stock outstanding as of March 26, 2026 plus any shares issuable upon exercise of Presently Exercisable Securities held by such person or entity.</w:t>
      </w:r>
    </w:p>
    <w:p>
      <w:pPr>
        <w:pStyle w:val="TextBody"/>
        <w:bidi w:val="0"/>
        <w:spacing w:before="0" w:after="0"/>
        <w:ind w:left="10" w:right="0" w:firstLine="72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 rules, more than one person may be deemed to be a beneficial owner of the same securities and a person may be deemed to be a beneficial owner of securities as to which he or she may not have any pecuniary beneficial interest. Except as noted below, ownership consists of sole ownership, voting and investment rights, and the address for each stockholder listed is c/o 12915 Old Virginia Rd, Reno, Nevada 89521.</w:t>
      </w:r>
    </w:p>
    <w:p>
      <w:pPr>
        <w:pStyle w:val="TextBody"/>
        <w:bidi w:val="0"/>
        <w:spacing w:before="0" w:after="0"/>
        <w:ind w:left="10" w:right="0" w:firstLine="720"/>
        <w:jc w:val="both"/>
        <w:rPr>
          <w:caps w:val="false"/>
          <w:smallCaps w:val="false"/>
        </w:rPr>
      </w:pPr>
      <w:r>
        <w:rPr>
          <w:caps w:val="false"/>
          <w:smallCaps w:val="false"/>
        </w:rPr>
        <w:t> </w:t>
      </w:r>
    </w:p>
    <w:tbl>
      <w:tblPr>
        <w:tblW w:w="8418" w:type="dxa"/>
        <w:jc w:val="left"/>
        <w:tblInd w:w="0" w:type="dxa"/>
        <w:tblLayout w:type="fixed"/>
        <w:tblCellMar>
          <w:top w:w="0" w:type="dxa"/>
          <w:left w:w="0" w:type="dxa"/>
          <w:bottom w:w="28" w:type="dxa"/>
          <w:right w:w="0" w:type="dxa"/>
        </w:tblCellMar>
      </w:tblPr>
      <w:tblGrid>
        <w:gridCol w:w="5885"/>
        <w:gridCol w:w="60"/>
        <w:gridCol w:w="75"/>
        <w:gridCol w:w="1234"/>
        <w:gridCol w:w="60"/>
        <w:gridCol w:w="60"/>
        <w:gridCol w:w="97"/>
        <w:gridCol w:w="717"/>
        <w:gridCol w:w="230"/>
      </w:tblGrid>
      <w:tr>
        <w:trPr/>
        <w:tc>
          <w:tcPr>
            <w:tcW w:w="5885" w:type="dxa"/>
            <w:tcBorders>
              <w:bottom w:val="single" w:sz="8" w:space="0" w:color="000000"/>
            </w:tcBorders>
            <w:vAlign w:val="center"/>
          </w:tcPr>
          <w:p>
            <w:pPr>
              <w:pStyle w:val="TableContents"/>
              <w:bidi w:val="0"/>
              <w:spacing w:before="0" w:after="283"/>
              <w:jc w:val="both"/>
              <w:rPr>
                <w:b/>
              </w:rPr>
            </w:pPr>
            <w:r>
              <w:rPr>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8" w:space="0" w:color="000000"/>
            </w:tcBorders>
            <w:vAlign w:val="center"/>
          </w:tcPr>
          <w:p>
            <w:pPr>
              <w:pStyle w:val="TableContents"/>
              <w:bidi w:val="0"/>
              <w:spacing w:before="0" w:after="283"/>
              <w:jc w:val="center"/>
              <w:rPr>
                <w:b/>
              </w:rPr>
            </w:pPr>
            <w:r>
              <w:rPr>
                <w:b/>
              </w:rPr>
              <w:t>Amount and</w:t>
              <w:br/>
              <w:t>Nature of</w:t>
              <w:br/>
              <w:t>Beneficial</w:t>
              <w:br/>
              <w:t>Ownership</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4" w:type="dxa"/>
            <w:gridSpan w:val="2"/>
            <w:tcBorders>
              <w:bottom w:val="single" w:sz="8" w:space="0" w:color="000000"/>
            </w:tcBorders>
            <w:vAlign w:val="center"/>
          </w:tcPr>
          <w:p>
            <w:pPr>
              <w:pStyle w:val="TableContents"/>
              <w:bidi w:val="0"/>
              <w:spacing w:before="0" w:after="283"/>
              <w:jc w:val="center"/>
              <w:rPr>
                <w:b/>
              </w:rPr>
            </w:pPr>
            <w:r>
              <w:rPr>
                <w:b/>
              </w:rPr>
              <w:t>Percent</w:t>
              <w:br/>
              <w:t>of Class</w:t>
            </w:r>
          </w:p>
        </w:tc>
        <w:tc>
          <w:tcPr>
            <w:tcW w:w="230" w:type="dxa"/>
            <w:tcBorders/>
            <w:tcMar>
              <w:bottom w:w="0" w:type="dxa"/>
            </w:tcMar>
            <w:vAlign w:val="center"/>
          </w:tcPr>
          <w:p>
            <w:pPr>
              <w:pStyle w:val="TableContents"/>
              <w:bidi w:val="0"/>
              <w:spacing w:before="0" w:after="283"/>
              <w:jc w:val="left"/>
              <w:rPr/>
            </w:pPr>
            <w:r>
              <w:rPr/>
              <w:t> </w:t>
            </w:r>
          </w:p>
        </w:tc>
      </w:tr>
      <w:tr>
        <w:trPr/>
        <w:tc>
          <w:tcPr>
            <w:tcW w:w="5885" w:type="dxa"/>
            <w:tcBorders/>
            <w:shd w:fill="CCEEFF" w:val="clear"/>
            <w:tcMar>
              <w:bottom w:w="0" w:type="dxa"/>
            </w:tcMar>
            <w:vAlign w:val="center"/>
          </w:tcPr>
          <w:p>
            <w:pPr>
              <w:pStyle w:val="TableContents"/>
              <w:bidi w:val="0"/>
              <w:spacing w:before="0" w:after="283"/>
              <w:jc w:val="both"/>
              <w:rPr>
                <w:b/>
                <w:i/>
              </w:rPr>
            </w:pPr>
            <w:r>
              <w:rPr>
                <w:b/>
                <w:i/>
              </w:rPr>
              <w:t>5%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717"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85" w:type="dxa"/>
            <w:tcBorders/>
            <w:shd w:fill="FFFFFF" w:val="clear"/>
            <w:tcMar>
              <w:bottom w:w="0" w:type="dxa"/>
            </w:tcMar>
            <w:vAlign w:val="center"/>
          </w:tcPr>
          <w:p>
            <w:pPr>
              <w:pStyle w:val="TableContents"/>
              <w:bidi w:val="0"/>
              <w:spacing w:before="0" w:after="283"/>
              <w:jc w:val="both"/>
              <w:rPr/>
            </w:pPr>
            <w:r>
              <w:rPr/>
              <w:t>Alyeska Investment Group,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pPr>
            <w:r>
              <w:rPr/>
              <w:t>1,195,792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17" w:type="dxa"/>
            <w:tcBorders/>
            <w:shd w:fill="FFFFFF" w:val="clear"/>
            <w:tcMar>
              <w:bottom w:w="0" w:type="dxa"/>
            </w:tcMar>
            <w:vAlign w:val="center"/>
          </w:tcPr>
          <w:p>
            <w:pPr>
              <w:pStyle w:val="TableContents"/>
              <w:bidi w:val="0"/>
              <w:spacing w:before="0" w:after="283"/>
              <w:jc w:val="right"/>
              <w:rPr/>
            </w:pPr>
            <w:r>
              <w:rPr/>
              <w:t>9.84</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88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717"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85" w:type="dxa"/>
            <w:tcBorders/>
            <w:shd w:fill="FFFFFF" w:val="clear"/>
            <w:tcMar>
              <w:bottom w:w="0" w:type="dxa"/>
            </w:tcMar>
            <w:vAlign w:val="center"/>
          </w:tcPr>
          <w:p>
            <w:pPr>
              <w:pStyle w:val="TableContents"/>
              <w:bidi w:val="0"/>
              <w:spacing w:before="0" w:after="283"/>
              <w:jc w:val="both"/>
              <w:rPr>
                <w:b/>
                <w:i/>
              </w:rPr>
            </w:pPr>
            <w:r>
              <w:rPr>
                <w:b/>
                <w:i/>
              </w:rPr>
              <w:t>Named Executive Officers and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17"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Denis Phares</w:t>
            </w:r>
            <w:r>
              <w:rPr>
                <w:rFonts w:ascii="Times New Roman;Times;Serif" w:hAnsi="Times New Roman;Times;Serif"/>
                <w:position w:val="7"/>
                <w:sz w:val="16"/>
                <w:sz w:val="20"/>
              </w:rPr>
              <w:t>(2)(3)(4)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194,463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717" w:type="dxa"/>
            <w:tcBorders/>
            <w:shd w:fill="CCEEFF" w:val="clear"/>
            <w:tcMar>
              <w:bottom w:w="0" w:type="dxa"/>
            </w:tcMar>
            <w:vAlign w:val="center"/>
          </w:tcPr>
          <w:p>
            <w:pPr>
              <w:pStyle w:val="TableContents"/>
              <w:bidi w:val="0"/>
              <w:spacing w:before="0" w:after="283"/>
              <w:jc w:val="right"/>
              <w:rPr/>
            </w:pPr>
            <w:r>
              <w:rPr/>
              <w:t>1.60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8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Wade Seaburg</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pPr>
            <w:r>
              <w:rPr/>
              <w:t>16,280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1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Vickram Singh</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9,336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71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Luisa Ingargiola</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pPr>
            <w:r>
              <w:rPr/>
              <w:t>4,713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1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Brian Nelson</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4,167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71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Perry Boyle</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pPr>
            <w:r>
              <w:rPr/>
              <w:t>3,623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1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85" w:type="dxa"/>
            <w:tcBorders/>
            <w:shd w:fill="CCEEFF" w:val="clear"/>
            <w:tcMar>
              <w:bottom w:w="0" w:type="dxa"/>
            </w:tcMar>
            <w:vAlign w:val="center"/>
          </w:tcPr>
          <w:p>
            <w:pPr>
              <w:pStyle w:val="TableContents"/>
              <w:bidi w:val="0"/>
              <w:spacing w:before="0" w:after="283"/>
              <w:jc w:val="both"/>
              <w:rPr>
                <w:b/>
                <w:i/>
              </w:rPr>
            </w:pPr>
            <w:r>
              <w:rPr>
                <w:b/>
                <w:i/>
              </w:rPr>
              <w:t>All Executive Officers and Directors as a group (7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240,831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717" w:type="dxa"/>
            <w:tcBorders/>
            <w:shd w:fill="CCEEFF" w:val="clear"/>
            <w:tcMar>
              <w:bottom w:w="0" w:type="dxa"/>
            </w:tcMar>
            <w:vAlign w:val="center"/>
          </w:tcPr>
          <w:p>
            <w:pPr>
              <w:pStyle w:val="TableContents"/>
              <w:bidi w:val="0"/>
              <w:spacing w:before="0" w:after="283"/>
              <w:jc w:val="right"/>
              <w:rPr/>
            </w:pPr>
            <w:r>
              <w:rPr/>
              <w:t>1.98</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one percent.</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Alyeska Investments Group, L.P. (“</w:t>
            </w:r>
            <w:r>
              <w:rPr>
                <w:rFonts w:ascii="Times New Roman;Times;Serif" w:hAnsi="Times New Roman;Times;Serif"/>
                <w:b/>
                <w:i w:val="false"/>
                <w:caps w:val="false"/>
                <w:smallCaps w:val="false"/>
                <w:sz w:val="20"/>
              </w:rPr>
              <w:t>Alyeska</w:t>
            </w:r>
            <w:r>
              <w:rPr>
                <w:rFonts w:ascii="Times New Roman;Times;Serif" w:hAnsi="Times New Roman;Times;Serif"/>
                <w:b w:val="false"/>
                <w:i w:val="false"/>
                <w:caps w:val="false"/>
                <w:smallCaps w:val="false"/>
                <w:sz w:val="20"/>
              </w:rPr>
              <w:t>”) on February 17, 2026. The business address of Alyeska is 77 West Wacker Drive, 7th Floor, Chicago, IL 60601.</w:t>
            </w:r>
          </w:p>
        </w:tc>
      </w:tr>
      <w:tr>
        <w:trPr/>
        <w:tc>
          <w:tcPr>
            <w:tcW w:w="236" w:type="dxa"/>
            <w:tcBorders/>
            <w:vAlign w:val="center"/>
          </w:tcPr>
          <w:p>
            <w:pPr>
              <w:pStyle w:val="TableContents"/>
              <w:bidi w:val="0"/>
              <w:spacing w:before="0" w:after="283"/>
              <w:jc w:val="both"/>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2,500,000 shares of common stock not yet payable as the earnout contingencies have not yet been met and will not be met within 60 days of March 26, 2026.</w:t>
            </w:r>
          </w:p>
        </w:tc>
      </w:tr>
      <w:tr>
        <w:trPr/>
        <w:tc>
          <w:tcPr>
            <w:tcW w:w="236" w:type="dxa"/>
            <w:tcBorders/>
            <w:vAlign w:val="center"/>
          </w:tcPr>
          <w:p>
            <w:pPr>
              <w:pStyle w:val="TableContents"/>
              <w:bidi w:val="0"/>
              <w:spacing w:before="0" w:after="283"/>
              <w:jc w:val="both"/>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13,532 shares held on behalf of the Phares 2021 GRAT dated July 9, 2021, of which Dr. Phares is the trustee.</w:t>
            </w:r>
          </w:p>
        </w:tc>
      </w:tr>
      <w:tr>
        <w:trPr/>
        <w:tc>
          <w:tcPr>
            <w:tcW w:w="236" w:type="dxa"/>
            <w:tcBorders/>
            <w:vAlign w:val="center"/>
          </w:tcPr>
          <w:p>
            <w:pPr>
              <w:pStyle w:val="TableContents"/>
              <w:bidi w:val="0"/>
              <w:spacing w:before="0" w:after="283"/>
              <w:jc w:val="both"/>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12,756 shares of common stock issuable upon exercise of outstanding stock options and 2,102 of restricted stock units exercisable within 60 days of March 26, 2026.</w:t>
            </w:r>
          </w:p>
        </w:tc>
      </w:tr>
      <w:tr>
        <w:trPr/>
        <w:tc>
          <w:tcPr>
            <w:tcW w:w="236" w:type="dxa"/>
            <w:tcBorders/>
            <w:vAlign w:val="center"/>
          </w:tcPr>
          <w:p>
            <w:pPr>
              <w:pStyle w:val="TableContents"/>
              <w:bidi w:val="0"/>
              <w:spacing w:before="0" w:after="283"/>
              <w:jc w:val="both"/>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13,733 shares of common stock issuable upon exercise of outstanding stock options and 672 of restricted stock units exercisable within 60 days of March 26, 2026.</w:t>
            </w:r>
          </w:p>
        </w:tc>
      </w:tr>
      <w:tr>
        <w:trPr/>
        <w:tc>
          <w:tcPr>
            <w:tcW w:w="236" w:type="dxa"/>
            <w:tcBorders/>
            <w:vAlign w:val="center"/>
          </w:tcPr>
          <w:p>
            <w:pPr>
              <w:pStyle w:val="TableContents"/>
              <w:bidi w:val="0"/>
              <w:spacing w:before="0" w:after="283"/>
              <w:jc w:val="both"/>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7,178 of restricted stock units exercisable within 60 days of March 26, 2026.</w:t>
            </w:r>
          </w:p>
        </w:tc>
      </w:tr>
      <w:tr>
        <w:trPr/>
        <w:tc>
          <w:tcPr>
            <w:tcW w:w="236" w:type="dxa"/>
            <w:tcBorders/>
            <w:vAlign w:val="center"/>
          </w:tcPr>
          <w:p>
            <w:pPr>
              <w:pStyle w:val="TableContents"/>
              <w:bidi w:val="0"/>
              <w:spacing w:before="0" w:after="283"/>
              <w:jc w:val="both"/>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1,083 shares of common stock issuable upon exercise of outstanding stock options and 2,475 of restricted stock units exercisable within 60 days of March 26, 2026.</w:t>
            </w:r>
          </w:p>
        </w:tc>
      </w:tr>
      <w:tr>
        <w:trPr/>
        <w:tc>
          <w:tcPr>
            <w:tcW w:w="236" w:type="dxa"/>
            <w:tcBorders/>
            <w:vAlign w:val="center"/>
          </w:tcPr>
          <w:p>
            <w:pPr>
              <w:pStyle w:val="TableContents"/>
              <w:bidi w:val="0"/>
              <w:spacing w:before="0" w:after="283"/>
              <w:jc w:val="both"/>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6" w:type="dxa"/>
            <w:tcBorders/>
            <w:vAlign w:val="center"/>
          </w:tcPr>
          <w:p>
            <w:pPr>
              <w:pStyle w:val="TableContents"/>
              <w:bidi w:val="0"/>
              <w:spacing w:before="0" w:after="283"/>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788 shares of common stock issuable upon exercise of outstanding stock options and 2,224 of restricted stock units exercisable within 60 days of March 26, 2026.</w:t>
            </w:r>
          </w:p>
        </w:tc>
      </w:tr>
      <w:tr>
        <w:trPr/>
        <w:tc>
          <w:tcPr>
            <w:tcW w:w="236" w:type="dxa"/>
            <w:tcBorders/>
            <w:vAlign w:val="center"/>
          </w:tcPr>
          <w:p>
            <w:pPr>
              <w:pStyle w:val="TableContents"/>
              <w:bidi w:val="0"/>
              <w:spacing w:before="0" w:after="283"/>
              <w:ind w:left="0" w:right="0" w:hanging="10"/>
              <w:jc w:val="both"/>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6" w:type="dxa"/>
            <w:tcBorders/>
            <w:vAlign w:val="center"/>
          </w:tcPr>
          <w:p>
            <w:pPr>
              <w:pStyle w:val="TableContents"/>
              <w:bidi w:val="0"/>
              <w:spacing w:before="0" w:after="283"/>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2,224 shares of common stock issuable upon exercise of restricted stock units exercisable within 60 days of March 26, 2026.</w:t>
            </w:r>
          </w:p>
        </w:tc>
      </w:tr>
    </w:tbl>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Business Combination, our Board and stockholders adopted the 2022 Plan, which provides for the grant of incentive stock options and non-qualified stock options to purchase shares of our common stock and other types of awards, as well as the Dragonfly Energy Holdings Corp. Employee Stock Purchase Plan (the “</w:t>
      </w:r>
      <w:r>
        <w:rPr>
          <w:rFonts w:ascii="Times New Roman;Times;Serif" w:hAnsi="Times New Roman;Times;Serif"/>
          <w:b/>
          <w:i w:val="false"/>
          <w:caps w:val="false"/>
          <w:smallCaps w:val="false"/>
          <w:sz w:val="20"/>
        </w:rPr>
        <w:t>ESPP</w:t>
      </w:r>
      <w:r>
        <w:rPr>
          <w:rFonts w:ascii="Times New Roman;Times;Serif" w:hAnsi="Times New Roman;Times;Serif"/>
          <w:b w:val="false"/>
          <w:i w:val="false"/>
          <w:caps w:val="false"/>
          <w:smallCaps w:val="false"/>
          <w:sz w:val="20"/>
        </w:rPr>
        <w: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purpose of the 2022 Plan is to provide a means whereby eligible employees, officers, non-employee directors and other individual service providers develop a sense of proprietorship and personal involvement in our development and financial success, and to encourage them to devote their best efforts to our business, thereby advancing our interests and the interests of our stockholders. By means of the 2021 Plan, we seek to retain the services of such eligible persons and to provide incentives for such persons to exert maximum efforts for our success and the success of our subsidiaries.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purpose of the ESPP is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connection with the Business Combination, our Board and stockholders approved the adoption of the Dragonfly Energy Corp. 2019 Stock Incentive Plan (the “</w:t>
      </w:r>
      <w:r>
        <w:rPr>
          <w:rFonts w:ascii="Times New Roman;Times;Serif" w:hAnsi="Times New Roman;Times;Serif"/>
          <w:b/>
          <w:i w:val="false"/>
          <w:caps w:val="false"/>
          <w:smallCaps w:val="false"/>
          <w:sz w:val="20"/>
        </w:rPr>
        <w:t>2019 Plan</w:t>
      </w:r>
      <w:r>
        <w:rPr>
          <w:rFonts w:ascii="Times New Roman;Times;Serif" w:hAnsi="Times New Roman;Times;Serif"/>
          <w:b w:val="false"/>
          <w:i w:val="false"/>
          <w:caps w:val="false"/>
          <w:smallCaps w:val="false"/>
          <w:sz w:val="20"/>
        </w:rPr>
        <w:t>”) and the Dragonfly Energy Corp. 2021 Stock Incentive Plan (the “</w:t>
      </w:r>
      <w:r>
        <w:rPr>
          <w:rFonts w:ascii="Times New Roman;Times;Serif" w:hAnsi="Times New Roman;Times;Serif"/>
          <w:b/>
          <w:i w:val="false"/>
          <w:caps w:val="false"/>
          <w:smallCaps w:val="false"/>
          <w:sz w:val="20"/>
        </w:rPr>
        <w:t>2021 Plan</w:t>
      </w:r>
      <w:r>
        <w:rPr>
          <w:rFonts w:ascii="Times New Roman;Times;Serif" w:hAnsi="Times New Roman;Times;Serif"/>
          <w:b w:val="false"/>
          <w:i w:val="false"/>
          <w:caps w:val="false"/>
          <w:smallCaps w:val="false"/>
          <w:sz w:val="20"/>
        </w:rPr>
        <w:t>”) in connection with the consummation of the Business Combination.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of shares of our common stock authorized for issuance under our equity compensation plans as of December 31, 2025.</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2"/>
        <w:gridCol w:w="60"/>
        <w:gridCol w:w="173"/>
        <w:gridCol w:w="1988"/>
        <w:gridCol w:w="60"/>
        <w:gridCol w:w="60"/>
        <w:gridCol w:w="435"/>
        <w:gridCol w:w="2119"/>
        <w:gridCol w:w="60"/>
        <w:gridCol w:w="60"/>
        <w:gridCol w:w="185"/>
        <w:gridCol w:w="3054"/>
        <w:gridCol w:w="79"/>
      </w:tblGrid>
      <w:tr>
        <w:trPr/>
        <w:tc>
          <w:tcPr>
            <w:tcW w:w="187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161" w:type="dxa"/>
            <w:gridSpan w:val="2"/>
            <w:tcBorders/>
            <w:vAlign w:val="center"/>
          </w:tcPr>
          <w:p>
            <w:pPr>
              <w:pStyle w:val="TableContents"/>
              <w:bidi w:val="0"/>
              <w:spacing w:before="0" w:after="283"/>
              <w:jc w:val="center"/>
              <w:rPr>
                <w:b/>
              </w:rPr>
            </w:pPr>
            <w:r>
              <w:rPr>
                <w:b/>
              </w:rPr>
              <w:t>Number of securities to be issued upon exercise of outstanding options, 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4" w:type="dxa"/>
            <w:gridSpan w:val="2"/>
            <w:tcBorders/>
            <w:vAlign w:val="center"/>
          </w:tcPr>
          <w:p>
            <w:pPr>
              <w:pStyle w:val="TableContents"/>
              <w:bidi w:val="0"/>
              <w:spacing w:before="0" w:after="283"/>
              <w:jc w:val="center"/>
              <w:rPr>
                <w:b/>
              </w:rPr>
            </w:pPr>
            <w:r>
              <w:rPr>
                <w:b/>
              </w:rPr>
              <w:t>Weighted-average exercise price of outstanding options, 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9" w:type="dxa"/>
            <w:gridSpan w:val="2"/>
            <w:tcBorders/>
            <w:vAlign w:val="center"/>
          </w:tcPr>
          <w:p>
            <w:pPr>
              <w:pStyle w:val="TableContents"/>
              <w:bidi w:val="0"/>
              <w:spacing w:before="0" w:after="283"/>
              <w:jc w:val="center"/>
              <w:rPr>
                <w:b/>
              </w:rPr>
            </w:pPr>
            <w:r>
              <w:rPr>
                <w:b/>
              </w:rPr>
              <w:t>Number of securities remaining available for future issuances under equity compensation plans under equity compensation (excluding) securities reflected in column (a)</w:t>
            </w:r>
          </w:p>
        </w:tc>
        <w:tc>
          <w:tcPr>
            <w:tcW w:w="79" w:type="dxa"/>
            <w:tcBorders/>
            <w:vAlign w:val="center"/>
          </w:tcPr>
          <w:p>
            <w:pPr>
              <w:pStyle w:val="TableContents"/>
              <w:bidi w:val="0"/>
              <w:spacing w:before="0" w:after="283"/>
              <w:jc w:val="left"/>
              <w:rPr/>
            </w:pPr>
            <w:r>
              <w:rPr/>
              <w:t> </w:t>
            </w:r>
          </w:p>
        </w:tc>
      </w:tr>
      <w:tr>
        <w:trPr/>
        <w:tc>
          <w:tcPr>
            <w:tcW w:w="1872" w:type="dxa"/>
            <w:tcBorders>
              <w:bottom w:val="single" w:sz="8" w:space="0" w:color="000000"/>
            </w:tcBorders>
            <w:tcMar>
              <w:bottom w:w="28" w:type="dxa"/>
            </w:tcMar>
            <w:vAlign w:val="center"/>
          </w:tcPr>
          <w:p>
            <w:pPr>
              <w:pStyle w:val="TableContents"/>
              <w:bidi w:val="0"/>
              <w:spacing w:before="0" w:after="283"/>
              <w:jc w:val="both"/>
              <w:rPr>
                <w:b/>
                <w:i/>
              </w:rPr>
            </w:pPr>
            <w:r>
              <w:rPr>
                <w:b/>
                <w:i/>
              </w:rPr>
              <w:t>Plan Category</w:t>
            </w:r>
          </w:p>
        </w:tc>
        <w:tc>
          <w:tcPr>
            <w:tcW w:w="60" w:type="dxa"/>
            <w:tcBorders/>
            <w:vAlign w:val="center"/>
          </w:tcPr>
          <w:p>
            <w:pPr>
              <w:pStyle w:val="TableContents"/>
              <w:bidi w:val="0"/>
              <w:spacing w:before="0" w:after="283"/>
              <w:jc w:val="left"/>
              <w:rPr/>
            </w:pPr>
            <w:r>
              <w:rPr/>
              <w:t> </w:t>
            </w:r>
          </w:p>
        </w:tc>
        <w:tc>
          <w:tcPr>
            <w:tcW w:w="21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(c)(2)</w:t>
            </w:r>
          </w:p>
        </w:tc>
        <w:tc>
          <w:tcPr>
            <w:tcW w:w="79" w:type="dxa"/>
            <w:tcBorders/>
            <w:vAlign w:val="center"/>
          </w:tcPr>
          <w:p>
            <w:pPr>
              <w:pStyle w:val="TableContents"/>
              <w:bidi w:val="0"/>
              <w:spacing w:before="0" w:after="283"/>
              <w:jc w:val="left"/>
              <w:rPr/>
            </w:pPr>
            <w:r>
              <w:rPr/>
              <w:t> </w:t>
            </w:r>
          </w:p>
        </w:tc>
      </w:tr>
      <w:tr>
        <w:trPr/>
        <w:tc>
          <w:tcPr>
            <w:tcW w:w="1872" w:type="dxa"/>
            <w:tcBorders/>
            <w:shd w:fill="CCEEFF" w:val="cle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 xml:space="preserve">Equity compensation plans approved by security holders </w:t>
            </w:r>
            <w:r>
              <w:rPr>
                <w:rFonts w:ascii="Times New Roman;Times;Serif" w:hAnsi="Times New Roman;Times;Serif"/>
                <w:i/>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988" w:type="dxa"/>
            <w:tcBorders/>
            <w:shd w:fill="CCEEFF" w:val="clear"/>
            <w:vAlign w:val="center"/>
          </w:tcPr>
          <w:p>
            <w:pPr>
              <w:pStyle w:val="TableContents"/>
              <w:bidi w:val="0"/>
              <w:spacing w:before="0" w:after="283"/>
              <w:jc w:val="right"/>
              <w:rPr/>
            </w:pPr>
            <w:r>
              <w:rPr/>
              <w:t>41,926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left"/>
              <w:rPr/>
            </w:pPr>
            <w:r>
              <w:rPr/>
              <w:t>$</w:t>
            </w:r>
          </w:p>
        </w:tc>
        <w:tc>
          <w:tcPr>
            <w:tcW w:w="2119" w:type="dxa"/>
            <w:tcBorders/>
            <w:shd w:fill="CCEEFF" w:val="clear"/>
            <w:vAlign w:val="center"/>
          </w:tcPr>
          <w:p>
            <w:pPr>
              <w:pStyle w:val="TableContents"/>
              <w:bidi w:val="0"/>
              <w:spacing w:before="0" w:after="283"/>
              <w:jc w:val="right"/>
              <w:rPr/>
            </w:pPr>
            <w:r>
              <w:rPr/>
              <w:t>122,87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3054" w:type="dxa"/>
            <w:tcBorders/>
            <w:shd w:fill="CCEEFF" w:val="clear"/>
            <w:vAlign w:val="center"/>
          </w:tcPr>
          <w:p>
            <w:pPr>
              <w:pStyle w:val="TableContents"/>
              <w:bidi w:val="0"/>
              <w:spacing w:before="0" w:after="283"/>
              <w:jc w:val="right"/>
              <w:rPr/>
            </w:pPr>
            <w:r>
              <w:rPr/>
              <w:t>1,005,470</w:t>
            </w:r>
          </w:p>
        </w:tc>
        <w:tc>
          <w:tcPr>
            <w:tcW w:w="79" w:type="dxa"/>
            <w:tcBorders/>
            <w:shd w:fill="CCEEFF" w:val="clear"/>
            <w:vAlign w:val="center"/>
          </w:tcPr>
          <w:p>
            <w:pPr>
              <w:pStyle w:val="TableContents"/>
              <w:bidi w:val="0"/>
              <w:spacing w:before="0" w:after="283"/>
              <w:jc w:val="left"/>
              <w:rPr/>
            </w:pPr>
            <w:r>
              <w:rPr/>
              <w:t> </w:t>
            </w:r>
          </w:p>
        </w:tc>
      </w:tr>
      <w:tr>
        <w:trPr/>
        <w:tc>
          <w:tcPr>
            <w:tcW w:w="187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9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left"/>
              <w:rPr/>
            </w:pPr>
            <w:r>
              <w:rPr/>
              <w:t> </w:t>
            </w:r>
          </w:p>
        </w:tc>
        <w:tc>
          <w:tcPr>
            <w:tcW w:w="211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054"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1872" w:type="dxa"/>
            <w:tcBorders/>
            <w:shd w:fill="CCEEFF" w:val="clear"/>
            <w:vAlign w:val="center"/>
          </w:tcPr>
          <w:p>
            <w:pPr>
              <w:pStyle w:val="TableContents"/>
              <w:bidi w:val="0"/>
              <w:spacing w:before="0" w:after="283"/>
              <w:jc w:val="both"/>
              <w:rPr>
                <w:i/>
              </w:rPr>
            </w:pPr>
            <w:r>
              <w:rPr>
                <w:i/>
              </w:rPr>
              <w:t>Equity compensation plans not approved by security holders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9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left"/>
              <w:rPr/>
            </w:pPr>
            <w:r>
              <w:rPr/>
              <w:t> </w:t>
            </w:r>
          </w:p>
        </w:tc>
        <w:tc>
          <w:tcPr>
            <w:tcW w:w="21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3054"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187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8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1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05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1872" w:type="dxa"/>
            <w:tcBorders/>
            <w:shd w:fill="CCEEFF" w:val="clear"/>
            <w:vAlign w:val="center"/>
          </w:tcPr>
          <w:p>
            <w:pPr>
              <w:pStyle w:val="TableContents"/>
              <w:bidi w:val="0"/>
              <w:spacing w:before="0" w:after="283"/>
              <w:jc w:val="both"/>
              <w:rPr>
                <w:b/>
                <w:i/>
              </w:rPr>
            </w:pPr>
            <w:r>
              <w:rPr>
                <w:b/>
                <w:i/>
              </w:rPr>
              <w:t>Total</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88" w:type="dxa"/>
            <w:tcBorders>
              <w:bottom w:val="double" w:sz="6" w:space="0" w:color="000000"/>
            </w:tcBorders>
            <w:shd w:fill="CCEEFF" w:val="clear"/>
            <w:tcMar>
              <w:bottom w:w="28" w:type="dxa"/>
            </w:tcMar>
            <w:vAlign w:val="center"/>
          </w:tcPr>
          <w:p>
            <w:pPr>
              <w:pStyle w:val="TableContents"/>
              <w:bidi w:val="0"/>
              <w:spacing w:before="0" w:after="283"/>
              <w:jc w:val="right"/>
              <w:rPr/>
            </w:pPr>
            <w:r>
              <w:rPr/>
              <w:t>41,926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119" w:type="dxa"/>
            <w:tcBorders>
              <w:bottom w:val="double" w:sz="6" w:space="0" w:color="000000"/>
            </w:tcBorders>
            <w:shd w:fill="CCEEFF" w:val="clear"/>
            <w:tcMar>
              <w:bottom w:w="28" w:type="dxa"/>
            </w:tcMar>
            <w:vAlign w:val="center"/>
          </w:tcPr>
          <w:p>
            <w:pPr>
              <w:pStyle w:val="TableContents"/>
              <w:bidi w:val="0"/>
              <w:spacing w:before="0" w:after="283"/>
              <w:jc w:val="right"/>
              <w:rPr/>
            </w:pPr>
            <w:r>
              <w:rPr/>
              <w:t>122,87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054" w:type="dxa"/>
            <w:tcBorders>
              <w:bottom w:val="double" w:sz="6" w:space="0" w:color="000000"/>
            </w:tcBorders>
            <w:shd w:fill="CCEEFF" w:val="clear"/>
            <w:tcMar>
              <w:bottom w:w="28" w:type="dxa"/>
            </w:tcMar>
            <w:vAlign w:val="center"/>
          </w:tcPr>
          <w:p>
            <w:pPr>
              <w:pStyle w:val="TableContents"/>
              <w:bidi w:val="0"/>
              <w:spacing w:before="0" w:after="283"/>
              <w:jc w:val="right"/>
              <w:rPr/>
            </w:pPr>
            <w:r>
              <w:rPr/>
              <w:t>1,005,470</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amounts shown in this row include securities under the 2022 Plan, 2021 Plan and 2019 Plan.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accordance with the “evergreen” provision in the 2022 Plan, an additional 483,149 shares were automatically made available for issuance on the first trading day of 2026, which represents an amount equal 4% of the number of shares outstanding on December 31, 2025. In accordance with the “evergreen” provision in the ESPP, an additional 120,787 shares were automatically made available for issuance on the first trading day of 2026, which represents an amount equal to 1% of the number of shares of common stock issued and outstanding on December 31, 2025. The shares made available pursuant to the “evergreen” provisions are excluded from this calculation.</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77" w:name="a_023"/>
      <w:bookmarkEnd w:id="77"/>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compensation arrangements for our Named Executive Officers and directors, which are described in the section entitled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we have had the following transactions or series of similar transactions, since January 1, 2024, to which we were a party or will be a party, in which:</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involved exceeded or will exceed $120,000;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directors, executive officers or holders of more than 5% of our capital stock, or any member of the immediate family of the foregoing persons, had or will have a direct or indirect material interest.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 with Directors and Officers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Notes with Brian Nelson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2024, we issued an unsecured convertible promissory note (the “</w:t>
      </w:r>
      <w:r>
        <w:rPr>
          <w:rFonts w:ascii="Times New Roman;Times;Serif" w:hAnsi="Times New Roman;Times;Serif"/>
          <w:b/>
          <w:i w:val="false"/>
          <w:caps w:val="false"/>
          <w:smallCaps w:val="false"/>
          <w:sz w:val="20"/>
        </w:rPr>
        <w:t>January Note</w:t>
      </w:r>
      <w:r>
        <w:rPr>
          <w:rFonts w:ascii="Times New Roman;Times;Serif" w:hAnsi="Times New Roman;Times;Serif"/>
          <w:b w:val="false"/>
          <w:i w:val="false"/>
          <w:caps w:val="false"/>
          <w:smallCaps w:val="false"/>
          <w:sz w:val="20"/>
        </w:rPr>
        <w:t>”) in the principal amount of $1.0 million (the “</w:t>
      </w:r>
      <w:r>
        <w:rPr>
          <w:rFonts w:ascii="Times New Roman;Times;Serif" w:hAnsi="Times New Roman;Times;Serif"/>
          <w:b/>
          <w:i w:val="false"/>
          <w:caps w:val="false"/>
          <w:smallCaps w:val="false"/>
          <w:sz w:val="20"/>
        </w:rPr>
        <w:t>January Principal Amount</w:t>
      </w:r>
      <w:r>
        <w:rPr>
          <w:rFonts w:ascii="Times New Roman;Times;Serif" w:hAnsi="Times New Roman;Times;Serif"/>
          <w:b w:val="false"/>
          <w:i w:val="false"/>
          <w:caps w:val="false"/>
          <w:smallCaps w:val="false"/>
          <w:sz w:val="20"/>
        </w:rPr>
        <w:t>”) to Brian Nelson, one of our directors, in a private placement in exchange for cash in an equal amount. The January Note became due and payable in full on February 2, 2024. We were also obligated to pay $50,000 (the “</w:t>
      </w:r>
      <w:r>
        <w:rPr>
          <w:rFonts w:ascii="Times New Roman;Times;Serif" w:hAnsi="Times New Roman;Times;Serif"/>
          <w:b/>
          <w:i w:val="false"/>
          <w:caps w:val="false"/>
          <w:smallCaps w:val="false"/>
          <w:sz w:val="20"/>
        </w:rPr>
        <w:t>January Loan Fee</w:t>
      </w:r>
      <w:r>
        <w:rPr>
          <w:rFonts w:ascii="Times New Roman;Times;Serif" w:hAnsi="Times New Roman;Times;Serif"/>
          <w:b w:val="false"/>
          <w:i w:val="false"/>
          <w:caps w:val="false"/>
          <w:smallCaps w:val="false"/>
          <w:sz w:val="20"/>
        </w:rPr>
        <w:t>”) to Mr. Nelson on February 2, 2024. We paid the January Principal Amount and the January Loan Fee in full on February 2, 2024.</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we issued a convertible promissory (the “</w:t>
      </w:r>
      <w:r>
        <w:rPr>
          <w:rFonts w:ascii="Times New Roman;Times;Serif" w:hAnsi="Times New Roman;Times;Serif"/>
          <w:b/>
          <w:i w:val="false"/>
          <w:caps w:val="false"/>
          <w:smallCaps w:val="false"/>
          <w:sz w:val="20"/>
        </w:rPr>
        <w:t>February Note</w:t>
      </w:r>
      <w:r>
        <w:rPr>
          <w:rFonts w:ascii="Times New Roman;Times;Serif" w:hAnsi="Times New Roman;Times;Serif"/>
          <w:b w:val="false"/>
          <w:i w:val="false"/>
          <w:caps w:val="false"/>
          <w:smallCaps w:val="false"/>
          <w:sz w:val="20"/>
        </w:rPr>
        <w:t>”) in the amount of $1.7 million (the “</w:t>
      </w:r>
      <w:r>
        <w:rPr>
          <w:rFonts w:ascii="Times New Roman;Times;Serif" w:hAnsi="Times New Roman;Times;Serif"/>
          <w:b/>
          <w:i w:val="false"/>
          <w:caps w:val="false"/>
          <w:smallCaps w:val="false"/>
          <w:sz w:val="20"/>
        </w:rPr>
        <w:t>February Principal Amount</w:t>
      </w:r>
      <w:r>
        <w:rPr>
          <w:rFonts w:ascii="Times New Roman;Times;Serif" w:hAnsi="Times New Roman;Times;Serif"/>
          <w:b w:val="false"/>
          <w:i w:val="false"/>
          <w:caps w:val="false"/>
          <w:smallCaps w:val="false"/>
          <w:sz w:val="20"/>
        </w:rPr>
        <w:t>”) to Mr. Nelson, in a private placement in exchange for cash in an equal amount. The February Note became due and payable in full on March 1, 2024. We were also obligated to pay a $85,000 loan fee (the “</w:t>
      </w:r>
      <w:r>
        <w:rPr>
          <w:rFonts w:ascii="Times New Roman;Times;Serif" w:hAnsi="Times New Roman;Times;Serif"/>
          <w:b/>
          <w:i w:val="false"/>
          <w:caps w:val="false"/>
          <w:smallCaps w:val="false"/>
          <w:sz w:val="20"/>
        </w:rPr>
        <w:t>February Loan Fee</w:t>
      </w:r>
      <w:r>
        <w:rPr>
          <w:rFonts w:ascii="Times New Roman;Times;Serif" w:hAnsi="Times New Roman;Times;Serif"/>
          <w:b w:val="false"/>
          <w:i w:val="false"/>
          <w:caps w:val="false"/>
          <w:smallCaps w:val="false"/>
          <w:sz w:val="20"/>
        </w:rPr>
        <w:t>”) to Mr. Nelson on March 1, 2024. We paid the February Principal Amount and the February Loan Fee on March 1, 2024.</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 Policy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a written Related Person Transactions Policy on October 7, 2022 (the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related person’s interest in the transaction;</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a director’s independence in the event the related person is a director, immediate family member of a director or an entity with which a director is affiliated;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transaction;</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other sources for comparable services or products; and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available to or from, as the case may be, unrelated third parties.</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transactions entered into since the adoption of the Policy have been approved or ratified by our Audit Committee.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of the Exchange Act,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Perry Boyle, Brian Nelson, and Luisa Ingargiola are an “independent directors” as such term is defined under the applicable rules of Nasdaq.</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an Audit Committee, a Compensation Committee and a Nominating and Corporate Governance Committee. Our Board of Directors has determined that Ms. Ingargiola is an “audit committee financial expert,” as defined under the applicable rules of the SEC, and that all members of the Audit Committee are “independent” within the meaning of the applicable Nasdaq rule and the independence standards of Rule 10A-3 of the Exchange Act. Each of the members of the Audit Committee meets the requirements for financial literacy under the applicable rules and regulations of the SEC and Nasdaq.</w:t>
      </w:r>
    </w:p>
    <w:p>
      <w:pPr>
        <w:pStyle w:val="TextBody"/>
        <w:bidi w:val="0"/>
        <w:spacing w:before="0" w:after="0"/>
        <w:ind w:left="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78" w:name="a_024"/>
      <w:bookmarkEnd w:id="78"/>
      <w:r>
        <w:rPr>
          <w:rFonts w:ascii="Times New Roman;Times;Serif" w:hAnsi="Times New Roman;Times;Serif"/>
          <w:b/>
          <w:i w:val="false"/>
          <w:caps w:val="false"/>
          <w:smallCaps w:val="false"/>
          <w:sz w:val="20"/>
        </w:rPr>
        <w:t>Item 14. Principal Accounting Fees and Services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Fees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CBIZ CPAs P.C. (“</w:t>
      </w:r>
      <w:r>
        <w:rPr>
          <w:rFonts w:ascii="Times New Roman;Times;Serif" w:hAnsi="Times New Roman;Times;Serif"/>
          <w:b/>
          <w:i w:val="false"/>
          <w:caps w:val="false"/>
          <w:smallCaps w:val="false"/>
          <w:sz w:val="20"/>
        </w:rPr>
        <w:t>CBIZ</w:t>
      </w:r>
      <w:r>
        <w:rPr>
          <w:rFonts w:ascii="Times New Roman;Times;Serif" w:hAnsi="Times New Roman;Times;Serif"/>
          <w:b w:val="false"/>
          <w:i w:val="false"/>
          <w:caps w:val="false"/>
          <w:smallCaps w:val="false"/>
          <w:sz w:val="20"/>
        </w:rPr>
        <w:t>”) was appointed as our independent registered public accounting firm. Marcum LLP (“</w:t>
      </w:r>
      <w:r>
        <w:rPr>
          <w:rFonts w:ascii="Times New Roman;Times;Serif" w:hAnsi="Times New Roman;Times;Serif"/>
          <w:b/>
          <w:i w:val="false"/>
          <w:caps w:val="false"/>
          <w:smallCaps w:val="false"/>
          <w:sz w:val="20"/>
        </w:rPr>
        <w:t>Marcum</w:t>
      </w:r>
      <w:r>
        <w:rPr>
          <w:rFonts w:ascii="Times New Roman;Times;Serif" w:hAnsi="Times New Roman;Times;Serif"/>
          <w:b w:val="false"/>
          <w:i w:val="false"/>
          <w:caps w:val="false"/>
          <w:smallCaps w:val="false"/>
          <w:sz w:val="20"/>
        </w:rPr>
        <w:t>”), which was acquired by CBIZ, served as our independent registered public accounting firm from November 15, 2023 until March 31, 2025. The following table summarizes the aggregate fees billed, or reasonably expected to be billed, to us by CBIZ and Marcum for professional services rendered during the twelve months ended December 31, 2025, and 2024:</w:t>
      </w:r>
    </w:p>
    <w:p>
      <w:pPr>
        <w:pStyle w:val="TextBody"/>
        <w:bidi w:val="0"/>
        <w:spacing w:before="0" w:after="0"/>
        <w:ind w:left="10" w:right="0" w:hanging="10"/>
        <w:jc w:val="both"/>
        <w:rPr>
          <w:caps w:val="false"/>
          <w:smallCaps w:val="false"/>
        </w:rPr>
      </w:pPr>
      <w:r>
        <w:rPr>
          <w:caps w:val="false"/>
          <w:smallCaps w:val="false"/>
        </w:rPr>
        <w:t> </w:t>
      </w:r>
    </w:p>
    <w:tbl>
      <w:tblPr>
        <w:tblW w:w="5968" w:type="dxa"/>
        <w:jc w:val="left"/>
        <w:tblInd w:w="0" w:type="dxa"/>
        <w:tblLayout w:type="fixed"/>
        <w:tblCellMar>
          <w:top w:w="0" w:type="dxa"/>
          <w:left w:w="0" w:type="dxa"/>
          <w:bottom w:w="28" w:type="dxa"/>
          <w:right w:w="0" w:type="dxa"/>
        </w:tblCellMar>
      </w:tblPr>
      <w:tblGrid>
        <w:gridCol w:w="2045"/>
        <w:gridCol w:w="60"/>
        <w:gridCol w:w="273"/>
        <w:gridCol w:w="1561"/>
        <w:gridCol w:w="60"/>
        <w:gridCol w:w="60"/>
        <w:gridCol w:w="273"/>
        <w:gridCol w:w="1561"/>
        <w:gridCol w:w="75"/>
      </w:tblGrid>
      <w:tr>
        <w:trPr/>
        <w:tc>
          <w:tcPr>
            <w:tcW w:w="2045" w:type="dxa"/>
            <w:tcBorders>
              <w:bottom w:val="single" w:sz="8" w:space="0" w:color="000000"/>
            </w:tcBorders>
            <w:vAlign w:val="center"/>
          </w:tcPr>
          <w:p>
            <w:pPr>
              <w:pStyle w:val="TableContents"/>
              <w:bidi w:val="0"/>
              <w:spacing w:before="0" w:after="283"/>
              <w:jc w:val="both"/>
              <w:rPr>
                <w:b/>
              </w:rPr>
            </w:pPr>
            <w:r>
              <w:rPr>
                <w:b/>
              </w:rPr>
              <w:t>Fee Category</w:t>
            </w:r>
          </w:p>
        </w:tc>
        <w:tc>
          <w:tcPr>
            <w:tcW w:w="60" w:type="dxa"/>
            <w:tcBorders/>
            <w:tcMar>
              <w:bottom w:w="0" w:type="dxa"/>
            </w:tcMar>
            <w:vAlign w:val="center"/>
          </w:tcPr>
          <w:p>
            <w:pPr>
              <w:pStyle w:val="TableContents"/>
              <w:bidi w:val="0"/>
              <w:spacing w:before="0" w:after="283"/>
              <w:jc w:val="left"/>
              <w:rPr/>
            </w:pPr>
            <w:r>
              <w:rPr/>
              <w:t> </w:t>
            </w:r>
          </w:p>
        </w:tc>
        <w:tc>
          <w:tcPr>
            <w:tcW w:w="1834" w:type="dxa"/>
            <w:gridSpan w:val="2"/>
            <w:tcBorders>
              <w:bottom w:val="single" w:sz="8" w:space="0" w:color="000000"/>
            </w:tcBorders>
            <w:vAlign w:val="center"/>
          </w:tcPr>
          <w:p>
            <w:pPr>
              <w:pStyle w:val="TableContents"/>
              <w:bidi w:val="0"/>
              <w:spacing w:before="0" w:after="0"/>
              <w:ind w:left="10" w:right="0" w:hanging="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w:t>
            </w:r>
          </w:p>
          <w:p>
            <w:pPr>
              <w:pStyle w:val="TableContents"/>
              <w:bidi w:val="0"/>
              <w:spacing w:before="0" w:after="0"/>
              <w:ind w:left="10" w:right="0" w:hanging="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4" w:type="dxa"/>
            <w:gridSpan w:val="2"/>
            <w:tcBorders>
              <w:bottom w:val="single" w:sz="8" w:space="0" w:color="000000"/>
            </w:tcBorders>
            <w:vAlign w:val="center"/>
          </w:tcPr>
          <w:p>
            <w:pPr>
              <w:pStyle w:val="TableContents"/>
              <w:bidi w:val="0"/>
              <w:spacing w:before="0" w:after="0"/>
              <w:ind w:left="10" w:right="0" w:hanging="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w:t>
            </w:r>
          </w:p>
          <w:p>
            <w:pPr>
              <w:pStyle w:val="TableContents"/>
              <w:bidi w:val="0"/>
              <w:spacing w:before="0" w:after="0"/>
              <w:ind w:left="10" w:right="0" w:hanging="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75" w:type="dxa"/>
            <w:tcBorders/>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both"/>
              <w:rPr/>
            </w:pPr>
            <w:r>
              <w:rPr/>
              <w:t>Audit fees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jc w:val="left"/>
              <w:rPr/>
            </w:pPr>
            <w:r>
              <w:rPr/>
              <w:t>$</w:t>
            </w:r>
          </w:p>
        </w:tc>
        <w:tc>
          <w:tcPr>
            <w:tcW w:w="1561" w:type="dxa"/>
            <w:tcBorders/>
            <w:shd w:fill="CCEEFF" w:val="clear"/>
            <w:tcMar>
              <w:bottom w:w="0" w:type="dxa"/>
            </w:tcMar>
            <w:vAlign w:val="center"/>
          </w:tcPr>
          <w:p>
            <w:pPr>
              <w:pStyle w:val="TableContents"/>
              <w:bidi w:val="0"/>
              <w:spacing w:before="0" w:after="283"/>
              <w:jc w:val="right"/>
              <w:rPr/>
            </w:pPr>
            <w:r>
              <w:rPr/>
              <w:t>723,282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jc w:val="left"/>
              <w:rPr/>
            </w:pPr>
            <w:r>
              <w:rPr/>
              <w:t>$</w:t>
            </w:r>
          </w:p>
        </w:tc>
        <w:tc>
          <w:tcPr>
            <w:tcW w:w="1561" w:type="dxa"/>
            <w:tcBorders/>
            <w:shd w:fill="CCEEFF" w:val="clear"/>
            <w:tcMar>
              <w:bottom w:w="0" w:type="dxa"/>
            </w:tcMar>
            <w:vAlign w:val="center"/>
          </w:tcPr>
          <w:p>
            <w:pPr>
              <w:pStyle w:val="TableContents"/>
              <w:bidi w:val="0"/>
              <w:spacing w:before="0" w:after="283"/>
              <w:jc w:val="right"/>
              <w:rPr/>
            </w:pPr>
            <w:r>
              <w:rPr/>
              <w:t>605,440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45" w:type="dxa"/>
            <w:tcBorders/>
            <w:shd w:fill="FFFFFF" w:val="clear"/>
            <w:tcMar>
              <w:bottom w:w="0" w:type="dxa"/>
            </w:tcMar>
            <w:vAlign w:val="center"/>
          </w:tcPr>
          <w:p>
            <w:pPr>
              <w:pStyle w:val="TableContents"/>
              <w:bidi w:val="0"/>
              <w:spacing w:before="0" w:after="283"/>
              <w:jc w:val="both"/>
              <w:rPr/>
            </w:pPr>
            <w:r>
              <w:rPr/>
              <w:t>Audit-related fees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shd w:fill="FFFFFF" w:val="clear"/>
            <w:tcMar>
              <w:bottom w:w="0" w:type="dxa"/>
            </w:tcMar>
            <w:vAlign w:val="center"/>
          </w:tcPr>
          <w:p>
            <w:pPr>
              <w:pStyle w:val="TableContents"/>
              <w:bidi w:val="0"/>
              <w:spacing w:before="0" w:after="283"/>
              <w:jc w:val="left"/>
              <w:rPr/>
            </w:pPr>
            <w:r>
              <w:rPr/>
              <w:t> </w:t>
            </w:r>
          </w:p>
        </w:tc>
        <w:tc>
          <w:tcPr>
            <w:tcW w:w="15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shd w:fill="FFFFFF" w:val="clear"/>
            <w:tcMar>
              <w:bottom w:w="0" w:type="dxa"/>
            </w:tcMar>
            <w:vAlign w:val="center"/>
          </w:tcPr>
          <w:p>
            <w:pPr>
              <w:pStyle w:val="TableContents"/>
              <w:bidi w:val="0"/>
              <w:spacing w:before="0" w:after="283"/>
              <w:jc w:val="left"/>
              <w:rPr/>
            </w:pPr>
            <w:r>
              <w:rPr/>
              <w:t> </w:t>
            </w:r>
          </w:p>
        </w:tc>
        <w:tc>
          <w:tcPr>
            <w:tcW w:w="1561"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both"/>
              <w:rPr/>
            </w:pPr>
            <w:r>
              <w:rPr/>
              <w:t>Tax fees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45" w:type="dxa"/>
            <w:tcBorders/>
            <w:shd w:fill="FFFFFF" w:val="clear"/>
            <w:tcMar>
              <w:bottom w:w="0" w:type="dxa"/>
            </w:tcMar>
            <w:vAlign w:val="center"/>
          </w:tcPr>
          <w:p>
            <w:pPr>
              <w:pStyle w:val="TableContents"/>
              <w:bidi w:val="0"/>
              <w:spacing w:before="0" w:after="283"/>
              <w:jc w:val="both"/>
              <w:rPr/>
            </w:pPr>
            <w:r>
              <w:rPr/>
              <w:t>All other fees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bottom w:val="single" w:sz="8" w:space="0" w:color="000000"/>
            </w:tcBorders>
            <w:shd w:fill="FFFFFF" w:val="clear"/>
            <w:vAlign w:val="center"/>
          </w:tcPr>
          <w:p>
            <w:pPr>
              <w:pStyle w:val="TableContents"/>
              <w:bidi w:val="0"/>
              <w:spacing w:before="0" w:after="283"/>
              <w:jc w:val="left"/>
              <w:rPr/>
            </w:pPr>
            <w:r>
              <w:rPr/>
              <w:t> </w:t>
            </w:r>
          </w:p>
        </w:tc>
        <w:tc>
          <w:tcPr>
            <w:tcW w:w="1561"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bottom w:val="single" w:sz="8" w:space="0" w:color="000000"/>
            </w:tcBorders>
            <w:shd w:fill="FFFFFF" w:val="clear"/>
            <w:vAlign w:val="center"/>
          </w:tcPr>
          <w:p>
            <w:pPr>
              <w:pStyle w:val="TableContents"/>
              <w:bidi w:val="0"/>
              <w:spacing w:before="0" w:after="283"/>
              <w:jc w:val="left"/>
              <w:rPr/>
            </w:pPr>
            <w:r>
              <w:rPr/>
              <w:t> </w:t>
            </w:r>
          </w:p>
        </w:tc>
        <w:tc>
          <w:tcPr>
            <w:tcW w:w="1561"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both"/>
              <w:rPr/>
            </w:pPr>
            <w:r>
              <w:rPr/>
              <w:t>Total Fees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bottom w:val="double" w:sz="6" w:space="0" w:color="000000"/>
            </w:tcBorders>
            <w:shd w:fill="CCEEFF" w:val="clear"/>
            <w:vAlign w:val="center"/>
          </w:tcPr>
          <w:p>
            <w:pPr>
              <w:pStyle w:val="TableContents"/>
              <w:bidi w:val="0"/>
              <w:spacing w:before="0" w:after="283"/>
              <w:jc w:val="left"/>
              <w:rPr/>
            </w:pPr>
            <w:r>
              <w:rPr/>
              <w:t>$</w:t>
            </w:r>
          </w:p>
        </w:tc>
        <w:tc>
          <w:tcPr>
            <w:tcW w:w="1561" w:type="dxa"/>
            <w:tcBorders>
              <w:bottom w:val="double" w:sz="6" w:space="0" w:color="000000"/>
            </w:tcBorders>
            <w:shd w:fill="CCEEFF" w:val="clear"/>
            <w:vAlign w:val="center"/>
          </w:tcPr>
          <w:p>
            <w:pPr>
              <w:pStyle w:val="TableContents"/>
              <w:bidi w:val="0"/>
              <w:spacing w:before="0" w:after="283"/>
              <w:jc w:val="right"/>
              <w:rPr/>
            </w:pPr>
            <w:r>
              <w:rPr/>
              <w:t>723,282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bottom w:val="double" w:sz="6" w:space="0" w:color="000000"/>
            </w:tcBorders>
            <w:shd w:fill="CCEEFF" w:val="clear"/>
            <w:vAlign w:val="center"/>
          </w:tcPr>
          <w:p>
            <w:pPr>
              <w:pStyle w:val="TableContents"/>
              <w:bidi w:val="0"/>
              <w:spacing w:before="0" w:after="283"/>
              <w:jc w:val="left"/>
              <w:rPr/>
            </w:pPr>
            <w:r>
              <w:rPr/>
              <w:t>$</w:t>
            </w:r>
          </w:p>
        </w:tc>
        <w:tc>
          <w:tcPr>
            <w:tcW w:w="1561" w:type="dxa"/>
            <w:tcBorders>
              <w:bottom w:val="double" w:sz="6" w:space="0" w:color="000000"/>
            </w:tcBorders>
            <w:shd w:fill="CCEEFF" w:val="clear"/>
            <w:vAlign w:val="center"/>
          </w:tcPr>
          <w:p>
            <w:pPr>
              <w:pStyle w:val="TableContents"/>
              <w:bidi w:val="0"/>
              <w:spacing w:before="0" w:after="283"/>
              <w:jc w:val="right"/>
              <w:rPr/>
            </w:pPr>
            <w:r>
              <w:rPr/>
              <w:t>605,440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21"/>
        <w:gridCol w:w="9984"/>
      </w:tblGrid>
      <w:tr>
        <w:trPr/>
        <w:tc>
          <w:tcPr>
            <w:tcW w:w="2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consist of fees incurred for professional services rendered for the audit of financial statements, for reviews of our interim consolidated financial statements included in our quarterly reports on Form 10-Q, and for services that are normally provided in connection with statutory or regulatory filings or engagements.</w:t>
            </w:r>
          </w:p>
        </w:tc>
      </w:tr>
      <w:tr>
        <w:trPr/>
        <w:tc>
          <w:tcPr>
            <w:tcW w:w="2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8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consist of fees billed for professional services that are reasonably related to the performance of the audit or review of our financial statements but are not reported under “Audit fees.”</w:t>
            </w:r>
          </w:p>
        </w:tc>
      </w:tr>
      <w:tr>
        <w:trPr/>
        <w:tc>
          <w:tcPr>
            <w:tcW w:w="2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8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consist of fees billed for professional services relating to tax compliance, tax planning, and tax advice.</w:t>
            </w:r>
          </w:p>
        </w:tc>
      </w:tr>
      <w:tr>
        <w:trPr/>
        <w:tc>
          <w:tcPr>
            <w:tcW w:w="2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8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fees consist of fees billed for services not associated with audit or tax.</w:t>
            </w:r>
          </w:p>
        </w:tc>
      </w:tr>
      <w:tr>
        <w:trPr/>
        <w:tc>
          <w:tcPr>
            <w:tcW w:w="2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8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above audit fees were all billed by CBIZ CPAs P.C. For the year ended December 31, 2024, the above audit fees were all billed by Marcum LLP.</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Practices and Procedures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established a policy governing our use of the services of our independent registered public accounting firm. The purpose of the Audit Committee is to assist the Board of Directors in fulfilling its responsibilities as it relates to our financial accounting, reporting and controls. The Audit Committee’s principal functions are to assist the Board of Directors in its oversight of:</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integrity of our accounting and financial reporting processes and the audits of our financial statements by our independent auditors (the “</w:t>
            </w:r>
            <w:r>
              <w:rPr>
                <w:rFonts w:ascii="Times New Roman;Times;Serif" w:hAnsi="Times New Roman;Times;Serif"/>
                <w:b/>
                <w:i w:val="false"/>
                <w:caps w:val="false"/>
                <w:smallCaps w:val="false"/>
                <w:sz w:val="20"/>
              </w:rPr>
              <w:t>Independent Auditors</w:t>
            </w:r>
            <w:r>
              <w:rPr>
                <w:rFonts w:ascii="Times New Roman;Times;Serif" w:hAnsi="Times New Roman;Times;Serif"/>
                <w:b w:val="false"/>
                <w:i w:val="false"/>
                <w:caps w:val="false"/>
                <w:smallCaps w:val="false"/>
                <w:sz w:val="20"/>
              </w:rPr>
              <w:t>”);</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periodic reviews of the adequacy of the accounting and financial reporting processes and systems of internal control that are conducted by the Independent Auditors and our senior management;</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independence and performance of the Independent Auditors; and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compliance with legal and regulatory requirements.</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applicable laws, rules and regulations, our Audit Committee charter and pre-approval policies established by the Audit Committee require that the Audit Committee review in advance and pre-approve all audit and permitted non-audit fees for services provided to us by our independent registered public accounting firm. The services performed by, and the fees to be paid to, the Independent Auditors were preapproved by the Audit Committee.</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4" w:right="0" w:hanging="10"/>
        <w:jc w:val="center"/>
        <w:rPr>
          <w:rFonts w:ascii="Times New Roman;Times;Serif" w:hAnsi="Times New Roman;Times;Serif"/>
          <w:b/>
          <w:i w:val="false"/>
          <w:caps w:val="false"/>
          <w:smallCaps w:val="false"/>
          <w:sz w:val="20"/>
        </w:rPr>
      </w:pPr>
      <w:bookmarkStart w:id="79" w:name="a_025"/>
      <w:bookmarkEnd w:id="79"/>
      <w:r>
        <w:rPr>
          <w:rFonts w:ascii="Times New Roman;Times;Serif" w:hAnsi="Times New Roman;Times;Serif"/>
          <w:b/>
          <w:i w:val="false"/>
          <w:caps w:val="false"/>
          <w:smallCaps w:val="false"/>
          <w:sz w:val="20"/>
        </w:rPr>
        <w:t>Part IV</w:t>
      </w:r>
    </w:p>
    <w:p>
      <w:pPr>
        <w:pStyle w:val="TextBody"/>
        <w:bidi w:val="0"/>
        <w:spacing w:before="0" w:after="0"/>
        <w:ind w:left="154" w:right="0" w:hanging="10"/>
        <w:jc w:val="center"/>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80" w:name="a_026"/>
      <w:bookmarkEnd w:id="80"/>
      <w:r>
        <w:rPr>
          <w:rFonts w:ascii="Times New Roman;Times;Serif" w:hAnsi="Times New Roman;Times;Serif"/>
          <w:b/>
          <w:i w:val="false"/>
          <w:caps w:val="false"/>
          <w:smallCaps w:val="false"/>
          <w:sz w:val="20"/>
        </w:rPr>
        <w:t>Item 15. Exhibit and Financial Statement Schedules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following documents are filed as part of this report:</w:t>
      </w:r>
    </w:p>
    <w:p>
      <w:pPr>
        <w:pStyle w:val="TextBody"/>
        <w:bidi w:val="0"/>
        <w:spacing w:before="0" w:after="0"/>
        <w:ind w:left="0" w:right="0" w:hanging="1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185"/>
        <w:gridCol w:w="1775"/>
      </w:tblGrid>
      <w:tr>
        <w:trPr/>
        <w:tc>
          <w:tcPr>
            <w:tcW w:w="18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177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 of consolidated financial statements set forth in the accompanying Index to the Consolidated Financial Statements at page F-1 of this Annual Report on Form 10-K is incorporated herein by reference. Such consolidated financial statements are filed as part of this Annual Report on Form 10-K.</w:t>
      </w:r>
    </w:p>
    <w:p>
      <w:pPr>
        <w:pStyle w:val="TextBody"/>
        <w:bidi w:val="0"/>
        <w:spacing w:before="0" w:after="0"/>
        <w:ind w:left="0" w:right="0" w:hanging="1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185"/>
        <w:gridCol w:w="2570"/>
      </w:tblGrid>
      <w:tr>
        <w:trPr/>
        <w:tc>
          <w:tcPr>
            <w:tcW w:w="18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257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Statement Schedules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schedules have been omitted because the required information is either not required, not applicable or because the information required is included in the consolidated financial statements or notes thereto.</w:t>
      </w:r>
    </w:p>
    <w:p>
      <w:pPr>
        <w:pStyle w:val="TextBody"/>
        <w:bidi w:val="0"/>
        <w:spacing w:before="0" w:after="0"/>
        <w:ind w:left="0" w:right="0" w:hanging="0"/>
        <w:jc w:val="left"/>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185"/>
        <w:gridCol w:w="710"/>
      </w:tblGrid>
      <w:tr>
        <w:trPr/>
        <w:tc>
          <w:tcPr>
            <w:tcW w:w="18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71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9"/>
        <w:gridCol w:w="60"/>
        <w:gridCol w:w="7334"/>
        <w:gridCol w:w="60"/>
        <w:gridCol w:w="507"/>
        <w:gridCol w:w="60"/>
        <w:gridCol w:w="654"/>
        <w:gridCol w:w="60"/>
        <w:gridCol w:w="691"/>
      </w:tblGrid>
      <w:tr>
        <w:trPr/>
        <w:tc>
          <w:tcPr>
            <w:tcW w:w="77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3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72"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7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3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"https://www.sec.gov/Archives/edgar/data/1847986/000110465922081684/cntq-20210630xs4.htm" \l "AnnexA_168524"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Agreement and Plan of Merger, dated as of May 15, 2022, by and among Dragonfly Energy Holdings Corp. (f/k/a Chardan NexTech Acquisition 2 Corp.), Bronco Merger Sub, Inc. and Dragonfly Energy Corp. (included as Annex A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Amendment to Agreement and Plan of Merger, dated as of July 12, 2022, by and among Dragonfly Energy Holdings Corp. (f/k/a Chardan NexTech Acquisition 2 Corp.), Bronco Merger Sub, Inc. and Dragonfly Energy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2.1(a)</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Plan of Conversion.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Articles of Incorporation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Certificate of Amendment to the Articles of Incorporation of Dragonfly Energy Holdings Corp., dated November 29, 2023.</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11/29/2023</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Certificate of Amendment to the Articles of Incorporation of Dragonfly Energy Holdings Corp., as filed with the Secretary of State of the State of Nevada, dated November 19, 2024.</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11/22/2024</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Certificate of Amendment to the Articles of Incorporation of Dragonfly Energy Holdings Corp., dated April 25,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04/28/2025</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Certificate of Amendment to the Articles of Incorporation of Dragonfly Energy Holdings Corp., as filed with the Secretary of State of the State of Nevada, dated December 15,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12/18/2025</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Certificate of Designation of the Powers, Preferences and Relative, Participating, Optional and Other Restrictions of Series A Convertible Preferred Stock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02/27/2025</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Certificate of Designation of the Powers, Preferences and Relative, Participating, Optional and Other Restrictions of Series B Convertible Preferred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11/04/2025</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Bylaws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Specimen Common Stock Certificate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$10 Warrant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Form of Penny Warrant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Warrant Agreement, dated as of October 19, 2022, between Dragonfly Energy Holdings Corp. and American Stock Transfer &amp; Trust Company,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10/21/2022</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Specimen Warrant Certificate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Promissory Note of the Company, dated March 5, 2023.</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03/09/2023</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Form of June 2023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06/21/2023</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Form of Underwriters’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06/14/2023</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Form of December 2023 Lender Penny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12/29/2023</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Form of January Note.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03/04/2024</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Form of February Note.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03/04/2024</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Form of May 2024 Penny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05/14/2024</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Form of June 2024 Penny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07/01/2024</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Form of September 2024 Penny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10/07/2024</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Form of December 2024 Penny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01/03/2025</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Form of Private Placement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02/27/2025</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February 2025 Penny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02/27/2025</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Form of October 2025 Pre-Funded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8-K/A</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10/16/2025</w:t>
            </w:r>
          </w:p>
        </w:tc>
      </w:tr>
      <w:tr>
        <w:trPr/>
        <w:tc>
          <w:tcPr>
            <w:tcW w:w="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4" w:type="dxa"/>
            <w:tcBorders/>
            <w:vAlign w:val="center"/>
          </w:tcPr>
          <w:p>
            <w:pPr>
              <w:pStyle w:val="TableContents"/>
              <w:bidi w:val="0"/>
              <w:spacing w:before="0" w:after="283"/>
              <w:jc w:val="both"/>
              <w:rPr/>
            </w:pPr>
            <w:hyperlink w:anchor="ex4-19.htm">
              <w:r>
                <w:rPr>
                  <w:rStyle w:val="InternetLink"/>
                  <w:rFonts w:ascii="Times New Roman;Times;Serif" w:hAnsi="Times New Roman;Times;Serif"/>
                  <w:b w:val="false"/>
                  <w:i w:val="false"/>
                  <w:caps w:val="false"/>
                  <w:smallCaps w:val="false"/>
                  <w:sz w:val="20"/>
                </w:rPr>
                <w:t>Description of Securities.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91"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7"/>
        <w:gridCol w:w="60"/>
        <w:gridCol w:w="7949"/>
        <w:gridCol w:w="60"/>
        <w:gridCol w:w="333"/>
        <w:gridCol w:w="60"/>
        <w:gridCol w:w="485"/>
        <w:gridCol w:w="60"/>
        <w:gridCol w:w="631"/>
      </w:tblGrid>
      <w:tr>
        <w:trPr/>
        <w:tc>
          <w:tcPr>
            <w:tcW w:w="5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"https://www.sec.gov/Archives/edgar/data/1847986/000110465922081684/cntq-20210630xs4.htm" \l "AnnexE_715156"</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Sponsor Support Agreement, dated as of May 15, 2022, by and among Chardan NexTech Investments 2 LLC, Dragonfly Energy Corp. and Chardan NexTech Investments 2 LLC (included as Annex E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5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"https://www.sec.gov/Archives/edgar/data/1847986/000110465922081684/cntq-20210630xs4.htm" \l "AnnexJ_927754"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Commitment Letter, dated as of May 15, 2022, by and among Dragonfly Energy Holdings Corp. (f/k/a Chardan NexTech Acquisition 2 Corp.), Dragonfly Energy Corp., CCM Investments 5 LLC and EICF Agent LLC (included as Annex J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567"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"https://www.sec.gov/Archives/edgar/data/1847986/000110465922081684/cntq-20210630xs4.htm" \l "AnnexK_797313"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Equity Facility Letter Agreement, dated as of May 15, 2022, by and among Dragonfly Energy Corp., Dragonfly Energy Holdings Corp. (f/k/a Chardan NexTech Acquisition 2 Corp.) and CCM Investments 5 LLC (included as Annex K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"https://www.sec.gov/Archives/edgar/data/1847986/000110465922081684/cntq-20210630xs4.htm" \l "AnnexF_345954"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Subscription Agreement, dated as of May 15, 2022, between Dragonfly Energy Holdings Corp. (f/k/a Chardan NexTech Acquisition 2 Corp.) and Chardan NexTech Investments 2 LLC (included as Annex F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Dragonfly Energy Holdings Corp. 2022 Equity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Dragonfly Energy Holdings Corp. Employee Stock Purchase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Multi-tenant Industrial Triple Net Lease, dated as of March 1, 2021, between Dragonfly Energy Corp. and Icon Reno Property Owner Pool 3 Nevada,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Lease, dated as of February 8, 2022, between Dragonfly Energy Corp. and Prologis, L.P.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Purchase Agreement, dated as of October 7, 2022, between Dragonfly Energy Holdings Corp. and Chardan Capital Markets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Registration Rights Agreement, dated as of October 7, 2022, between Dragonfly Energy Holdings Corp. and Chardan Capital Markets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Term Loan Agreement, dated as of October 7, 2022, by and among the Dragonfly Energy Holdings Corp., Dragonfly Energy Corp., the lenders from time to time party thereto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Pledge Agreement, dated as of October 7, 2022, by and among Dragonfly Energy Holdings Corp.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Employment Agreement, dated as of January 1, 2022, by and between Dragonfly Energy Corp. and Denis Phares.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Amendment to Employment Agreement, dated as of May 15, 2022, by and between Dragonfly Energy Corp. and Denis Phares.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Dragonfly Energy Corp. 2019 Stock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Dragonfly Energy Corp. 2021 Stock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Amended and Restated Registration Rights Agreement, dated as of October 7, 2022, by and among Dragonfly Energy Holdings Corp. and each of the stockholders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Revised Director Compensation Policy.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03/31/2025</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Employment Agreement, dated as of October 11, 2022, by and between Dragonfly Energy Holdings Corp. and Denis Phares.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11/4/2022</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Asset Purchase Agreement, dated April 22, 2022, by and among Dragonfly Energy Corp., Thomason Jones Company, LLC, William Thomason and Richard Jones.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49"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Manufacturing Supply Agreement, dated November 19, 2021, by and between Dragonfly Energy Holdings Corp. and Keystone RV Company.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7"/>
        <w:gridCol w:w="60"/>
        <w:gridCol w:w="7951"/>
        <w:gridCol w:w="60"/>
        <w:gridCol w:w="333"/>
        <w:gridCol w:w="60"/>
        <w:gridCol w:w="485"/>
        <w:gridCol w:w="60"/>
        <w:gridCol w:w="629"/>
      </w:tblGrid>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1"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Asset Purchase Agreement, dated January 1, 2022, by and between Dragonfly Energy Holdings Corp. and Bourns Productions,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1"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Assignment and Assumption Agreement, dated January 1, 2022, by and between Dragonfly Energy Corp. and Bourns Productions,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1"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Assignment and Assumption of Lease Agreement, dated January 1, 2022, by and among Dragonfly Energy Corp., Bourns Productions, Inc. and Los Angeles &amp; Steel Co.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1" w:type="dxa"/>
            <w:tcBorders/>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Research and Development Lab Lease, dated April 25, 2019, by and between Dragonfly Energy Corp. and BRE RS Greg Park Owner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1" w:type="dxa"/>
            <w:tcBorders/>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Amendment No. 1 to Research and Lab Lease, dated March 12, 2020, by and between Dragonfly Energy Corp. and DRE RS Greg Park Owner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1" w:type="dxa"/>
            <w:tcBorders/>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Amendment No. 2 to Research and Lab Lease, dated July 27, 2020, by and between Dragonfly Energy Corp. and DRE RS Greg Park Owner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1" w:type="dxa"/>
            <w:tcBorders/>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Amendment No. 3 to Research and Lab Lease, dated August 26, 2020, by and between Dragonfly Energy Corp. and DRE RS Greg Park Owner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1" w:type="dxa"/>
            <w:tcBorders/>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Amendment No. 4 to Research and Lab Lease, dated December 16, 2020, by and between Dragonfly Energy Corp. and BRS RS Greg Park Owner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1" w:type="dxa"/>
            <w:tcBorders/>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Amendment No. 5 to Research and Lab Lease, dated January 28, 2022, by and between Dragonfly Energy Corp. and BRS RS Greg Park Owner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1" w:type="dxa"/>
            <w:tcBorders/>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Limited Waiver, dated as of March 29, 2023, to the Term Loan, Guarantee and Security Agreement, dated as of October 7, 2022, by and among Dragonfly Energy Holdings Corp., Dragonfly Energy Corp., the lenders from time to time party thereto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03/29/2023</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1" w:type="dxa"/>
            <w:tcBorders/>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Limited Waiver, dated as of December 29, 2023, to the Term Loan, Guarantee and Security Agreement, dated as of October 7, 2022, by and among Dragonfly Energy Holdings Corp., Dragonfly Energy Corp., the lenders from time to time party thereto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12/29/2023</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1" w:type="dxa"/>
            <w:tcBorders/>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Employment Agreement, dated as of November 7, 2022, by and between Dragonfly Energy Holdings Corp. and Wade Seaburg.</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04/16/2024</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1" w:type="dxa"/>
            <w:tcBorders/>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Employment Agreement, dated as of November 7, 2022, by and between Dragonfly Energy Holdings Corp. and Tyler Bourns.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04/16/2024</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1" w:type="dxa"/>
            <w:tcBorders/>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Fernley Lease, dated April 12, 2024, by and between Dragonfly Energy Corp., Cottonmill Properties, LLC, and Marlene Thier.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04/16/2024</w:t>
            </w:r>
          </w:p>
        </w:tc>
      </w:tr>
      <w:tr>
        <w:trPr/>
        <w:tc>
          <w:tcPr>
            <w:tcW w:w="5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1" w:type="dxa"/>
            <w:tcBorders/>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Amendment No. 1 to Employment Agreement, effective as of April 12, 2024, by and between Dragonfly Energy Holdings Corp. and Denis Phares.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04/16/2024</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9"/>
        <w:gridCol w:w="60"/>
        <w:gridCol w:w="7959"/>
        <w:gridCol w:w="60"/>
        <w:gridCol w:w="353"/>
        <w:gridCol w:w="60"/>
        <w:gridCol w:w="485"/>
        <w:gridCol w:w="60"/>
        <w:gridCol w:w="609"/>
      </w:tblGrid>
      <w:tr>
        <w:trPr/>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9" w:type="dxa"/>
            <w:tcBorders/>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Amendment No. 1 to Employment Agreement, effective as of April 12, 2024, by and between Dragonfly Energy Holdings Corp. and Wade Seaburg.</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04/16/2024</w:t>
            </w:r>
          </w:p>
        </w:tc>
      </w:tr>
      <w:tr>
        <w:trPr/>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9" w:type="dxa"/>
            <w:tcBorders/>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Amendment No. 1 to Employment Agreement, effective as of April 12, 2024, by and between Dragonfly Energy Holdings Corp. and Tyler Bourns.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04/16/2024</w:t>
            </w:r>
          </w:p>
        </w:tc>
      </w:tr>
      <w:tr>
        <w:trPr/>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9" w:type="dxa"/>
            <w:tcBorders/>
            <w:vAlign w:val="center"/>
          </w:tcPr>
          <w:p>
            <w:pPr>
              <w:pStyle w:val="TableContents"/>
              <w:bidi w:val="0"/>
              <w:spacing w:before="0" w:after="283"/>
              <w:jc w:val="both"/>
              <w:rPr/>
            </w:pPr>
            <w:hyperlink r:id="rId68">
              <w:r>
                <w:rPr>
                  <w:rStyle w:val="InternetLink"/>
                  <w:rFonts w:ascii="Times New Roman;Times;Serif" w:hAnsi="Times New Roman;Times;Serif"/>
                  <w:b w:val="false"/>
                  <w:i w:val="false"/>
                  <w:caps w:val="false"/>
                  <w:smallCaps w:val="false"/>
                  <w:sz w:val="20"/>
                </w:rPr>
                <w:t>Limited Waiver, dated as of May 13, 2024, to the Term Loan, Guarantee and Security Agreement, dated as of October 7, 2022, by and among Dragonfly Energy Holdings Corp., Dragonfly Energy Corp., the lenders from time to time party thereto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05/14/2024</w:t>
            </w:r>
          </w:p>
        </w:tc>
      </w:tr>
      <w:tr>
        <w:trPr/>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9" w:type="dxa"/>
            <w:tcBorders/>
            <w:vAlign w:val="center"/>
          </w:tcPr>
          <w:p>
            <w:pPr>
              <w:pStyle w:val="TableContents"/>
              <w:bidi w:val="0"/>
              <w:spacing w:before="0" w:after="283"/>
              <w:jc w:val="both"/>
              <w:rPr/>
            </w:pPr>
            <w:hyperlink r:id="rId69">
              <w:r>
                <w:rPr>
                  <w:rStyle w:val="InternetLink"/>
                  <w:rFonts w:ascii="Times New Roman;Times;Serif" w:hAnsi="Times New Roman;Times;Serif"/>
                  <w:b w:val="false"/>
                  <w:i w:val="false"/>
                  <w:caps w:val="false"/>
                  <w:smallCaps w:val="false"/>
                  <w:sz w:val="20"/>
                </w:rPr>
                <w:t>Amended and Restated ChEF Purchase Agreement, by and between Chardan Capital Markets LLC and Dragonfly Energy Holdings Corp., dated May 20, 2024.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05/20/2024</w:t>
            </w:r>
          </w:p>
        </w:tc>
      </w:tr>
      <w:tr>
        <w:trPr/>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9" w:type="dxa"/>
            <w:tcBorders/>
            <w:vAlign w:val="center"/>
          </w:tcPr>
          <w:p>
            <w:pPr>
              <w:pStyle w:val="TableContents"/>
              <w:bidi w:val="0"/>
              <w:spacing w:before="0" w:after="283"/>
              <w:jc w:val="both"/>
              <w:rPr/>
            </w:pPr>
            <w:hyperlink r:id="rId70">
              <w:r>
                <w:rPr>
                  <w:rStyle w:val="InternetLink"/>
                  <w:rFonts w:ascii="Times New Roman;Times;Serif" w:hAnsi="Times New Roman;Times;Serif"/>
                  <w:b w:val="false"/>
                  <w:i w:val="false"/>
                  <w:caps w:val="false"/>
                  <w:smallCaps w:val="false"/>
                  <w:sz w:val="20"/>
                </w:rPr>
                <w:t>Limited Waiver and First Amendment to Term Loan, Guarantee and Security Agreement, dated as of June 28, 2024, by and among Dragonfly Energy Holdings Corp., Dragonfly Energy Corp., the lenders from time to time party thereto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07/01/2024</w:t>
            </w:r>
          </w:p>
        </w:tc>
      </w:tr>
      <w:tr>
        <w:trPr/>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9" w:type="dxa"/>
            <w:tcBorders/>
            <w:vAlign w:val="center"/>
          </w:tcPr>
          <w:p>
            <w:pPr>
              <w:pStyle w:val="TableContents"/>
              <w:bidi w:val="0"/>
              <w:spacing w:before="0" w:after="283"/>
              <w:jc w:val="both"/>
              <w:rPr/>
            </w:pPr>
            <w:hyperlink r:id="rId71">
              <w:r>
                <w:rPr>
                  <w:rStyle w:val="InternetLink"/>
                  <w:rFonts w:ascii="Times New Roman;Times;Serif" w:hAnsi="Times New Roman;Times;Serif"/>
                  <w:b w:val="false"/>
                  <w:i w:val="false"/>
                  <w:caps w:val="false"/>
                  <w:smallCaps w:val="false"/>
                  <w:sz w:val="20"/>
                </w:rPr>
                <w:t>Trademark License Agreement, by and among Dragonfly Energy Corp., Battle Born Battery Products, LLC, and Stryten Energy LLC, dated as of July 29, 2024.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08/01/2024</w:t>
            </w:r>
          </w:p>
        </w:tc>
      </w:tr>
      <w:tr>
        <w:trPr/>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9" w:type="dxa"/>
            <w:tcBorders/>
            <w:vAlign w:val="center"/>
          </w:tcPr>
          <w:p>
            <w:pPr>
              <w:pStyle w:val="TableContents"/>
              <w:bidi w:val="0"/>
              <w:spacing w:before="0" w:after="283"/>
              <w:jc w:val="both"/>
              <w:rPr/>
            </w:pPr>
            <w:hyperlink r:id="rId72">
              <w:r>
                <w:rPr>
                  <w:rStyle w:val="InternetLink"/>
                  <w:rFonts w:ascii="Times New Roman;Times;Serif" w:hAnsi="Times New Roman;Times;Serif"/>
                  <w:b w:val="false"/>
                  <w:i w:val="false"/>
                  <w:caps w:val="false"/>
                  <w:smallCaps w:val="false"/>
                  <w:sz w:val="20"/>
                </w:rPr>
                <w:t>Trademark Transfer and License-Back Agreement, by and between Dragonfly Energy Corp. and Battle Born Battery Products, LLC, dated as of July 29, 2024.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08/01/2024</w:t>
            </w:r>
          </w:p>
        </w:tc>
      </w:tr>
      <w:tr>
        <w:trPr/>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9" w:type="dxa"/>
            <w:tcBorders/>
            <w:vAlign w:val="center"/>
          </w:tcPr>
          <w:p>
            <w:pPr>
              <w:pStyle w:val="TableContents"/>
              <w:bidi w:val="0"/>
              <w:spacing w:before="0" w:after="283"/>
              <w:jc w:val="both"/>
              <w:rPr/>
            </w:pPr>
            <w:hyperlink r:id="rId73">
              <w:r>
                <w:rPr>
                  <w:rStyle w:val="InternetLink"/>
                  <w:rFonts w:ascii="Times New Roman;Times;Serif" w:hAnsi="Times New Roman;Times;Serif"/>
                  <w:b w:val="false"/>
                  <w:i w:val="false"/>
                  <w:caps w:val="false"/>
                  <w:smallCaps w:val="false"/>
                  <w:sz w:val="20"/>
                </w:rPr>
                <w:t>Limited Waiver, Consent and Second Amendment to Term Loan, Guarantee and Security Agreement, dated as of July 29, 2024, by and among Dragonfly Energy Corp., Dragonfly Energy Holdings Corp., Battle Born Battery Products, LLC, the lenders from time-to-time party thereto and Alter Domus (US) LLC.</w:t>
              </w:r>
            </w:hyperlink>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08/01/2024</w:t>
            </w:r>
          </w:p>
        </w:tc>
      </w:tr>
      <w:tr>
        <w:trPr/>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9" w:type="dxa"/>
            <w:tcBorders/>
            <w:vAlign w:val="center"/>
          </w:tcPr>
          <w:p>
            <w:pPr>
              <w:pStyle w:val="TableContents"/>
              <w:bidi w:val="0"/>
              <w:spacing w:before="0" w:after="283"/>
              <w:jc w:val="both"/>
              <w:rPr/>
            </w:pPr>
            <w:hyperlink r:id="rId74">
              <w:r>
                <w:rPr>
                  <w:rStyle w:val="InternetLink"/>
                  <w:rFonts w:ascii="Times New Roman;Times;Serif" w:hAnsi="Times New Roman;Times;Serif"/>
                  <w:b w:val="false"/>
                  <w:i w:val="false"/>
                  <w:caps w:val="false"/>
                  <w:smallCaps w:val="false"/>
                  <w:sz w:val="20"/>
                </w:rPr>
                <w:t>Joinder Agreement, by Battle Born Battery Products, LLC and acknowledged by Dragonfly Energy Corp., and Dragonfly Energy Holdings Corp., dated as of July 29, 2024.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08/01/2024</w:t>
            </w:r>
          </w:p>
        </w:tc>
      </w:tr>
      <w:tr>
        <w:trPr/>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9" w:type="dxa"/>
            <w:tcBorders/>
            <w:vAlign w:val="center"/>
          </w:tcPr>
          <w:p>
            <w:pPr>
              <w:pStyle w:val="TableContents"/>
              <w:bidi w:val="0"/>
              <w:spacing w:before="0" w:after="283"/>
              <w:jc w:val="both"/>
              <w:rPr/>
            </w:pPr>
            <w:hyperlink r:id="rId75">
              <w:r>
                <w:rPr>
                  <w:rStyle w:val="InternetLink"/>
                  <w:rFonts w:ascii="Times New Roman;Times;Serif" w:hAnsi="Times New Roman;Times;Serif"/>
                  <w:b w:val="false"/>
                  <w:i w:val="false"/>
                  <w:caps w:val="false"/>
                  <w:smallCaps w:val="false"/>
                  <w:sz w:val="20"/>
                </w:rPr>
                <w:t>Limited Waiver and Third Amendment to Term Loan, Guarantee and Security Agreement, dated as of September 30, 2024, by and among Dragonfly Energy Holdings Corp., Dragonfly Energy Corp., the lenders from time to time party thereto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10/07/2024</w:t>
            </w:r>
          </w:p>
        </w:tc>
      </w:tr>
      <w:tr>
        <w:trPr/>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9" w:type="dxa"/>
            <w:tcBorders/>
            <w:vAlign w:val="center"/>
          </w:tcPr>
          <w:p>
            <w:pPr>
              <w:pStyle w:val="TableContents"/>
              <w:bidi w:val="0"/>
              <w:spacing w:before="0" w:after="283"/>
              <w:jc w:val="both"/>
              <w:rPr/>
            </w:pPr>
            <w:hyperlink r:id="rId76">
              <w:r>
                <w:rPr>
                  <w:rStyle w:val="InternetLink"/>
                  <w:rFonts w:ascii="Times New Roman;Times;Serif" w:hAnsi="Times New Roman;Times;Serif"/>
                  <w:b w:val="false"/>
                  <w:i w:val="false"/>
                  <w:caps w:val="false"/>
                  <w:smallCaps w:val="false"/>
                  <w:sz w:val="20"/>
                </w:rPr>
                <w:t>Limited Waiver and Fourth Amendment to Term Loan, Guarantee and Security Agreement, dated as of December 31, 2024, by and among Dragonfly Energy Holdings Corp., Dragonfly Energy Corp., Battle Born Battery Products, LLC, the lenders from time to time party thereto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01/03/2025</w:t>
            </w:r>
          </w:p>
        </w:tc>
      </w:tr>
      <w:tr>
        <w:trPr/>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9" w:type="dxa"/>
            <w:tcBorders/>
            <w:vAlign w:val="center"/>
          </w:tcPr>
          <w:p>
            <w:pPr>
              <w:pStyle w:val="TableContents"/>
              <w:bidi w:val="0"/>
              <w:spacing w:before="0" w:after="283"/>
              <w:jc w:val="both"/>
              <w:rPr/>
            </w:pPr>
            <w:hyperlink r:id="rId77">
              <w:r>
                <w:rPr>
                  <w:rStyle w:val="InternetLink"/>
                  <w:rFonts w:ascii="Times New Roman;Times;Serif" w:hAnsi="Times New Roman;Times;Serif"/>
                  <w:b w:val="false"/>
                  <w:i w:val="false"/>
                  <w:caps w:val="false"/>
                  <w:smallCaps w:val="false"/>
                  <w:sz w:val="20"/>
                </w:rPr>
                <w:t>Employment Agreement by and between Vickram Singh and Dragonfly Energy Holdings Corp, dated February 1,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02/05/2025</w:t>
            </w:r>
          </w:p>
        </w:tc>
      </w:tr>
      <w:tr>
        <w:trPr/>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9" w:type="dxa"/>
            <w:tcBorders/>
            <w:vAlign w:val="center"/>
          </w:tcPr>
          <w:p>
            <w:pPr>
              <w:pStyle w:val="TableContents"/>
              <w:bidi w:val="0"/>
              <w:spacing w:before="0" w:after="283"/>
              <w:jc w:val="both"/>
              <w:rPr/>
            </w:pPr>
            <w:hyperlink r:id="rId78">
              <w:r>
                <w:rPr>
                  <w:rStyle w:val="InternetLink"/>
                  <w:rFonts w:ascii="Times New Roman;Times;Serif" w:hAnsi="Times New Roman;Times;Serif"/>
                  <w:b w:val="false"/>
                  <w:i w:val="false"/>
                  <w:caps w:val="false"/>
                  <w:smallCaps w:val="false"/>
                  <w:sz w:val="20"/>
                </w:rPr>
                <w:t>Form of Securities Purchase Agreement, dated February 26, 2025, by and between Dragonfly Energy Holdings Corp. and the investor listed on the Schedule of Buyers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02/27/2025</w:t>
            </w:r>
          </w:p>
        </w:tc>
      </w:tr>
      <w:tr>
        <w:trPr/>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9" w:type="dxa"/>
            <w:tcBorders/>
            <w:vAlign w:val="center"/>
          </w:tcPr>
          <w:p>
            <w:pPr>
              <w:pStyle w:val="TableContents"/>
              <w:bidi w:val="0"/>
              <w:spacing w:before="0" w:after="283"/>
              <w:jc w:val="both"/>
              <w:rPr/>
            </w:pPr>
            <w:hyperlink r:id="rId79">
              <w:r>
                <w:rPr>
                  <w:rStyle w:val="InternetLink"/>
                  <w:rFonts w:ascii="Times New Roman;Times;Serif" w:hAnsi="Times New Roman;Times;Serif"/>
                  <w:b w:val="false"/>
                  <w:i w:val="false"/>
                  <w:caps w:val="false"/>
                  <w:smallCaps w:val="false"/>
                  <w:sz w:val="20"/>
                </w:rPr>
                <w:t>Form of Registration Rights Agreement, dated February 26, 2025, by and between Dragonfly Energy Holdings Corp. and the investor listed on the Schedule of Buyers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02/27/2025</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3"/>
        <w:gridCol w:w="60"/>
        <w:gridCol w:w="8003"/>
        <w:gridCol w:w="60"/>
        <w:gridCol w:w="332"/>
        <w:gridCol w:w="60"/>
        <w:gridCol w:w="380"/>
        <w:gridCol w:w="60"/>
        <w:gridCol w:w="627"/>
      </w:tblGrid>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pPr>
            <w:hyperlink r:id="rId80">
              <w:r>
                <w:rPr>
                  <w:rStyle w:val="InternetLink"/>
                  <w:rFonts w:ascii="Times New Roman;Times;Serif" w:hAnsi="Times New Roman;Times;Serif"/>
                  <w:b w:val="false"/>
                  <w:i w:val="false"/>
                  <w:caps w:val="false"/>
                  <w:smallCaps w:val="false"/>
                  <w:sz w:val="20"/>
                </w:rPr>
                <w:t>Fifth Amendment to Term Loan, Guarantee and Security Agreement, dated as of February 26, 2025, by and among Dragonfly Energy Holdings Corp., Dragonfly Energy Corp., Battle Born Battery Products, LLC, the lenders from time to time party thereto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02/27/2025</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pPr>
            <w:hyperlink r:id="rId81">
              <w:r>
                <w:rPr>
                  <w:rStyle w:val="InternetLink"/>
                  <w:rFonts w:ascii="Times New Roman;Times;Serif" w:hAnsi="Times New Roman;Times;Serif"/>
                  <w:b w:val="false"/>
                  <w:i w:val="false"/>
                  <w:caps w:val="false"/>
                  <w:smallCaps w:val="false"/>
                  <w:sz w:val="20"/>
                </w:rPr>
                <w:t>Form of Settlement and Mutual Release Agreement, dated July 20, 2025, by and between the Company and the investor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07/21/2025</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pPr>
            <w:hyperlink r:id="rId82">
              <w:r>
                <w:rPr>
                  <w:rStyle w:val="InternetLink"/>
                  <w:rFonts w:ascii="Times New Roman;Times;Serif" w:hAnsi="Times New Roman;Times;Serif"/>
                  <w:b w:val="false"/>
                  <w:i w:val="false"/>
                  <w:caps w:val="false"/>
                  <w:smallCaps w:val="false"/>
                  <w:sz w:val="20"/>
                </w:rPr>
                <w:t>Amendment to the Dragonfly Energy Holdings Corp.’s 2022 Equity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10/15/2025</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pPr>
            <w:hyperlink r:id="rId83">
              <w:r>
                <w:rPr>
                  <w:rStyle w:val="InternetLink"/>
                  <w:rFonts w:ascii="Times New Roman;Times;Serif" w:hAnsi="Times New Roman;Times;Serif"/>
                  <w:b w:val="false"/>
                  <w:i w:val="false"/>
                  <w:caps w:val="false"/>
                  <w:smallCaps w:val="false"/>
                  <w:sz w:val="20"/>
                </w:rPr>
                <w:t>Sixth Amendment to Term Loan, Guarantee and Security Agreement, dated as of October 20, 2025, by and among the Company, Dragonfly Energy Corp., Battle Born Battery Products, LLC, the lenders from time to time party thereto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10/20/2025</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pPr>
            <w:hyperlink r:id="rId84">
              <w:r>
                <w:rPr>
                  <w:rStyle w:val="InternetLink"/>
                  <w:rFonts w:ascii="Times New Roman;Times;Serif" w:hAnsi="Times New Roman;Times;Serif"/>
                  <w:b w:val="false"/>
                  <w:i w:val="false"/>
                  <w:caps w:val="false"/>
                  <w:smallCaps w:val="false"/>
                  <w:sz w:val="20"/>
                </w:rPr>
                <w:t>Exchange Agreement, dated November 4, 2025, by and among Dragonfly Energy Holdings Corp. and the lenders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11/05/2025</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pPr>
            <w:hyperlink r:id="rId85">
              <w:r>
                <w:rPr>
                  <w:rStyle w:val="InternetLink"/>
                  <w:rFonts w:ascii="Times New Roman;Times;Serif" w:hAnsi="Times New Roman;Times;Serif"/>
                  <w:b w:val="false"/>
                  <w:i w:val="false"/>
                  <w:caps w:val="false"/>
                  <w:smallCaps w:val="false"/>
                  <w:sz w:val="20"/>
                </w:rPr>
                <w:t>Equity Distribution Agreement, dated January 30, 2026, by and between Dragonfly Energy Holdings Corp. and Canaccord Genuity,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01/30/2026</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pPr>
            <w:hyperlink r:id="rId86">
              <w:r>
                <w:rPr>
                  <w:rStyle w:val="InternetLink"/>
                  <w:rFonts w:ascii="Times New Roman;Times;Serif" w:hAnsi="Times New Roman;Times;Serif"/>
                  <w:b w:val="false"/>
                  <w:i w:val="false"/>
                  <w:caps w:val="false"/>
                  <w:smallCaps w:val="false"/>
                  <w:sz w:val="20"/>
                </w:rPr>
                <w:t>Letter dated March 24, 2025 from Marcum LLP to the Securities and Exchange Commission.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03/24/2025</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pPr>
            <w:hyperlink r:id="rId87">
              <w:r>
                <w:rPr>
                  <w:rStyle w:val="InternetLink"/>
                  <w:rFonts w:ascii="Times New Roman;Times;Serif" w:hAnsi="Times New Roman;Times;Serif"/>
                  <w:b w:val="false"/>
                  <w:i w:val="false"/>
                  <w:caps w:val="false"/>
                  <w:smallCaps w:val="false"/>
                  <w:sz w:val="20"/>
                </w:rPr>
                <w:t>Insider Trading Policy.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03/31/2025</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pPr>
            <w:hyperlink r:id="rId88">
              <w:r>
                <w:rPr>
                  <w:rStyle w:val="InternetLink"/>
                  <w:rFonts w:ascii="Times New Roman;Times;Serif" w:hAnsi="Times New Roman;Times;Serif"/>
                  <w:b w:val="false"/>
                  <w:i w:val="false"/>
                  <w:caps w:val="false"/>
                  <w:smallCaps w:val="false"/>
                  <w:sz w:val="20"/>
                </w:rPr>
                <w:t>List of Subsidiaries.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03/31/2025</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CBIZ CPAs P.C.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pPr>
            <w:hyperlink w:anchor="ex23-2.htm">
              <w:r>
                <w:rPr>
                  <w:rStyle w:val="InternetLink"/>
                  <w:rFonts w:ascii="Times New Roman;Times;Serif" w:hAnsi="Times New Roman;Times;Serif"/>
                  <w:b w:val="false"/>
                  <w:i w:val="false"/>
                  <w:caps w:val="false"/>
                  <w:smallCaps w:val="false"/>
                  <w:sz w:val="20"/>
                </w:rPr>
                <w:t>Consent of Marcum LLP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Required Under Rule 13a-14(a) and 15d-14(a) of the Securities Exchange Act of 1934, as amended.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Required Under Rule 13a-14(a) and 15d-14(a) of the Securities Exchange Act of 1934, as amended.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Required Under Rule 13a-14(b) of the Securities Exchange Act of 1934, as amended, and 18 U.S.C. §1350.</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pPr>
            <w:hyperlink r:id="rId89">
              <w:r>
                <w:rPr>
                  <w:rStyle w:val="InternetLink"/>
                  <w:rFonts w:ascii="Times New Roman;Times;Serif" w:hAnsi="Times New Roman;Times;Serif"/>
                  <w:b w:val="false"/>
                  <w:i w:val="false"/>
                  <w:caps w:val="false"/>
                  <w:smallCaps w:val="false"/>
                  <w:sz w:val="20"/>
                </w:rPr>
                <w:t>Dragonfly Energy Holdings Corp. Compensation Recovery Policy.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04/16/2024</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9" w:right="0" w:hanging="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schedules and exhibits to the agreement have been omitted pursuant to Item 601(b)(2) of Regulation S-K. A copy of any omitted schedule and/or exhibit will be furnished to the Securities and Exchange Commission upon request.</w:t>
      </w:r>
    </w:p>
    <w:p>
      <w:pPr>
        <w:pStyle w:val="TextBody"/>
        <w:bidi w:val="0"/>
        <w:spacing w:before="0" w:after="0"/>
        <w:ind w:left="309" w:right="0" w:hanging="324"/>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a management contract or compensatory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bookmarkStart w:id="81" w:name="a_027"/>
      <w:bookmarkEnd w:id="81"/>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2" w:name="a_028"/>
      <w:bookmarkEnd w:id="82"/>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Annual Report to be signed on its behalf by the undersigned, thereunto duly authorized, in Reno, Nevada, on the 30th day of March, 2026.</w:t>
      </w:r>
    </w:p>
    <w:p>
      <w:pPr>
        <w:pStyle w:val="TextBody"/>
        <w:bidi w:val="0"/>
        <w:spacing w:before="0" w:after="0"/>
        <w:ind w:left="0" w:right="0" w:hanging="10"/>
        <w:jc w:val="both"/>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335"/>
        <w:gridCol w:w="6230"/>
        <w:gridCol w:w="75"/>
      </w:tblGrid>
      <w:tr>
        <w:trPr/>
        <w:tc>
          <w:tcPr>
            <w:tcW w:w="65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62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2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and Accounting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Annual Report has been signed by the following persons in the capacities and on the dates indicated:</w:t>
      </w:r>
    </w:p>
    <w:p>
      <w:pPr>
        <w:pStyle w:val="TextBody"/>
        <w:bidi w:val="0"/>
        <w:spacing w:before="0" w:after="0"/>
        <w:ind w:left="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caps w:val="false"/>
          <w:smallCaps w:val="false"/>
        </w:rPr>
      </w:pPr>
      <w:r>
        <w:rPr>
          <w:caps w:val="false"/>
          <w:smallCaps w:val="false"/>
        </w:rPr>
        <w:t> </w:t>
      </w:r>
    </w:p>
    <w:tbl>
      <w:tblPr>
        <w:tblW w:w="9645" w:type="dxa"/>
        <w:jc w:val="left"/>
        <w:tblInd w:w="0" w:type="dxa"/>
        <w:tblLayout w:type="fixed"/>
        <w:tblCellMar>
          <w:top w:w="0" w:type="dxa"/>
          <w:left w:w="0" w:type="dxa"/>
          <w:bottom w:w="28" w:type="dxa"/>
          <w:right w:w="0" w:type="dxa"/>
        </w:tblCellMar>
      </w:tblPr>
      <w:tblGrid>
        <w:gridCol w:w="1655"/>
        <w:gridCol w:w="60"/>
        <w:gridCol w:w="6545"/>
        <w:gridCol w:w="60"/>
        <w:gridCol w:w="1325"/>
      </w:tblGrid>
      <w:tr>
        <w:trPr/>
        <w:tc>
          <w:tcPr>
            <w:tcW w:w="16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6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President and Chairman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16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and Accounting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Perry Boyle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16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Luisa Ingargiola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16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Brian Nelson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16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Financial Statements and Supplemental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9005"/>
        <w:gridCol w:w="305"/>
      </w:tblGrid>
      <w:tr>
        <w:trPr/>
        <w:tc>
          <w:tcPr>
            <w:tcW w:w="9005" w:type="dxa"/>
            <w:tcBorders/>
            <w:shd w:fill="CCEEFF" w:val="clear"/>
            <w:vAlign w:val="center"/>
          </w:tcPr>
          <w:p>
            <w:pPr>
              <w:pStyle w:val="TableContents"/>
              <w:bidi w:val="0"/>
              <w:spacing w:before="0" w:after="283"/>
              <w:jc w:val="left"/>
              <w:rPr/>
            </w:pPr>
            <w:hyperlink w:anchor="ggg_001">
              <w:r>
                <w:rPr>
                  <w:rStyle w:val="InternetLink"/>
                  <w:rFonts w:ascii="Times New Roman;Times;Serif" w:hAnsi="Times New Roman;Times;Serif"/>
                  <w:b w:val="false"/>
                  <w:i w:val="false"/>
                  <w:caps w:val="false"/>
                  <w:smallCaps w:val="false"/>
                  <w:sz w:val="20"/>
                </w:rPr>
                <w:t xml:space="preserve">Report of Independent Registered Public Accounting Firm (PCAOB ID# </w:t>
              </w:r>
            </w:hyperlink>
            <w:hyperlink w:anchor="ggg_001">
              <w:bookmarkStart w:id="83" w:name="xdx_900_edei--AuditorFirmId_c20250101__2"/>
              <w:bookmarkEnd w:id="83"/>
              <w:r>
                <w:rPr>
                  <w:rStyle w:val="InternetLink"/>
                  <w:rFonts w:ascii="Times New Roman;Times;Serif" w:hAnsi="Times New Roman;Times;Serif"/>
                  <w:b w:val="false"/>
                  <w:i w:val="false"/>
                  <w:caps w:val="false"/>
                  <w:smallCaps w:val="false"/>
                  <w:sz w:val="20"/>
                </w:rPr>
                <w:t>199)</w:t>
              </w:r>
            </w:hyperlink>
          </w:p>
        </w:tc>
        <w:tc>
          <w:tcPr>
            <w:tcW w:w="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005" w:type="dxa"/>
            <w:tcBorders/>
            <w:shd w:fill="FFFFFF" w:val="clear"/>
            <w:vAlign w:val="center"/>
          </w:tcPr>
          <w:p>
            <w:pPr>
              <w:pStyle w:val="TableContents"/>
              <w:bidi w:val="0"/>
              <w:spacing w:before="0" w:after="283"/>
              <w:jc w:val="left"/>
              <w:rPr/>
            </w:pPr>
            <w:hyperlink w:anchor="ggg_002">
              <w:r>
                <w:rPr>
                  <w:rStyle w:val="InternetLink"/>
                  <w:rFonts w:ascii="Times New Roman;Times;Serif" w:hAnsi="Times New Roman;Times;Serif"/>
                  <w:b w:val="false"/>
                  <w:i w:val="false"/>
                  <w:caps w:val="false"/>
                  <w:smallCaps w:val="false"/>
                  <w:sz w:val="20"/>
                </w:rPr>
                <w:t xml:space="preserve">Report of Independent Registered Public Accounting Firm (PCAOB ID# </w:t>
              </w:r>
            </w:hyperlink>
            <w:hyperlink w:anchor="ggg_002">
              <w:bookmarkStart w:id="84" w:name="xdx_902_edei--AuditorFirmId_c20240101__2"/>
              <w:bookmarkEnd w:id="84"/>
              <w:r>
                <w:rPr>
                  <w:rStyle w:val="InternetLink"/>
                  <w:rFonts w:ascii="Times New Roman;Times;Serif" w:hAnsi="Times New Roman;Times;Serif"/>
                  <w:b w:val="false"/>
                  <w:i w:val="false"/>
                  <w:caps w:val="false"/>
                  <w:smallCaps w:val="false"/>
                  <w:sz w:val="20"/>
                </w:rPr>
                <w:t>688)</w:t>
              </w:r>
            </w:hyperlink>
          </w:p>
        </w:tc>
        <w:tc>
          <w:tcPr>
            <w:tcW w:w="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005" w:type="dxa"/>
            <w:tcBorders/>
            <w:shd w:fill="CCEEFF" w:val="clear"/>
            <w:vAlign w:val="center"/>
          </w:tcPr>
          <w:p>
            <w:pPr>
              <w:pStyle w:val="TableContents"/>
              <w:bidi w:val="0"/>
              <w:spacing w:before="0" w:after="283"/>
              <w:jc w:val="left"/>
              <w:rPr/>
            </w:pPr>
            <w:hyperlink w:anchor="findr_003">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005" w:type="dxa"/>
            <w:tcBorders/>
            <w:shd w:fill="FFFFFF" w:val="clear"/>
            <w:vAlign w:val="center"/>
          </w:tcPr>
          <w:p>
            <w:pPr>
              <w:pStyle w:val="TableContents"/>
              <w:bidi w:val="0"/>
              <w:spacing w:before="0" w:after="283"/>
              <w:jc w:val="left"/>
              <w:rPr/>
            </w:pPr>
            <w:hyperlink w:anchor="findr_004">
              <w:r>
                <w:rPr>
                  <w:rStyle w:val="InternetLink"/>
                  <w:rFonts w:ascii="Times New Roman;Times;Serif" w:hAnsi="Times New Roman;Times;Serif"/>
                  <w:b w:val="false"/>
                  <w:i w:val="false"/>
                  <w:caps w:val="false"/>
                  <w:smallCaps w:val="false"/>
                  <w:sz w:val="20"/>
                </w:rPr>
                <w:t>Consolidated Statements of Operations for the years ended December 31, 2025 and 2024</w:t>
              </w:r>
            </w:hyperlink>
          </w:p>
        </w:tc>
        <w:tc>
          <w:tcPr>
            <w:tcW w:w="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005" w:type="dxa"/>
            <w:tcBorders/>
            <w:shd w:fill="CCEEFF" w:val="clear"/>
            <w:vAlign w:val="center"/>
          </w:tcPr>
          <w:p>
            <w:pPr>
              <w:pStyle w:val="TableContents"/>
              <w:bidi w:val="0"/>
              <w:spacing w:before="0" w:after="283"/>
              <w:jc w:val="left"/>
              <w:rPr/>
            </w:pPr>
            <w:hyperlink w:anchor="findr_005">
              <w:r>
                <w:rPr>
                  <w:rStyle w:val="InternetLink"/>
                  <w:rFonts w:ascii="Times New Roman;Times;Serif" w:hAnsi="Times New Roman;Times;Serif"/>
                  <w:b w:val="false"/>
                  <w:i w:val="false"/>
                  <w:caps w:val="false"/>
                  <w:smallCaps w:val="false"/>
                  <w:sz w:val="20"/>
                </w:rPr>
                <w:t>Consolidated Statements of Changes in Stockholders’ Equity for the years ended December 31, 2025 and 2024</w:t>
              </w:r>
            </w:hyperlink>
          </w:p>
        </w:tc>
        <w:tc>
          <w:tcPr>
            <w:tcW w:w="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005" w:type="dxa"/>
            <w:tcBorders/>
            <w:shd w:fill="FFFFFF" w:val="clear"/>
            <w:vAlign w:val="center"/>
          </w:tcPr>
          <w:p>
            <w:pPr>
              <w:pStyle w:val="TableContents"/>
              <w:bidi w:val="0"/>
              <w:spacing w:before="0" w:after="283"/>
              <w:jc w:val="left"/>
              <w:rPr/>
            </w:pPr>
            <w:hyperlink w:anchor="findr_006">
              <w:r>
                <w:rPr>
                  <w:rStyle w:val="InternetLink"/>
                  <w:rFonts w:ascii="Times New Roman;Times;Serif" w:hAnsi="Times New Roman;Times;Serif"/>
                  <w:b w:val="false"/>
                  <w:i w:val="false"/>
                  <w:caps w:val="false"/>
                  <w:smallCaps w:val="false"/>
                  <w:sz w:val="20"/>
                </w:rPr>
                <w:t>Statements of Cash Flows for the years ended December 31, 2025 and 2024</w:t>
              </w:r>
            </w:hyperlink>
          </w:p>
        </w:tc>
        <w:tc>
          <w:tcPr>
            <w:tcW w:w="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9005" w:type="dxa"/>
            <w:tcBorders/>
            <w:shd w:fill="CCEEFF" w:val="clear"/>
            <w:vAlign w:val="center"/>
          </w:tcPr>
          <w:p>
            <w:pPr>
              <w:pStyle w:val="TableContents"/>
              <w:bidi w:val="0"/>
              <w:spacing w:before="0" w:after="283"/>
              <w:jc w:val="left"/>
              <w:rPr/>
            </w:pPr>
            <w:hyperlink w:anchor="findr_007">
              <w:r>
                <w:rPr>
                  <w:rStyle w:val="InternetLink"/>
                  <w:rFonts w:ascii="Times New Roman;Times;Serif" w:hAnsi="Times New Roman;Times;Serif"/>
                  <w:b w:val="false"/>
                  <w:i w:val="false"/>
                  <w:caps w:val="false"/>
                  <w:smallCaps w:val="false"/>
                  <w:sz w:val="20"/>
                </w:rPr>
                <w:t>Notes to Consolidated Financial Statements</w:t>
              </w:r>
            </w:hyperlink>
          </w:p>
        </w:tc>
        <w:tc>
          <w:tcPr>
            <w:tcW w:w="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5" w:name="ggg_001"/>
      <w:bookmarkEnd w:id="85"/>
      <w:r>
        <w:rPr>
          <w:rFonts w:ascii="Times New Roman;Times;Serif" w:hAnsi="Times New Roman;Times;Serif"/>
          <w:b/>
          <w:i w:val="false"/>
          <w:caps/>
          <w:sz w:val="20"/>
        </w:rPr>
        <w:t>Dragonfly Energy Holdings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6" w:name="xdx_987_edei--AuditorOpinionTextBlock_c2"/>
      <w:bookmarkEnd w:id="86"/>
      <w:r>
        <w:rPr>
          <w:rFonts w:ascii="Times New Roman;Times;Serif" w:hAnsi="Times New Roman;Times;Serif"/>
          <w:b w:val="false"/>
          <w:i w:val="false"/>
          <w:caps w:val="false"/>
          <w:smallCaps w:val="false"/>
          <w:sz w:val="20"/>
        </w:rPr>
        <w:t>We have audited the accompanying consolidated balance sheet of Dragonfly Energy Holdings Corp. (the “Company”) as of December 31, 2025, the related consolidated statements of operations, stockholders’ equity and cash flows for the year ended December 31, 2025, and the related notes (collectively referred to as the “financial statements”). In our opinion, based on our audit,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CBIZ CPAs P.C.</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7" w:name="xdx_906_edei--AuditorName_c20250101__202"/>
      <w:bookmarkEnd w:id="87"/>
      <w:r>
        <w:rPr>
          <w:rFonts w:ascii="Times New Roman;Times;Serif" w:hAnsi="Times New Roman;Times;Serif"/>
          <w:b w:val="false"/>
          <w:i w:val="false"/>
          <w:caps w:val="false"/>
          <w:smallCaps w:val="false"/>
          <w:sz w:val="20"/>
        </w:rPr>
        <w:t>CBIZ CPAs P.C.</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served as the Company’s auditor since 2023 (such date takes into account the acquisition of the attest business of Marcum </w:t>
      </w:r>
      <w:r>
        <w:rPr>
          <w:rFonts w:ascii="Times New Roman;Times;Serif" w:hAnsi="Times New Roman;Times;Serif"/>
          <w:b w:val="false"/>
          <w:i w:val="false"/>
          <w:smallCaps/>
          <w:sz w:val="20"/>
        </w:rPr>
        <w:t>llp</w:t>
      </w:r>
      <w:r>
        <w:rPr>
          <w:rFonts w:ascii="Times New Roman;Times;Serif" w:hAnsi="Times New Roman;Times;Serif"/>
          <w:b w:val="false"/>
          <w:i w:val="false"/>
          <w:caps w:val="false"/>
          <w:smallCaps w:val="false"/>
          <w:sz w:val="20"/>
        </w:rPr>
        <w:t xml:space="preserve"> by CBIZ CPAs P.C. effective November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88" w:name="xdx_90A_edei--AuditorLocation_c20250101_"/>
      <w:bookmarkEnd w:id="88"/>
      <w:r>
        <w:rPr>
          <w:rFonts w:ascii="Times New Roman;Times;Serif" w:hAnsi="Times New Roman;Times;Serif"/>
          <w:b w:val="false"/>
          <w:i w:val="false"/>
          <w:caps w:val="false"/>
          <w:smallCaps w:val="false"/>
          <w:sz w:val="20"/>
        </w:rPr>
        <w:t>New York, NY</w:t>
        <w:br/>
        <w:t>March 30, 2026</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89" w:name="ggg_002"/>
      <w:bookmarkEnd w:id="89"/>
      <w:r>
        <w:rPr>
          <w:rFonts w:ascii="Times New Roman;Times;Serif" w:hAnsi="Times New Roman;Times;Serif"/>
          <w:b/>
          <w:i w:val="false"/>
          <w:caps/>
          <w:sz w:val="20"/>
        </w:rPr>
        <w:t>Dragonfly Energy Holdings Corp.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Dragonfly Energy Holdings Corp. (the “Company”) as of December 31, 2024, the related consolidated statements of operations, stockholders’ equity and cash flows for the year ended December 31, 2024, and the related notes (collectively referred to as the “financial statements”). In our opinion, based on our audit,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w:t>
      </w:r>
      <w:r>
        <w:rPr>
          <w:rFonts w:ascii="Times New Roman;Times;Serif" w:hAnsi="Times New Roman;Times;Serif"/>
          <w:b w:val="false"/>
          <w:i w:val="false"/>
          <w:smallCaps/>
          <w:sz w:val="20"/>
        </w:rPr>
        <w:t>llp</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0" w:name="xdx_905_edei--AuditorName_c20240101__202"/>
      <w:bookmarkEnd w:id="90"/>
      <w:r>
        <w:rPr>
          <w:rFonts w:ascii="Times New Roman;Times;Serif" w:hAnsi="Times New Roman;Times;Serif"/>
          <w:b w:val="false"/>
          <w:i w:val="false"/>
          <w:caps w:val="false"/>
          <w:smallCaps w:val="false"/>
          <w:sz w:val="20"/>
        </w:rPr>
        <w:t>Marcum LLP</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from 2023 to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1" w:name="xdx_909_edei--AuditorLocation_c20240101_"/>
      <w:bookmarkEnd w:id="91"/>
      <w:r>
        <w:rPr>
          <w:rFonts w:ascii="Times New Roman;Times;Serif" w:hAnsi="Times New Roman;Times;Serif"/>
          <w:b w:val="false"/>
          <w:i w:val="false"/>
          <w:caps w:val="false"/>
          <w:smallCaps w:val="false"/>
          <w:sz w:val="20"/>
        </w:rPr>
        <w:t>New York, NY</w:t>
        <w:br/>
        <w:t>March 31, 2025, except for the effect of the reverse stock split described in Note 1, as to which the date is March 30, 2026  </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92" w:name="findr_003"/>
      <w:bookmarkEnd w:id="92"/>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Consolidated Balance Sheets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3" w:name="xdx_303_111_pn3n3_zF63Myfcg5Dg"/>
      <w:bookmarkStart w:id="94" w:name="xdx_303_111_pn3n3_zF63Myfcg5Dg"/>
      <w:bookmarkEnd w:id="94"/>
    </w:p>
    <w:tbl>
      <w:tblPr>
        <w:tblW w:w="10205" w:type="dxa"/>
        <w:jc w:val="left"/>
        <w:tblInd w:w="0" w:type="dxa"/>
        <w:tblLayout w:type="fixed"/>
        <w:tblCellMar>
          <w:top w:w="0" w:type="dxa"/>
          <w:left w:w="0" w:type="dxa"/>
          <w:bottom w:w="0" w:type="dxa"/>
          <w:right w:w="0" w:type="dxa"/>
        </w:tblCellMar>
      </w:tblPr>
      <w:tblGrid>
        <w:gridCol w:w="7970"/>
        <w:gridCol w:w="60"/>
        <w:gridCol w:w="140"/>
        <w:gridCol w:w="875"/>
        <w:gridCol w:w="95"/>
        <w:gridCol w:w="60"/>
        <w:gridCol w:w="140"/>
        <w:gridCol w:w="755"/>
        <w:gridCol w:w="110"/>
      </w:tblGrid>
      <w:tr>
        <w:trPr/>
        <w:tc>
          <w:tcPr>
            <w:tcW w:w="7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5" w:name="xdx_49F_20251231_zkozoHf4eU3h"/>
            <w:bookmarkEnd w:id="95"/>
          </w:p>
        </w:tc>
        <w:tc>
          <w:tcPr>
            <w:tcW w:w="101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6" w:name="xdx_491_20241231_z6CZbLBohUm6"/>
            <w:bookmarkEnd w:id="96"/>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p>
        </w:tc>
      </w:tr>
      <w:tr>
        <w:trPr/>
        <w:tc>
          <w:tcPr>
            <w:tcW w:w="7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97" w:name="xdx_404_eus-gaap--AssetsCurrentAbstract_"/>
            <w:bookmarkEnd w:id="97"/>
          </w:p>
        </w:tc>
      </w:tr>
      <w:tr>
        <w:trPr/>
        <w:tc>
          <w:tcPr>
            <w:tcW w:w="7970"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8" w:name="xdx_40B_eus-gaap--CashAndCashEquivalents"/>
            <w:bookmarkEnd w:id="98"/>
          </w:p>
        </w:tc>
      </w:tr>
      <w:tr>
        <w:trPr/>
        <w:tc>
          <w:tcPr>
            <w:tcW w:w="797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18,270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4,849</w:t>
            </w:r>
          </w:p>
        </w:tc>
        <w:tc>
          <w:tcPr>
            <w:tcW w:w="110" w:type="dxa"/>
            <w:tcBorders/>
            <w:shd w:fill="FFFFFF" w:val="clear"/>
            <w:vAlign w:val="center"/>
          </w:tcPr>
          <w:p>
            <w:pPr>
              <w:pStyle w:val="TableContents"/>
              <w:bidi w:val="0"/>
              <w:spacing w:before="0" w:after="283"/>
              <w:jc w:val="left"/>
              <w:rPr/>
            </w:pPr>
            <w:r>
              <w:rPr/>
              <w:t> </w:t>
            </w:r>
            <w:bookmarkStart w:id="99" w:name="xdx_406_eus-gaap--AccountsReceivableNetC"/>
            <w:bookmarkEnd w:id="99"/>
          </w:p>
        </w:tc>
      </w:tr>
      <w:tr>
        <w:trPr/>
        <w:tc>
          <w:tcPr>
            <w:tcW w:w="7970" w:type="dxa"/>
            <w:tcBorders/>
            <w:shd w:fill="CCEEFF" w:val="clear"/>
            <w:vAlign w:val="center"/>
          </w:tcPr>
          <w:p>
            <w:pPr>
              <w:pStyle w:val="TableContents"/>
              <w:bidi w:val="0"/>
              <w:spacing w:before="0" w:after="283"/>
              <w:jc w:val="left"/>
              <w:rPr/>
            </w:pPr>
            <w:r>
              <w:rPr/>
              <w:t>Accounts receivable, net of allowance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2,416</w:t>
            </w:r>
          </w:p>
        </w:tc>
        <w:tc>
          <w:tcPr>
            <w:tcW w:w="110" w:type="dxa"/>
            <w:tcBorders/>
            <w:shd w:fill="CCEEFF" w:val="clear"/>
            <w:vAlign w:val="center"/>
          </w:tcPr>
          <w:p>
            <w:pPr>
              <w:pStyle w:val="TableContents"/>
              <w:bidi w:val="0"/>
              <w:spacing w:before="0" w:after="283"/>
              <w:jc w:val="left"/>
              <w:rPr/>
            </w:pPr>
            <w:r>
              <w:rPr/>
              <w:t> </w:t>
            </w:r>
            <w:bookmarkStart w:id="100" w:name="xdx_408_eus-gaap--InventoryNet_i01I_maAC"/>
            <w:bookmarkEnd w:id="100"/>
          </w:p>
        </w:tc>
      </w:tr>
      <w:tr>
        <w:trPr/>
        <w:tc>
          <w:tcPr>
            <w:tcW w:w="797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24,234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21,716</w:t>
            </w:r>
          </w:p>
        </w:tc>
        <w:tc>
          <w:tcPr>
            <w:tcW w:w="110" w:type="dxa"/>
            <w:tcBorders/>
            <w:shd w:fill="FFFFFF" w:val="clear"/>
            <w:vAlign w:val="center"/>
          </w:tcPr>
          <w:p>
            <w:pPr>
              <w:pStyle w:val="TableContents"/>
              <w:bidi w:val="0"/>
              <w:spacing w:before="0" w:after="283"/>
              <w:jc w:val="left"/>
              <w:rPr/>
            </w:pPr>
            <w:r>
              <w:rPr/>
              <w:t> </w:t>
            </w:r>
            <w:bookmarkStart w:id="101" w:name="xdx_400_ecustom--PrepaidExpenseOtherThan"/>
            <w:bookmarkEnd w:id="101"/>
          </w:p>
        </w:tc>
      </w:tr>
      <w:tr>
        <w:trPr/>
        <w:tc>
          <w:tcPr>
            <w:tcW w:w="797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806</w:t>
            </w:r>
          </w:p>
        </w:tc>
        <w:tc>
          <w:tcPr>
            <w:tcW w:w="110" w:type="dxa"/>
            <w:tcBorders/>
            <w:shd w:fill="CCEEFF" w:val="clear"/>
            <w:vAlign w:val="center"/>
          </w:tcPr>
          <w:p>
            <w:pPr>
              <w:pStyle w:val="TableContents"/>
              <w:bidi w:val="0"/>
              <w:spacing w:before="0" w:after="283"/>
              <w:jc w:val="left"/>
              <w:rPr/>
            </w:pPr>
            <w:r>
              <w:rPr/>
              <w:t> </w:t>
            </w:r>
            <w:bookmarkStart w:id="102" w:name="xdx_40C_eus-gaap--Supplies_i01I_maACzNqj"/>
            <w:bookmarkEnd w:id="102"/>
          </w:p>
        </w:tc>
      </w:tr>
      <w:tr>
        <w:trPr/>
        <w:tc>
          <w:tcPr>
            <w:tcW w:w="7970"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1,362</w:t>
            </w:r>
          </w:p>
        </w:tc>
        <w:tc>
          <w:tcPr>
            <w:tcW w:w="110" w:type="dxa"/>
            <w:tcBorders/>
            <w:shd w:fill="FFFFFF" w:val="clear"/>
            <w:vAlign w:val="center"/>
          </w:tcPr>
          <w:p>
            <w:pPr>
              <w:pStyle w:val="TableContents"/>
              <w:bidi w:val="0"/>
              <w:spacing w:before="0" w:after="283"/>
              <w:jc w:val="left"/>
              <w:rPr/>
            </w:pPr>
            <w:r>
              <w:rPr/>
              <w:t> </w:t>
            </w:r>
            <w:bookmarkStart w:id="103" w:name="xdx_40E_eus-gaap--PrepaidTaxes_i01I_maAC"/>
            <w:bookmarkEnd w:id="103"/>
          </w:p>
        </w:tc>
      </w:tr>
      <w:tr>
        <w:trPr/>
        <w:tc>
          <w:tcPr>
            <w:tcW w:w="7970" w:type="dxa"/>
            <w:tcBorders/>
            <w:shd w:fill="CCEEFF" w:val="clear"/>
            <w:vAlign w:val="center"/>
          </w:tcPr>
          <w:p>
            <w:pPr>
              <w:pStyle w:val="TableContents"/>
              <w:bidi w:val="0"/>
              <w:spacing w:before="0" w:after="283"/>
              <w:jc w:val="left"/>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307</w:t>
            </w:r>
          </w:p>
        </w:tc>
        <w:tc>
          <w:tcPr>
            <w:tcW w:w="110" w:type="dxa"/>
            <w:tcBorders/>
            <w:shd w:fill="CCEEFF" w:val="clear"/>
            <w:vAlign w:val="center"/>
          </w:tcPr>
          <w:p>
            <w:pPr>
              <w:pStyle w:val="TableContents"/>
              <w:bidi w:val="0"/>
              <w:spacing w:before="0" w:after="283"/>
              <w:jc w:val="left"/>
              <w:rPr/>
            </w:pPr>
            <w:r>
              <w:rPr/>
              <w:t> </w:t>
            </w:r>
            <w:bookmarkStart w:id="104" w:name="xdx_40A_eus-gaap--AssetsHeldForSaleNotPa"/>
            <w:bookmarkEnd w:id="104"/>
          </w:p>
        </w:tc>
      </w:tr>
      <w:tr>
        <w:trPr/>
        <w:tc>
          <w:tcPr>
            <w:tcW w:w="7970" w:type="dxa"/>
            <w:tcBorders/>
            <w:shd w:fill="FFFFFF" w:val="clear"/>
            <w:vAlign w:val="center"/>
          </w:tcPr>
          <w:p>
            <w:pPr>
              <w:pStyle w:val="TableContents"/>
              <w:bidi w:val="0"/>
              <w:spacing w:before="0" w:after="283"/>
              <w:jc w:val="left"/>
              <w:rPr/>
            </w:pPr>
            <w:r>
              <w:rPr/>
              <w:t>Assets held for sale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644</w:t>
            </w:r>
          </w:p>
        </w:tc>
        <w:tc>
          <w:tcPr>
            <w:tcW w:w="110" w:type="dxa"/>
            <w:tcBorders/>
            <w:shd w:fill="FFFFFF" w:val="clear"/>
            <w:vAlign w:val="center"/>
          </w:tcPr>
          <w:p>
            <w:pPr>
              <w:pStyle w:val="TableContents"/>
              <w:bidi w:val="0"/>
              <w:spacing w:before="0" w:after="283"/>
              <w:jc w:val="left"/>
              <w:rPr/>
            </w:pPr>
            <w:r>
              <w:rPr/>
              <w:t> </w:t>
            </w:r>
            <w:bookmarkStart w:id="105" w:name="xdx_409_eus-gaap--OtherAssetsCurrent_i01"/>
            <w:bookmarkEnd w:id="105"/>
          </w:p>
        </w:tc>
      </w:tr>
      <w:tr>
        <w:trPr/>
        <w:tc>
          <w:tcPr>
            <w:tcW w:w="7970"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825</w:t>
            </w:r>
          </w:p>
        </w:tc>
        <w:tc>
          <w:tcPr>
            <w:tcW w:w="110" w:type="dxa"/>
            <w:tcBorders/>
            <w:shd w:fill="CCEEFF" w:val="clear"/>
            <w:vAlign w:val="center"/>
          </w:tcPr>
          <w:p>
            <w:pPr>
              <w:pStyle w:val="TableContents"/>
              <w:bidi w:val="0"/>
              <w:spacing w:before="0" w:after="283"/>
              <w:jc w:val="left"/>
              <w:rPr/>
            </w:pPr>
            <w:r>
              <w:rPr/>
              <w:t> </w:t>
            </w:r>
            <w:bookmarkStart w:id="106" w:name="xdx_409_eus-gaap--AssetsCurrent_i01TI_mt"/>
            <w:bookmarkEnd w:id="106"/>
          </w:p>
        </w:tc>
      </w:tr>
      <w:tr>
        <w:trPr/>
        <w:tc>
          <w:tcPr>
            <w:tcW w:w="7970"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50,180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32,925</w:t>
            </w:r>
          </w:p>
        </w:tc>
        <w:tc>
          <w:tcPr>
            <w:tcW w:w="110" w:type="dxa"/>
            <w:tcBorders/>
            <w:shd w:fill="FFFFFF" w:val="clear"/>
            <w:vAlign w:val="center"/>
          </w:tcPr>
          <w:p>
            <w:pPr>
              <w:pStyle w:val="TableContents"/>
              <w:bidi w:val="0"/>
              <w:spacing w:before="0" w:after="283"/>
              <w:jc w:val="left"/>
              <w:rPr/>
            </w:pPr>
            <w:r>
              <w:rPr/>
              <w:t> </w:t>
            </w:r>
            <w:bookmarkStart w:id="107" w:name="xdx_40E_eus-gaap--PropertyPlantAndEquipm"/>
            <w:bookmarkEnd w:id="107"/>
          </w:p>
        </w:tc>
      </w:tr>
      <w:tr>
        <w:trPr/>
        <w:tc>
          <w:tcPr>
            <w:tcW w:w="7970" w:type="dxa"/>
            <w:tcBorders/>
            <w:shd w:fill="CCEEFF" w:val="clear"/>
            <w:vAlign w:val="center"/>
          </w:tcPr>
          <w:p>
            <w:pPr>
              <w:pStyle w:val="TableContents"/>
              <w:bidi w:val="0"/>
              <w:spacing w:before="0" w:after="283"/>
              <w:jc w:val="left"/>
              <w:rPr>
                <w:b/>
              </w:rPr>
            </w:pPr>
            <w:r>
              <w:rPr>
                <w:b/>
              </w:rPr>
              <w:t>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8" w:name="xdx_408_eus-gaap--MachineryAndEquipmentG"/>
            <w:bookmarkEnd w:id="108"/>
          </w:p>
        </w:tc>
      </w:tr>
      <w:tr>
        <w:trPr/>
        <w:tc>
          <w:tcPr>
            <w:tcW w:w="7970" w:type="dxa"/>
            <w:tcBorders/>
            <w:shd w:fill="FFFFFF" w:val="clear"/>
            <w:vAlign w:val="center"/>
          </w:tcPr>
          <w:p>
            <w:pPr>
              <w:pStyle w:val="TableContents"/>
              <w:bidi w:val="0"/>
              <w:spacing w:before="0" w:after="283"/>
              <w:jc w:val="left"/>
              <w:rPr/>
            </w:pPr>
            <w:r>
              <w:rPr/>
              <w:t>Machinery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17,794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16,778</w:t>
            </w:r>
          </w:p>
        </w:tc>
        <w:tc>
          <w:tcPr>
            <w:tcW w:w="110" w:type="dxa"/>
            <w:tcBorders/>
            <w:shd w:fill="FFFFFF" w:val="clear"/>
            <w:vAlign w:val="center"/>
          </w:tcPr>
          <w:p>
            <w:pPr>
              <w:pStyle w:val="TableContents"/>
              <w:bidi w:val="0"/>
              <w:spacing w:before="0" w:after="283"/>
              <w:jc w:val="left"/>
              <w:rPr/>
            </w:pPr>
            <w:r>
              <w:rPr/>
              <w:t> </w:t>
            </w:r>
            <w:bookmarkStart w:id="109" w:name="xdx_409_eus-gaap--FurnitureAndFixturesGr"/>
            <w:bookmarkEnd w:id="109"/>
          </w:p>
        </w:tc>
      </w:tr>
      <w:tr>
        <w:trPr/>
        <w:tc>
          <w:tcPr>
            <w:tcW w:w="7970" w:type="dxa"/>
            <w:tcBorders/>
            <w:shd w:fill="CCEEFF" w:val="clear"/>
            <w:vAlign w:val="center"/>
          </w:tcPr>
          <w:p>
            <w:pPr>
              <w:pStyle w:val="TableContents"/>
              <w:bidi w:val="0"/>
              <w:spacing w:before="0" w:after="283"/>
              <w:jc w:val="left"/>
              <w:rPr/>
            </w:pPr>
            <w:r>
              <w:rPr/>
              <w:t>Office furniture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355</w:t>
            </w:r>
          </w:p>
        </w:tc>
        <w:tc>
          <w:tcPr>
            <w:tcW w:w="110" w:type="dxa"/>
            <w:tcBorders/>
            <w:shd w:fill="CCEEFF" w:val="clear"/>
            <w:vAlign w:val="center"/>
          </w:tcPr>
          <w:p>
            <w:pPr>
              <w:pStyle w:val="TableContents"/>
              <w:bidi w:val="0"/>
              <w:spacing w:before="0" w:after="283"/>
              <w:jc w:val="left"/>
              <w:rPr/>
            </w:pPr>
            <w:r>
              <w:rPr/>
              <w:t> </w:t>
            </w:r>
            <w:bookmarkStart w:id="110" w:name="xdx_40D_eus-gaap--LeaseholdImprovementsG"/>
            <w:bookmarkEnd w:id="110"/>
          </w:p>
        </w:tc>
      </w:tr>
      <w:tr>
        <w:trPr/>
        <w:tc>
          <w:tcPr>
            <w:tcW w:w="7970"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9,103</w:t>
            </w:r>
          </w:p>
        </w:tc>
        <w:tc>
          <w:tcPr>
            <w:tcW w:w="110" w:type="dxa"/>
            <w:tcBorders/>
            <w:shd w:fill="FFFFFF" w:val="clear"/>
            <w:vAlign w:val="center"/>
          </w:tcPr>
          <w:p>
            <w:pPr>
              <w:pStyle w:val="TableContents"/>
              <w:bidi w:val="0"/>
              <w:spacing w:before="0" w:after="283"/>
              <w:jc w:val="left"/>
              <w:rPr/>
            </w:pPr>
            <w:r>
              <w:rPr/>
              <w:t> </w:t>
            </w:r>
            <w:bookmarkStart w:id="111" w:name="xdx_40E_ecustom--VehicleGross_i01I_maPPA"/>
            <w:bookmarkEnd w:id="111"/>
          </w:p>
        </w:tc>
      </w:tr>
      <w:tr>
        <w:trPr/>
        <w:tc>
          <w:tcPr>
            <w:tcW w:w="7970" w:type="dxa"/>
            <w:tcBorders/>
            <w:shd w:fill="CCEEFF" w:val="clear"/>
            <w:vAlign w:val="center"/>
          </w:tcPr>
          <w:p>
            <w:pPr>
              <w:pStyle w:val="TableContents"/>
              <w:bidi w:val="0"/>
              <w:spacing w:before="0" w:after="283"/>
              <w:jc w:val="left"/>
              <w:rPr/>
            </w:pPr>
            <w:r>
              <w:rPr/>
              <w:t>Vehicle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33</w:t>
            </w:r>
          </w:p>
        </w:tc>
        <w:tc>
          <w:tcPr>
            <w:tcW w:w="110" w:type="dxa"/>
            <w:tcBorders/>
            <w:shd w:fill="CCEEFF" w:val="clear"/>
            <w:vAlign w:val="center"/>
          </w:tcPr>
          <w:p>
            <w:pPr>
              <w:pStyle w:val="TableContents"/>
              <w:bidi w:val="0"/>
              <w:spacing w:before="0" w:after="283"/>
              <w:jc w:val="left"/>
              <w:rPr/>
            </w:pPr>
            <w:r>
              <w:rPr/>
              <w:t> </w:t>
            </w:r>
            <w:bookmarkStart w:id="112" w:name="xdx_400_eus-gaap--PropertyPlantAndEquipm"/>
            <w:bookmarkEnd w:id="112"/>
          </w:p>
        </w:tc>
      </w:tr>
      <w:tr>
        <w:trPr/>
        <w:tc>
          <w:tcPr>
            <w:tcW w:w="797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25,822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26,269</w:t>
            </w:r>
          </w:p>
        </w:tc>
        <w:tc>
          <w:tcPr>
            <w:tcW w:w="110" w:type="dxa"/>
            <w:tcBorders/>
            <w:shd w:fill="FFFFFF" w:val="clear"/>
            <w:vAlign w:val="center"/>
          </w:tcPr>
          <w:p>
            <w:pPr>
              <w:pStyle w:val="TableContents"/>
              <w:bidi w:val="0"/>
              <w:spacing w:before="0" w:after="283"/>
              <w:jc w:val="left"/>
              <w:rPr/>
            </w:pPr>
            <w:r>
              <w:rPr/>
              <w:t> </w:t>
            </w:r>
            <w:bookmarkStart w:id="113" w:name="xdx_406_eus-gaap--AccumulatedDepreciatio"/>
            <w:bookmarkEnd w:id="113"/>
          </w:p>
        </w:tc>
      </w:tr>
      <w:tr>
        <w:trPr/>
        <w:tc>
          <w:tcPr>
            <w:tcW w:w="7970" w:type="dxa"/>
            <w:tcBorders/>
            <w:shd w:fill="CCEEFF" w:val="clear"/>
            <w:vAlign w:val="center"/>
          </w:tcPr>
          <w:p>
            <w:pPr>
              <w:pStyle w:val="TableContents"/>
              <w:bidi w:val="0"/>
              <w:spacing w:before="0" w:after="283"/>
              <w:jc w:val="left"/>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(5,081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(4,162</w:t>
            </w:r>
          </w:p>
        </w:tc>
        <w:tc>
          <w:tcPr>
            <w:tcW w:w="110" w:type="dxa"/>
            <w:tcBorders/>
            <w:shd w:fill="CCEEFF" w:val="clear"/>
            <w:vAlign w:val="center"/>
          </w:tcPr>
          <w:p>
            <w:pPr>
              <w:pStyle w:val="TableContents"/>
              <w:bidi w:val="0"/>
              <w:spacing w:before="0" w:after="283"/>
              <w:jc w:val="left"/>
              <w:rPr/>
            </w:pPr>
            <w:r>
              <w:rPr/>
              <w:t>)</w:t>
            </w:r>
            <w:bookmarkStart w:id="114" w:name="xdx_407_eus-gaap--PropertyPlantAndEquipm"/>
            <w:bookmarkEnd w:id="114"/>
          </w:p>
        </w:tc>
      </w:tr>
      <w:tr>
        <w:trPr/>
        <w:tc>
          <w:tcPr>
            <w:tcW w:w="797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22,107</w:t>
            </w:r>
          </w:p>
        </w:tc>
        <w:tc>
          <w:tcPr>
            <w:tcW w:w="110" w:type="dxa"/>
            <w:tcBorders/>
            <w:shd w:fill="FFFFFF" w:val="clear"/>
            <w:vAlign w:val="center"/>
          </w:tcPr>
          <w:p>
            <w:pPr>
              <w:pStyle w:val="TableContents"/>
              <w:bidi w:val="0"/>
              <w:spacing w:before="0" w:after="283"/>
              <w:jc w:val="left"/>
              <w:rPr/>
            </w:pPr>
            <w:r>
              <w:rPr/>
              <w:t> </w:t>
            </w:r>
            <w:bookmarkStart w:id="115" w:name="xdx_409_eus-gaap--OperatingLeaseRightOfU"/>
            <w:bookmarkEnd w:id="115"/>
          </w:p>
        </w:tc>
      </w:tr>
      <w:tr>
        <w:trPr/>
        <w:tc>
          <w:tcPr>
            <w:tcW w:w="7970" w:type="dxa"/>
            <w:tcBorders/>
            <w:shd w:fill="CCEEFF" w:val="clear"/>
            <w:vAlign w:val="center"/>
          </w:tcPr>
          <w:p>
            <w:pPr>
              <w:pStyle w:val="TableContents"/>
              <w:bidi w:val="0"/>
              <w:spacing w:before="0" w:after="283"/>
              <w:jc w:val="left"/>
              <w:rPr/>
            </w:pPr>
            <w:r>
              <w:rPr/>
              <w:t>Operating lease right of use asset,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19,737</w:t>
            </w:r>
          </w:p>
        </w:tc>
        <w:tc>
          <w:tcPr>
            <w:tcW w:w="110" w:type="dxa"/>
            <w:tcBorders/>
            <w:shd w:fill="CCEEFF" w:val="clear"/>
            <w:vAlign w:val="center"/>
          </w:tcPr>
          <w:p>
            <w:pPr>
              <w:pStyle w:val="TableContents"/>
              <w:bidi w:val="0"/>
              <w:spacing w:before="0" w:after="283"/>
              <w:jc w:val="left"/>
              <w:rPr/>
            </w:pPr>
            <w:r>
              <w:rPr/>
              <w:t> </w:t>
            </w:r>
            <w:bookmarkStart w:id="116" w:name="xdx_405_eus-gaap--OtherAssetsNoncurrent_"/>
            <w:bookmarkEnd w:id="116"/>
          </w:p>
        </w:tc>
      </w:tr>
      <w:tr>
        <w:trPr/>
        <w:tc>
          <w:tcPr>
            <w:tcW w:w="797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445</w:t>
            </w:r>
          </w:p>
        </w:tc>
        <w:tc>
          <w:tcPr>
            <w:tcW w:w="110" w:type="dxa"/>
            <w:tcBorders/>
            <w:shd w:fill="FFFFFF" w:val="clear"/>
            <w:vAlign w:val="center"/>
          </w:tcPr>
          <w:p>
            <w:pPr>
              <w:pStyle w:val="TableContents"/>
              <w:bidi w:val="0"/>
              <w:spacing w:before="0" w:after="283"/>
              <w:jc w:val="left"/>
              <w:rPr/>
            </w:pPr>
            <w:r>
              <w:rPr/>
              <w:t> </w:t>
            </w:r>
            <w:bookmarkStart w:id="117" w:name="xdx_40F_eus-gaap--Assets_iTI_mtAzvhT_zEJ"/>
            <w:bookmarkEnd w:id="117"/>
          </w:p>
        </w:tc>
      </w:tr>
      <w:tr>
        <w:trPr/>
        <w:tc>
          <w:tcPr>
            <w:tcW w:w="797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86,549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75,214</w:t>
            </w:r>
          </w:p>
        </w:tc>
        <w:tc>
          <w:tcPr>
            <w:tcW w:w="110" w:type="dxa"/>
            <w:tcBorders/>
            <w:shd w:fill="CCEEFF" w:val="clear"/>
            <w:vAlign w:val="center"/>
          </w:tcPr>
          <w:p>
            <w:pPr>
              <w:pStyle w:val="TableContents"/>
              <w:bidi w:val="0"/>
              <w:spacing w:before="0" w:after="283"/>
              <w:jc w:val="left"/>
              <w:rPr/>
            </w:pPr>
            <w:r>
              <w:rPr/>
              <w:t> </w:t>
            </w:r>
            <w:bookmarkStart w:id="118" w:name="xdx_40E_eus-gaap--LiabilitiesCurrentAbst"/>
            <w:bookmarkEnd w:id="118"/>
          </w:p>
        </w:tc>
      </w:tr>
      <w:tr>
        <w:trPr/>
        <w:tc>
          <w:tcPr>
            <w:tcW w:w="7970"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9" w:name="xdx_40E_eus-gaap--AccountsPayableCurrent"/>
            <w:bookmarkEnd w:id="119"/>
          </w:p>
        </w:tc>
      </w:tr>
      <w:tr>
        <w:trPr/>
        <w:tc>
          <w:tcPr>
            <w:tcW w:w="797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10,322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10,716</w:t>
            </w:r>
          </w:p>
        </w:tc>
        <w:tc>
          <w:tcPr>
            <w:tcW w:w="110" w:type="dxa"/>
            <w:tcBorders/>
            <w:shd w:fill="CCEEFF" w:val="clear"/>
            <w:vAlign w:val="center"/>
          </w:tcPr>
          <w:p>
            <w:pPr>
              <w:pStyle w:val="TableContents"/>
              <w:bidi w:val="0"/>
              <w:spacing w:before="0" w:after="283"/>
              <w:jc w:val="left"/>
              <w:rPr/>
            </w:pPr>
            <w:r>
              <w:rPr/>
              <w:t> </w:t>
            </w:r>
            <w:bookmarkStart w:id="120" w:name="xdx_40D_eus-gaap--EmployeeRelatedLiabili"/>
            <w:bookmarkEnd w:id="120"/>
          </w:p>
        </w:tc>
      </w:tr>
      <w:tr>
        <w:trPr/>
        <w:tc>
          <w:tcPr>
            <w:tcW w:w="7970" w:type="dxa"/>
            <w:tcBorders/>
            <w:shd w:fill="FFFFFF" w:val="clear"/>
            <w:vAlign w:val="center"/>
          </w:tcPr>
          <w:p>
            <w:pPr>
              <w:pStyle w:val="TableContents"/>
              <w:bidi w:val="0"/>
              <w:spacing w:before="0" w:after="283"/>
              <w:jc w:val="left"/>
              <w:rPr/>
            </w:pPr>
            <w:r>
              <w:rPr/>
              <w:t>Accrued payroll and 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4,053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4,129</w:t>
            </w:r>
          </w:p>
        </w:tc>
        <w:tc>
          <w:tcPr>
            <w:tcW w:w="110" w:type="dxa"/>
            <w:tcBorders/>
            <w:shd w:fill="FFFFFF" w:val="clear"/>
            <w:vAlign w:val="center"/>
          </w:tcPr>
          <w:p>
            <w:pPr>
              <w:pStyle w:val="TableContents"/>
              <w:bidi w:val="0"/>
              <w:spacing w:before="0" w:after="283"/>
              <w:jc w:val="left"/>
              <w:rPr/>
            </w:pPr>
            <w:r>
              <w:rPr/>
              <w:t> </w:t>
            </w:r>
            <w:bookmarkStart w:id="121" w:name="xdx_405_eus-gaap--OtherAccruedLiabilitie"/>
            <w:bookmarkEnd w:id="121"/>
          </w:p>
        </w:tc>
      </w:tr>
      <w:tr>
        <w:trPr/>
        <w:tc>
          <w:tcPr>
            <w:tcW w:w="7970" w:type="dxa"/>
            <w:tcBorders/>
            <w:shd w:fill="CCEEFF" w:val="clear"/>
            <w:vAlign w:val="center"/>
          </w:tcPr>
          <w:p>
            <w:pPr>
              <w:pStyle w:val="TableContents"/>
              <w:bidi w:val="0"/>
              <w:spacing w:before="0" w:after="283"/>
              <w:jc w:val="left"/>
              <w:rPr/>
            </w:pPr>
            <w:r>
              <w:rPr/>
              <w:t>Accrued tariffs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1,915</w:t>
            </w:r>
          </w:p>
        </w:tc>
        <w:tc>
          <w:tcPr>
            <w:tcW w:w="110" w:type="dxa"/>
            <w:tcBorders/>
            <w:shd w:fill="CCEEFF" w:val="clear"/>
            <w:vAlign w:val="center"/>
          </w:tcPr>
          <w:p>
            <w:pPr>
              <w:pStyle w:val="TableContents"/>
              <w:bidi w:val="0"/>
              <w:spacing w:before="0" w:after="283"/>
              <w:jc w:val="left"/>
              <w:rPr/>
            </w:pPr>
            <w:r>
              <w:rPr/>
              <w:t> </w:t>
            </w:r>
            <w:bookmarkStart w:id="122" w:name="xdx_400_eus-gaap--SettlementLiabilitiesC"/>
            <w:bookmarkEnd w:id="122"/>
          </w:p>
        </w:tc>
      </w:tr>
      <w:tr>
        <w:trPr/>
        <w:tc>
          <w:tcPr>
            <w:tcW w:w="7970" w:type="dxa"/>
            <w:tcBorders/>
            <w:shd w:fill="FFFFFF" w:val="clear"/>
            <w:vAlign w:val="center"/>
          </w:tcPr>
          <w:p>
            <w:pPr>
              <w:pStyle w:val="TableContents"/>
              <w:bidi w:val="0"/>
              <w:spacing w:before="0" w:after="283"/>
              <w:jc w:val="left"/>
              <w:rPr/>
            </w:pPr>
            <w:r>
              <w:rPr/>
              <w:t>Accrued settlement,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750</w:t>
            </w:r>
          </w:p>
        </w:tc>
        <w:tc>
          <w:tcPr>
            <w:tcW w:w="110" w:type="dxa"/>
            <w:tcBorders/>
            <w:shd w:fill="FFFFFF" w:val="clear"/>
            <w:vAlign w:val="center"/>
          </w:tcPr>
          <w:p>
            <w:pPr>
              <w:pStyle w:val="TableContents"/>
              <w:bidi w:val="0"/>
              <w:spacing w:before="0" w:after="283"/>
              <w:jc w:val="left"/>
              <w:rPr/>
            </w:pPr>
            <w:r>
              <w:rPr/>
              <w:t> </w:t>
            </w:r>
            <w:bookmarkStart w:id="123" w:name="xdx_403_eus-gaap--ContractWithCustomerLi"/>
            <w:bookmarkEnd w:id="123"/>
          </w:p>
        </w:tc>
      </w:tr>
      <w:tr>
        <w:trPr/>
        <w:tc>
          <w:tcPr>
            <w:tcW w:w="7970"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317</w:t>
            </w:r>
          </w:p>
        </w:tc>
        <w:tc>
          <w:tcPr>
            <w:tcW w:w="110" w:type="dxa"/>
            <w:tcBorders/>
            <w:shd w:fill="CCEEFF" w:val="clear"/>
            <w:vAlign w:val="center"/>
          </w:tcPr>
          <w:p>
            <w:pPr>
              <w:pStyle w:val="TableContents"/>
              <w:bidi w:val="0"/>
              <w:spacing w:before="0" w:after="283"/>
              <w:jc w:val="left"/>
              <w:rPr/>
            </w:pPr>
            <w:r>
              <w:rPr/>
              <w:t> </w:t>
            </w:r>
            <w:bookmarkStart w:id="124" w:name="xdx_40D_eus-gaap--DeferredIncomeCurrent_"/>
            <w:bookmarkEnd w:id="124"/>
          </w:p>
        </w:tc>
      </w:tr>
      <w:tr>
        <w:trPr/>
        <w:tc>
          <w:tcPr>
            <w:tcW w:w="7970" w:type="dxa"/>
            <w:tcBorders/>
            <w:shd w:fill="FFFFFF" w:val="clear"/>
            <w:vAlign w:val="center"/>
          </w:tcPr>
          <w:p>
            <w:pPr>
              <w:pStyle w:val="TableContents"/>
              <w:bidi w:val="0"/>
              <w:spacing w:before="0" w:after="283"/>
              <w:jc w:val="left"/>
              <w:rPr/>
            </w:pPr>
            <w:r>
              <w:rPr/>
              <w:t>Deferred revenue,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bookmarkStart w:id="125" w:name="xdx_405_eus-gaap--AccrualForTaxesOtherTh"/>
            <w:bookmarkEnd w:id="125"/>
          </w:p>
        </w:tc>
      </w:tr>
      <w:tr>
        <w:trPr/>
        <w:tc>
          <w:tcPr>
            <w:tcW w:w="7970" w:type="dxa"/>
            <w:tcBorders/>
            <w:shd w:fill="CCEEFF" w:val="clear"/>
            <w:vAlign w:val="center"/>
          </w:tcPr>
          <w:p>
            <w:pPr>
              <w:pStyle w:val="TableContents"/>
              <w:bidi w:val="0"/>
              <w:spacing w:before="0" w:after="283"/>
              <w:jc w:val="left"/>
              <w:rPr/>
            </w:pPr>
            <w:r>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w:t>
            </w:r>
          </w:p>
        </w:tc>
        <w:tc>
          <w:tcPr>
            <w:tcW w:w="110" w:type="dxa"/>
            <w:tcBorders/>
            <w:shd w:fill="CCEEFF" w:val="clear"/>
            <w:vAlign w:val="center"/>
          </w:tcPr>
          <w:p>
            <w:pPr>
              <w:pStyle w:val="TableContents"/>
              <w:bidi w:val="0"/>
              <w:spacing w:before="0" w:after="283"/>
              <w:jc w:val="left"/>
              <w:rPr/>
            </w:pPr>
            <w:r>
              <w:rPr/>
              <w:t> </w:t>
            </w:r>
            <w:bookmarkStart w:id="126" w:name="xdx_40A_eus-gaap--DividendsPayableCurren"/>
            <w:bookmarkEnd w:id="126"/>
          </w:p>
        </w:tc>
      </w:tr>
      <w:tr>
        <w:trPr/>
        <w:tc>
          <w:tcPr>
            <w:tcW w:w="7970" w:type="dxa"/>
            <w:tcBorders/>
            <w:shd w:fill="FFFFFF" w:val="clear"/>
            <w:vAlign w:val="center"/>
          </w:tcPr>
          <w:p>
            <w:pPr>
              <w:pStyle w:val="TableContents"/>
              <w:bidi w:val="0"/>
              <w:spacing w:before="0" w:after="283"/>
              <w:jc w:val="left"/>
              <w:rPr/>
            </w:pPr>
            <w:r>
              <w:rPr/>
              <w:t>Dividends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7" w:name="xdx_408_eus-gaap--NotesPayableCurrent_i0"/>
            <w:bookmarkEnd w:id="127"/>
          </w:p>
        </w:tc>
      </w:tr>
      <w:tr>
        <w:trPr/>
        <w:tc>
          <w:tcPr>
            <w:tcW w:w="7970" w:type="dxa"/>
            <w:tcBorders/>
            <w:shd w:fill="CCEEFF" w:val="clear"/>
            <w:vAlign w:val="center"/>
          </w:tcPr>
          <w:p>
            <w:pPr>
              <w:pStyle w:val="TableContents"/>
              <w:bidi w:val="0"/>
              <w:spacing w:before="0" w:after="283"/>
              <w:jc w:val="left"/>
              <w:rPr/>
            </w:pPr>
            <w:r>
              <w:rPr/>
              <w:t>Notes payable, current portion, net of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8" w:name="xdx_40D_eus-gaap--OperatingLeaseLiabilit"/>
            <w:bookmarkEnd w:id="128"/>
          </w:p>
        </w:tc>
      </w:tr>
      <w:tr>
        <w:trPr/>
        <w:tc>
          <w:tcPr>
            <w:tcW w:w="7970" w:type="dxa"/>
            <w:tcBorders/>
            <w:shd w:fill="FFFFFF" w:val="clear"/>
            <w:vAlign w:val="center"/>
          </w:tcPr>
          <w:p>
            <w:pPr>
              <w:pStyle w:val="TableContents"/>
              <w:bidi w:val="0"/>
              <w:spacing w:before="0" w:after="283"/>
              <w:jc w:val="left"/>
              <w:rPr/>
            </w:pPr>
            <w:r>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2,926</w:t>
            </w:r>
          </w:p>
        </w:tc>
        <w:tc>
          <w:tcPr>
            <w:tcW w:w="110" w:type="dxa"/>
            <w:tcBorders/>
            <w:shd w:fill="FFFFFF" w:val="clear"/>
            <w:vAlign w:val="center"/>
          </w:tcPr>
          <w:p>
            <w:pPr>
              <w:pStyle w:val="TableContents"/>
              <w:bidi w:val="0"/>
              <w:spacing w:before="0" w:after="283"/>
              <w:jc w:val="left"/>
              <w:rPr/>
            </w:pPr>
            <w:r>
              <w:rPr/>
              <w:t> </w:t>
            </w:r>
            <w:bookmarkStart w:id="129" w:name="xdx_405_eus-gaap--FinanceLeaseLiabilityC"/>
            <w:bookmarkEnd w:id="129"/>
          </w:p>
        </w:tc>
      </w:tr>
      <w:tr>
        <w:trPr/>
        <w:tc>
          <w:tcPr>
            <w:tcW w:w="7970" w:type="dxa"/>
            <w:tcBorders/>
            <w:shd w:fill="CCEEFF" w:val="clear"/>
            <w:vAlign w:val="center"/>
          </w:tcPr>
          <w:p>
            <w:pPr>
              <w:pStyle w:val="TableContents"/>
              <w:bidi w:val="0"/>
              <w:spacing w:before="0" w:after="283"/>
              <w:jc w:val="left"/>
              <w:rPr/>
            </w:pPr>
            <w:r>
              <w:rPr/>
              <w:t>Financing lease liability,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47</w:t>
            </w:r>
          </w:p>
        </w:tc>
        <w:tc>
          <w:tcPr>
            <w:tcW w:w="110" w:type="dxa"/>
            <w:tcBorders/>
            <w:shd w:fill="CCEEFF" w:val="clear"/>
            <w:vAlign w:val="center"/>
          </w:tcPr>
          <w:p>
            <w:pPr>
              <w:pStyle w:val="TableContents"/>
              <w:bidi w:val="0"/>
              <w:spacing w:before="0" w:after="283"/>
              <w:jc w:val="left"/>
              <w:rPr/>
            </w:pPr>
            <w:r>
              <w:rPr/>
              <w:t> </w:t>
            </w:r>
            <w:bookmarkStart w:id="130" w:name="xdx_40A_eus-gaap--LiabilitiesCurrent_i01"/>
            <w:bookmarkEnd w:id="130"/>
          </w:p>
        </w:tc>
      </w:tr>
      <w:tr>
        <w:trPr/>
        <w:tc>
          <w:tcPr>
            <w:tcW w:w="797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19,757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21,855</w:t>
            </w:r>
          </w:p>
        </w:tc>
        <w:tc>
          <w:tcPr>
            <w:tcW w:w="110" w:type="dxa"/>
            <w:tcBorders/>
            <w:shd w:fill="FFFFFF" w:val="clear"/>
            <w:vAlign w:val="center"/>
          </w:tcPr>
          <w:p>
            <w:pPr>
              <w:pStyle w:val="TableContents"/>
              <w:bidi w:val="0"/>
              <w:spacing w:before="0" w:after="283"/>
              <w:jc w:val="left"/>
              <w:rPr/>
            </w:pPr>
            <w:r>
              <w:rPr/>
              <w:t> </w:t>
            </w:r>
            <w:bookmarkStart w:id="131" w:name="xdx_40C_eus-gaap--LiabilitiesNoncurrentA"/>
            <w:bookmarkEnd w:id="131"/>
          </w:p>
        </w:tc>
      </w:tr>
      <w:tr>
        <w:trPr/>
        <w:tc>
          <w:tcPr>
            <w:tcW w:w="7970" w:type="dxa"/>
            <w:tcBorders/>
            <w:shd w:fill="CCEEFF" w:val="clear"/>
            <w:vAlign w:val="center"/>
          </w:tcPr>
          <w:p>
            <w:pPr>
              <w:pStyle w:val="TableContents"/>
              <w:bidi w:val="0"/>
              <w:spacing w:before="0" w:after="283"/>
              <w:jc w:val="left"/>
              <w:rPr>
                <w:b/>
              </w:rPr>
            </w:pPr>
            <w:r>
              <w:rPr>
                <w:b/>
              </w:rPr>
              <w:t>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2" w:name="xdx_40F_eus-gaap--DeferredRevenueNoncurr"/>
            <w:bookmarkEnd w:id="132"/>
          </w:p>
        </w:tc>
      </w:tr>
      <w:tr>
        <w:trPr/>
        <w:tc>
          <w:tcPr>
            <w:tcW w:w="7970" w:type="dxa"/>
            <w:tcBorders/>
            <w:shd w:fill="FFFFFF" w:val="clear"/>
            <w:vAlign w:val="center"/>
          </w:tcPr>
          <w:p>
            <w:pPr>
              <w:pStyle w:val="TableContents"/>
              <w:bidi w:val="0"/>
              <w:spacing w:before="0" w:after="283"/>
              <w:jc w:val="left"/>
              <w:rPr/>
            </w:pPr>
            <w:r>
              <w:rPr/>
              <w:t>Deferred revenue,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3,583</w:t>
            </w:r>
          </w:p>
        </w:tc>
        <w:tc>
          <w:tcPr>
            <w:tcW w:w="110" w:type="dxa"/>
            <w:tcBorders/>
            <w:shd w:fill="FFFFFF" w:val="clear"/>
            <w:vAlign w:val="center"/>
          </w:tcPr>
          <w:p>
            <w:pPr>
              <w:pStyle w:val="TableContents"/>
              <w:bidi w:val="0"/>
              <w:spacing w:before="0" w:after="283"/>
              <w:jc w:val="left"/>
              <w:rPr/>
            </w:pPr>
            <w:r>
              <w:rPr/>
              <w:t> </w:t>
            </w:r>
            <w:bookmarkStart w:id="133" w:name="xdx_406_eus-gaap--DerivativeLiabilitiesN"/>
            <w:bookmarkEnd w:id="133"/>
          </w:p>
        </w:tc>
      </w:tr>
      <w:tr>
        <w:trPr/>
        <w:tc>
          <w:tcPr>
            <w:tcW w:w="7970"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5,133</w:t>
            </w:r>
          </w:p>
        </w:tc>
        <w:tc>
          <w:tcPr>
            <w:tcW w:w="110" w:type="dxa"/>
            <w:tcBorders/>
            <w:shd w:fill="CCEEFF" w:val="clear"/>
            <w:vAlign w:val="center"/>
          </w:tcPr>
          <w:p>
            <w:pPr>
              <w:pStyle w:val="TableContents"/>
              <w:bidi w:val="0"/>
              <w:spacing w:before="0" w:after="283"/>
              <w:jc w:val="left"/>
              <w:rPr/>
            </w:pPr>
            <w:r>
              <w:rPr/>
              <w:t> </w:t>
            </w:r>
            <w:bookmarkStart w:id="134" w:name="xdx_40D_ecustom--AccruedSettlementNonCur"/>
            <w:bookmarkEnd w:id="134"/>
          </w:p>
        </w:tc>
      </w:tr>
      <w:tr>
        <w:trPr/>
        <w:tc>
          <w:tcPr>
            <w:tcW w:w="7970" w:type="dxa"/>
            <w:tcBorders/>
            <w:shd w:fill="FFFFFF" w:val="clear"/>
            <w:vAlign w:val="center"/>
          </w:tcPr>
          <w:p>
            <w:pPr>
              <w:pStyle w:val="TableContents"/>
              <w:bidi w:val="0"/>
              <w:spacing w:before="0" w:after="283"/>
              <w:jc w:val="left"/>
              <w:rPr/>
            </w:pPr>
            <w:r>
              <w:rPr/>
              <w:t>Accrued settlement,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1,750</w:t>
            </w:r>
          </w:p>
        </w:tc>
        <w:tc>
          <w:tcPr>
            <w:tcW w:w="110" w:type="dxa"/>
            <w:tcBorders/>
            <w:shd w:fill="FFFFFF" w:val="clear"/>
            <w:vAlign w:val="center"/>
          </w:tcPr>
          <w:p>
            <w:pPr>
              <w:pStyle w:val="TableContents"/>
              <w:bidi w:val="0"/>
              <w:spacing w:before="0" w:after="283"/>
              <w:jc w:val="left"/>
              <w:rPr/>
            </w:pPr>
            <w:r>
              <w:rPr/>
              <w:t> </w:t>
            </w:r>
            <w:bookmarkStart w:id="135" w:name="xdx_40E_eus-gaap--LongTermNotesPayable_i"/>
            <w:bookmarkEnd w:id="135"/>
          </w:p>
        </w:tc>
      </w:tr>
      <w:tr>
        <w:trPr/>
        <w:tc>
          <w:tcPr>
            <w:tcW w:w="7970" w:type="dxa"/>
            <w:tcBorders/>
            <w:shd w:fill="CCEEFF" w:val="clear"/>
            <w:vAlign w:val="center"/>
          </w:tcPr>
          <w:p>
            <w:pPr>
              <w:pStyle w:val="TableContents"/>
              <w:bidi w:val="0"/>
              <w:spacing w:before="0" w:after="283"/>
              <w:jc w:val="left"/>
              <w:rPr/>
            </w:pPr>
            <w:r>
              <w:rPr/>
              <w:t>Notes payable, non current portion, net of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29,646</w:t>
            </w:r>
          </w:p>
        </w:tc>
        <w:tc>
          <w:tcPr>
            <w:tcW w:w="110" w:type="dxa"/>
            <w:tcBorders/>
            <w:shd w:fill="CCEEFF" w:val="clear"/>
            <w:vAlign w:val="center"/>
          </w:tcPr>
          <w:p>
            <w:pPr>
              <w:pStyle w:val="TableContents"/>
              <w:bidi w:val="0"/>
              <w:spacing w:before="0" w:after="283"/>
              <w:jc w:val="left"/>
              <w:rPr/>
            </w:pPr>
            <w:r>
              <w:rPr/>
              <w:t> </w:t>
            </w:r>
            <w:bookmarkStart w:id="136" w:name="xdx_40E_eus-gaap--OperatingLeaseLiabilit"/>
            <w:bookmarkEnd w:id="136"/>
          </w:p>
        </w:tc>
      </w:tr>
      <w:tr>
        <w:trPr/>
        <w:tc>
          <w:tcPr>
            <w:tcW w:w="7970" w:type="dxa"/>
            <w:tcBorders/>
            <w:shd w:fill="FFFFFF" w:val="clear"/>
            <w:vAlign w:val="center"/>
          </w:tcPr>
          <w:p>
            <w:pPr>
              <w:pStyle w:val="TableContents"/>
              <w:bidi w:val="0"/>
              <w:spacing w:before="0" w:after="283"/>
              <w:jc w:val="left"/>
              <w:rPr/>
            </w:pPr>
            <w:r>
              <w:rPr/>
              <w:t>Operating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20,470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22,588</w:t>
            </w:r>
          </w:p>
        </w:tc>
        <w:tc>
          <w:tcPr>
            <w:tcW w:w="110" w:type="dxa"/>
            <w:tcBorders/>
            <w:shd w:fill="FFFFFF" w:val="clear"/>
            <w:vAlign w:val="center"/>
          </w:tcPr>
          <w:p>
            <w:pPr>
              <w:pStyle w:val="TableContents"/>
              <w:bidi w:val="0"/>
              <w:spacing w:before="0" w:after="283"/>
              <w:jc w:val="left"/>
              <w:rPr/>
            </w:pPr>
            <w:r>
              <w:rPr/>
              <w:t> </w:t>
            </w:r>
            <w:bookmarkStart w:id="137" w:name="xdx_406_eus-gaap--FinanceLeaseLiabilityN"/>
            <w:bookmarkEnd w:id="137"/>
          </w:p>
        </w:tc>
      </w:tr>
      <w:tr>
        <w:trPr/>
        <w:tc>
          <w:tcPr>
            <w:tcW w:w="7970" w:type="dxa"/>
            <w:tcBorders/>
            <w:shd w:fill="CCEEFF" w:val="clear"/>
            <w:vAlign w:val="center"/>
          </w:tcPr>
          <w:p>
            <w:pPr>
              <w:pStyle w:val="TableContents"/>
              <w:bidi w:val="0"/>
              <w:spacing w:before="0" w:after="283"/>
              <w:jc w:val="left"/>
              <w:rPr/>
            </w:pPr>
            <w:r>
              <w:rPr/>
              <w:t>Financing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63</w:t>
            </w:r>
          </w:p>
        </w:tc>
        <w:tc>
          <w:tcPr>
            <w:tcW w:w="110" w:type="dxa"/>
            <w:tcBorders/>
            <w:shd w:fill="CCEEFF" w:val="clear"/>
            <w:vAlign w:val="center"/>
          </w:tcPr>
          <w:p>
            <w:pPr>
              <w:pStyle w:val="TableContents"/>
              <w:bidi w:val="0"/>
              <w:spacing w:before="0" w:after="283"/>
              <w:jc w:val="left"/>
              <w:rPr/>
            </w:pPr>
            <w:r>
              <w:rPr/>
              <w:t> </w:t>
            </w:r>
            <w:bookmarkStart w:id="138" w:name="xdx_40E_eus-gaap--LiabilitiesNoncurrent_"/>
            <w:bookmarkEnd w:id="138"/>
          </w:p>
        </w:tc>
      </w:tr>
      <w:tr>
        <w:trPr/>
        <w:tc>
          <w:tcPr>
            <w:tcW w:w="7970"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33,006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62,763</w:t>
            </w:r>
          </w:p>
        </w:tc>
        <w:tc>
          <w:tcPr>
            <w:tcW w:w="110" w:type="dxa"/>
            <w:tcBorders/>
            <w:shd w:fill="FFFFFF" w:val="clear"/>
            <w:vAlign w:val="center"/>
          </w:tcPr>
          <w:p>
            <w:pPr>
              <w:pStyle w:val="TableContents"/>
              <w:bidi w:val="0"/>
              <w:spacing w:before="0" w:after="283"/>
              <w:jc w:val="left"/>
              <w:rPr/>
            </w:pPr>
            <w:r>
              <w:rPr/>
              <w:t> </w:t>
            </w:r>
            <w:bookmarkStart w:id="139" w:name="xdx_40C_eus-gaap--Liabilities_i01TI_mtLz"/>
            <w:bookmarkEnd w:id="139"/>
          </w:p>
        </w:tc>
      </w:tr>
      <w:tr>
        <w:trPr/>
        <w:tc>
          <w:tcPr>
            <w:tcW w:w="797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52,763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84,618</w:t>
            </w:r>
          </w:p>
        </w:tc>
        <w:tc>
          <w:tcPr>
            <w:tcW w:w="110" w:type="dxa"/>
            <w:tcBorders/>
            <w:shd w:fill="CCEEFF" w:val="clear"/>
            <w:vAlign w:val="center"/>
          </w:tcPr>
          <w:p>
            <w:pPr>
              <w:pStyle w:val="TableContents"/>
              <w:bidi w:val="0"/>
              <w:spacing w:before="0" w:after="283"/>
              <w:jc w:val="left"/>
              <w:rPr/>
            </w:pPr>
            <w:r>
              <w:rPr/>
              <w:t> </w:t>
            </w:r>
            <w:bookmarkStart w:id="140" w:name="xdx_407_eus-gaap--CommitmentsAndContinge"/>
            <w:bookmarkEnd w:id="140"/>
          </w:p>
        </w:tc>
      </w:tr>
      <w:tr>
        <w:trPr/>
        <w:tc>
          <w:tcPr>
            <w:tcW w:w="7970" w:type="dxa"/>
            <w:tcBorders/>
            <w:shd w:fill="FFFFFF" w:val="clear"/>
            <w:vAlign w:val="center"/>
          </w:tcPr>
          <w:p>
            <w:pPr>
              <w:pStyle w:val="TableContents"/>
              <w:bidi w:val="0"/>
              <w:spacing w:before="0" w:after="283"/>
              <w:jc w:val="left"/>
              <w:rPr>
                <w:b/>
              </w:rPr>
            </w:pPr>
            <w:r>
              <w:rPr>
                <w:b/>
              </w:rPr>
              <w:t>Commitments and Contingencies (See Note 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rFonts w:ascii="Times New Roman;Times;Serif" w:hAnsi="Times New Roman;Times;Serif"/>
              </w:rPr>
              <w:t>-</w:t>
            </w:r>
            <w:r>
              <w:rPr/>
              <w:t> </w:t>
            </w:r>
          </w:p>
        </w:tc>
        <w:tc>
          <w:tcPr>
            <w:tcW w:w="110" w:type="dxa"/>
            <w:tcBorders/>
            <w:shd w:fill="FFFFFF" w:val="clear"/>
            <w:vAlign w:val="center"/>
          </w:tcPr>
          <w:p>
            <w:pPr>
              <w:pStyle w:val="TableContents"/>
              <w:bidi w:val="0"/>
              <w:spacing w:before="0" w:after="283"/>
              <w:jc w:val="left"/>
              <w:rPr/>
            </w:pPr>
            <w:r>
              <w:rPr/>
              <w:t> </w:t>
            </w:r>
            <w:bookmarkStart w:id="141" w:name="xdx_40B_eus-gaap--TemporaryEquityAbstrac"/>
            <w:bookmarkEnd w:id="141"/>
          </w:p>
        </w:tc>
      </w:tr>
      <w:tr>
        <w:trPr/>
        <w:tc>
          <w:tcPr>
            <w:tcW w:w="7970" w:type="dxa"/>
            <w:tcBorders/>
            <w:shd w:fill="CCEEFF" w:val="clear"/>
            <w:vAlign w:val="center"/>
          </w:tcPr>
          <w:p>
            <w:pPr>
              <w:pStyle w:val="TableContents"/>
              <w:bidi w:val="0"/>
              <w:spacing w:before="0" w:after="283"/>
              <w:jc w:val="left"/>
              <w:rPr>
                <w:b/>
              </w:rPr>
            </w:pPr>
            <w:r>
              <w:rPr>
                <w:b/>
              </w:rPr>
              <w:t>Redeemable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2" w:name="xdx_407_eus-gaap--TemporaryEquityCarryin"/>
            <w:bookmarkEnd w:id="142"/>
          </w:p>
        </w:tc>
      </w:tr>
      <w:tr>
        <w:trPr/>
        <w:tc>
          <w:tcPr>
            <w:tcW w:w="7970" w:type="dxa"/>
            <w:tcBorders/>
            <w:shd w:fill="FFFFFF" w:val="clear"/>
            <w:vAlign w:val="center"/>
          </w:tcPr>
          <w:p>
            <w:pPr>
              <w:pStyle w:val="TableContents"/>
              <w:bidi w:val="0"/>
              <w:spacing w:before="0" w:after="283"/>
              <w:jc w:val="left"/>
              <w:rPr/>
            </w:pPr>
            <w:r>
              <w:rPr/>
              <w:t xml:space="preserve">Preferred stock-Series A, </w:t>
            </w:r>
            <w:bookmarkStart w:id="143" w:name="xdx_906_eus-gaap--TemporaryEquitySharesA"/>
            <w:bookmarkStart w:id="144" w:name="xdx_905_eus-gaap--TemporaryEquitySharesA"/>
            <w:bookmarkEnd w:id="143"/>
            <w:bookmarkEnd w:id="144"/>
            <w:r>
              <w:rPr/>
              <w:t>5,000 shares at $</w:t>
            </w:r>
            <w:bookmarkStart w:id="145" w:name="xdx_907_eus-gaap--TemporaryEquityParOrSt"/>
            <w:bookmarkStart w:id="146" w:name="xdx_904_eus-gaap--TemporaryEquityParOrSt"/>
            <w:bookmarkEnd w:id="145"/>
            <w:bookmarkEnd w:id="146"/>
            <w:r>
              <w:rPr/>
              <w:t xml:space="preserve">0.0001 par value, authorized, </w:t>
            </w:r>
            <w:bookmarkStart w:id="147" w:name="xdx_908_eus-gaap--TemporaryEquitySharesO"/>
            <w:bookmarkStart w:id="148" w:name="xdx_90D_eus-gaap--TemporaryEquitySharesI"/>
            <w:bookmarkStart w:id="149" w:name="xdx_901_eus-gaap--TemporaryEquitySharesO"/>
            <w:bookmarkStart w:id="150" w:name="xdx_90A_eus-gaap--TemporaryEquitySharesI"/>
            <w:bookmarkEnd w:id="147"/>
            <w:bookmarkEnd w:id="148"/>
            <w:bookmarkEnd w:id="149"/>
            <w:bookmarkEnd w:id="150"/>
            <w:r>
              <w:rPr/>
              <w:t>no shares issued and outstanding as of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1" w:name="xdx_40E_eus-gaap--TemporaryEquityCarryin"/>
            <w:bookmarkEnd w:id="151"/>
          </w:p>
        </w:tc>
      </w:tr>
      <w:tr>
        <w:trPr/>
        <w:tc>
          <w:tcPr>
            <w:tcW w:w="7970" w:type="dxa"/>
            <w:tcBorders/>
            <w:shd w:fill="CCEEFF" w:val="clear"/>
            <w:vAlign w:val="center"/>
          </w:tcPr>
          <w:p>
            <w:pPr>
              <w:pStyle w:val="TableContents"/>
              <w:bidi w:val="0"/>
              <w:spacing w:before="0" w:after="283"/>
              <w:jc w:val="left"/>
              <w:rPr/>
            </w:pPr>
            <w:r>
              <w:rPr/>
              <w:t xml:space="preserve">Preferred stock-Series B, </w:t>
            </w:r>
            <w:bookmarkStart w:id="152" w:name="xdx_909_eus-gaap--TemporaryEquitySharesA"/>
            <w:bookmarkStart w:id="153" w:name="xdx_906_eus-gaap--TemporaryEquitySharesA"/>
            <w:bookmarkEnd w:id="152"/>
            <w:bookmarkEnd w:id="153"/>
            <w:r>
              <w:rPr/>
              <w:t>25,000 shares at $</w:t>
            </w:r>
            <w:bookmarkStart w:id="154" w:name="xdx_90A_eus-gaap--TemporaryEquityParOrSt"/>
            <w:bookmarkStart w:id="155" w:name="xdx_908_eus-gaap--TemporaryEquityParOrSt"/>
            <w:bookmarkEnd w:id="154"/>
            <w:bookmarkEnd w:id="155"/>
            <w:r>
              <w:rPr/>
              <w:t xml:space="preserve">0.0001 par value, authorized, </w:t>
            </w:r>
            <w:bookmarkStart w:id="156" w:name="xdx_90D_eus-gaap--TemporaryEquitySharesO"/>
            <w:bookmarkStart w:id="157" w:name="xdx_904_eus-gaap--TemporaryEquitySharesI"/>
            <w:bookmarkEnd w:id="156"/>
            <w:bookmarkEnd w:id="157"/>
            <w:r>
              <w:rPr/>
              <w:t xml:space="preserve">25,000 and </w:t>
            </w:r>
            <w:bookmarkStart w:id="158" w:name="xdx_90E_eus-gaap--TemporaryEquitySharesO"/>
            <w:bookmarkStart w:id="159" w:name="xdx_900_eus-gaap--TemporaryEquitySharesI"/>
            <w:bookmarkEnd w:id="158"/>
            <w:bookmarkEnd w:id="159"/>
            <w:r>
              <w:rPr/>
              <w:t>0 shares issued and outstanding as of December 31, 2025 and 2024, respectively</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60" w:name="xdx_40F_eus-gaap--StockholdersEquityAbst"/>
            <w:bookmarkEnd w:id="160"/>
          </w:p>
        </w:tc>
      </w:tr>
      <w:tr>
        <w:trPr/>
        <w:tc>
          <w:tcPr>
            <w:tcW w:w="7970" w:type="dxa"/>
            <w:tcBorders/>
            <w:shd w:fill="FFFFFF" w:val="clear"/>
            <w:vAlign w:val="center"/>
          </w:tcPr>
          <w:p>
            <w:pPr>
              <w:pStyle w:val="TableContents"/>
              <w:bidi w:val="0"/>
              <w:spacing w:before="0" w:after="283"/>
              <w:jc w:val="left"/>
              <w:rPr>
                <w:b/>
              </w:rPr>
            </w:pPr>
            <w:r>
              <w:rPr>
                <w:b/>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1" w:name="xdx_406_eus-gaap--PreferredStockValue_i0"/>
            <w:bookmarkEnd w:id="161"/>
          </w:p>
        </w:tc>
      </w:tr>
      <w:tr>
        <w:trPr/>
        <w:tc>
          <w:tcPr>
            <w:tcW w:w="7970" w:type="dxa"/>
            <w:tcBorders/>
            <w:shd w:fill="CCEEFF" w:val="clear"/>
            <w:vAlign w:val="center"/>
          </w:tcPr>
          <w:p>
            <w:pPr>
              <w:pStyle w:val="TableContents"/>
              <w:bidi w:val="0"/>
              <w:spacing w:before="0" w:after="283"/>
              <w:jc w:val="left"/>
              <w:rPr/>
            </w:pPr>
            <w:r>
              <w:rPr/>
              <w:t xml:space="preserve">Preferred stock, </w:t>
            </w:r>
            <w:bookmarkStart w:id="162" w:name="xdx_90A_eus-gaap--PreferredStockSharesAu"/>
            <w:bookmarkStart w:id="163" w:name="xdx_903_eus-gaap--PreferredStockSharesAu"/>
            <w:bookmarkEnd w:id="162"/>
            <w:bookmarkEnd w:id="163"/>
            <w:r>
              <w:rPr/>
              <w:t>4,995,000 shares at $</w:t>
            </w:r>
            <w:bookmarkStart w:id="164" w:name="xdx_906_eus-gaap--PreferredStockParOrSta"/>
            <w:bookmarkStart w:id="165" w:name="xdx_904_eus-gaap--PreferredStockParOrSta"/>
            <w:bookmarkEnd w:id="164"/>
            <w:bookmarkEnd w:id="165"/>
            <w:r>
              <w:rPr/>
              <w:t xml:space="preserve">0.0001 par value, authorized, </w:t>
            </w:r>
            <w:bookmarkStart w:id="166" w:name="xdx_90E_eus-gaap--PreferredStockSharesOu"/>
            <w:bookmarkStart w:id="167" w:name="xdx_906_eus-gaap--PreferredStockSharesIs"/>
            <w:bookmarkStart w:id="168" w:name="xdx_902_eus-gaap--PreferredStockSharesOu"/>
            <w:bookmarkStart w:id="169" w:name="xdx_909_eus-gaap--PreferredStockSharesIs"/>
            <w:bookmarkEnd w:id="166"/>
            <w:bookmarkEnd w:id="167"/>
            <w:bookmarkEnd w:id="168"/>
            <w:bookmarkEnd w:id="169"/>
            <w:r>
              <w:rPr/>
              <w:t>no shares issued and outstanding as of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70" w:name="xdx_409_eus-gaap--CommonStockValue_i01I_"/>
            <w:bookmarkEnd w:id="170"/>
          </w:p>
        </w:tc>
      </w:tr>
      <w:tr>
        <w:trPr/>
        <w:tc>
          <w:tcPr>
            <w:tcW w:w="7970" w:type="dxa"/>
            <w:tcBorders/>
            <w:shd w:fill="FFFFFF" w:val="clear"/>
            <w:vAlign w:val="center"/>
          </w:tcPr>
          <w:p>
            <w:pPr>
              <w:pStyle w:val="TableContents"/>
              <w:bidi w:val="0"/>
              <w:spacing w:before="0" w:after="283"/>
              <w:jc w:val="left"/>
              <w:rPr/>
            </w:pPr>
            <w:r>
              <w:rPr/>
              <w:t xml:space="preserve">Common stock, </w:t>
            </w:r>
            <w:bookmarkStart w:id="171" w:name="xdx_90E_eus-gaap--CommonStockSharesAutho"/>
            <w:bookmarkStart w:id="172" w:name="xdx_904_eus-gaap--CommonStockSharesAutho"/>
            <w:bookmarkEnd w:id="171"/>
            <w:bookmarkEnd w:id="172"/>
            <w:r>
              <w:rPr/>
              <w:t>400,000,000 shares at $</w:t>
            </w:r>
            <w:bookmarkStart w:id="173" w:name="xdx_901_eus-gaap--CommonStockParOrStated"/>
            <w:bookmarkStart w:id="174" w:name="xdx_903_eus-gaap--CommonStockParOrStated"/>
            <w:bookmarkEnd w:id="173"/>
            <w:bookmarkEnd w:id="174"/>
            <w:r>
              <w:rPr/>
              <w:t xml:space="preserve">0.0001 par value, authorized, </w:t>
            </w:r>
            <w:bookmarkStart w:id="175" w:name="xdx_906_eus-gaap--CommonStockSharesOutst"/>
            <w:bookmarkStart w:id="176" w:name="xdx_90F_eus-gaap--CommonStockSharesIssue"/>
            <w:bookmarkEnd w:id="175"/>
            <w:bookmarkEnd w:id="176"/>
            <w:r>
              <w:rPr/>
              <w:t xml:space="preserve">12,078,713 and </w:t>
            </w:r>
            <w:bookmarkStart w:id="177" w:name="xdx_904_eus-gaap--CommonStockSharesOutst"/>
            <w:bookmarkStart w:id="178" w:name="xdx_90E_eus-gaap--CommonStockSharesIssue"/>
            <w:bookmarkEnd w:id="177"/>
            <w:bookmarkEnd w:id="178"/>
            <w:r>
              <w:rPr/>
              <w:t>723,265 shares issued and outstanding as of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9" w:name="xdx_403_eus-gaap--AdditionalPaidInCapita"/>
            <w:bookmarkEnd w:id="179"/>
          </w:p>
        </w:tc>
      </w:tr>
      <w:tr>
        <w:trPr/>
        <w:tc>
          <w:tcPr>
            <w:tcW w:w="7970" w:type="dxa"/>
            <w:tcBorders/>
            <w:shd w:fill="CCEEFF" w:val="clear"/>
            <w:vAlign w:val="center"/>
          </w:tcPr>
          <w:p>
            <w:pPr>
              <w:pStyle w:val="TableContents"/>
              <w:bidi w:val="0"/>
              <w:spacing w:before="0" w:after="283"/>
              <w:jc w:val="left"/>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163,622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72,750</w:t>
            </w:r>
          </w:p>
        </w:tc>
        <w:tc>
          <w:tcPr>
            <w:tcW w:w="110" w:type="dxa"/>
            <w:tcBorders/>
            <w:shd w:fill="CCEEFF" w:val="clear"/>
            <w:vAlign w:val="center"/>
          </w:tcPr>
          <w:p>
            <w:pPr>
              <w:pStyle w:val="TableContents"/>
              <w:bidi w:val="0"/>
              <w:spacing w:before="0" w:after="283"/>
              <w:jc w:val="left"/>
              <w:rPr/>
            </w:pPr>
            <w:r>
              <w:rPr/>
              <w:t> </w:t>
            </w:r>
            <w:bookmarkStart w:id="180" w:name="xdx_40E_eus-gaap--RetainedEarningsAccumu"/>
            <w:bookmarkEnd w:id="180"/>
          </w:p>
        </w:tc>
      </w:tr>
      <w:tr>
        <w:trPr/>
        <w:tc>
          <w:tcPr>
            <w:tcW w:w="797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(152,093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(82,154</w:t>
            </w:r>
          </w:p>
        </w:tc>
        <w:tc>
          <w:tcPr>
            <w:tcW w:w="110" w:type="dxa"/>
            <w:tcBorders/>
            <w:shd w:fill="FFFFFF" w:val="clear"/>
            <w:vAlign w:val="center"/>
          </w:tcPr>
          <w:p>
            <w:pPr>
              <w:pStyle w:val="TableContents"/>
              <w:bidi w:val="0"/>
              <w:spacing w:before="0" w:after="283"/>
              <w:jc w:val="left"/>
              <w:rPr/>
            </w:pPr>
            <w:r>
              <w:rPr/>
              <w:t>)</w:t>
            </w:r>
            <w:bookmarkStart w:id="181" w:name="xdx_404_eus-gaap--StockholdersEquity_i01"/>
            <w:bookmarkEnd w:id="181"/>
          </w:p>
        </w:tc>
      </w:tr>
      <w:tr>
        <w:trPr/>
        <w:tc>
          <w:tcPr>
            <w:tcW w:w="7970" w:type="dxa"/>
            <w:tcBorders/>
            <w:shd w:fill="CCEEFF" w:val="clear"/>
            <w:vAlign w:val="center"/>
          </w:tcPr>
          <w:p>
            <w:pPr>
              <w:pStyle w:val="TableContents"/>
              <w:bidi w:val="0"/>
              <w:spacing w:before="0" w:after="283"/>
              <w:jc w:val="left"/>
              <w:rPr>
                <w:b/>
              </w:rPr>
            </w:pPr>
            <w:r>
              <w:rPr>
                <w:b/>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11,530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(9,404</w:t>
            </w:r>
          </w:p>
        </w:tc>
        <w:tc>
          <w:tcPr>
            <w:tcW w:w="110" w:type="dxa"/>
            <w:tcBorders/>
            <w:shd w:fill="CCEEFF" w:val="clear"/>
            <w:vAlign w:val="center"/>
          </w:tcPr>
          <w:p>
            <w:pPr>
              <w:pStyle w:val="TableContents"/>
              <w:bidi w:val="0"/>
              <w:spacing w:before="0" w:after="283"/>
              <w:jc w:val="left"/>
              <w:rPr/>
            </w:pPr>
            <w:r>
              <w:rPr/>
              <w:t>)</w:t>
            </w:r>
            <w:bookmarkStart w:id="182" w:name="xdx_40C_eus-gaap--LiabilitiesAndStockhol"/>
            <w:bookmarkEnd w:id="182"/>
          </w:p>
        </w:tc>
      </w:tr>
      <w:tr>
        <w:trPr/>
        <w:tc>
          <w:tcPr>
            <w:tcW w:w="7970" w:type="dxa"/>
            <w:tcBorders/>
            <w:shd w:fill="FFFFFF" w:val="clear"/>
            <w:vAlign w:val="center"/>
          </w:tcPr>
          <w:p>
            <w:pPr>
              <w:pStyle w:val="TableContents"/>
              <w:bidi w:val="0"/>
              <w:spacing w:before="0" w:after="283"/>
              <w:jc w:val="left"/>
              <w:rPr>
                <w:b/>
              </w:rPr>
            </w:pPr>
            <w:r>
              <w:rPr>
                <w:b/>
              </w:rPr>
              <w:t>Total Liabilities, Series B Preferred Stock and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86,549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75,214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83" w:name="findr_004"/>
      <w:bookmarkEnd w:id="183"/>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Consolidated Statements of Operations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Years Ended December 31, 2025 and 2024</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4" w:name="xdx_305_113_pn3n3_zlfbhrja9w95"/>
      <w:bookmarkStart w:id="185" w:name="xdx_305_113_pn3n3_zlfbhrja9w95"/>
      <w:bookmarkEnd w:id="185"/>
    </w:p>
    <w:tbl>
      <w:tblPr>
        <w:tblW w:w="7715" w:type="dxa"/>
        <w:jc w:val="left"/>
        <w:tblInd w:w="0" w:type="dxa"/>
        <w:tblLayout w:type="fixed"/>
        <w:tblCellMar>
          <w:top w:w="0" w:type="dxa"/>
          <w:left w:w="0" w:type="dxa"/>
          <w:bottom w:w="0" w:type="dxa"/>
          <w:right w:w="0" w:type="dxa"/>
        </w:tblCellMar>
      </w:tblPr>
      <w:tblGrid>
        <w:gridCol w:w="5330"/>
        <w:gridCol w:w="60"/>
        <w:gridCol w:w="140"/>
        <w:gridCol w:w="980"/>
        <w:gridCol w:w="95"/>
        <w:gridCol w:w="60"/>
        <w:gridCol w:w="140"/>
        <w:gridCol w:w="800"/>
        <w:gridCol w:w="110"/>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6" w:name="xdx_490_20250101__20251231_z1tA3z95vIEf"/>
            <w:bookmarkEnd w:id="186"/>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7" w:name="xdx_49C_20240101__20241231_zjxqBSkbrqE9"/>
            <w:bookmarkEnd w:id="187"/>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88" w:name="xdx_408_eus-gaap--RevenueFromContractWit"/>
            <w:bookmarkEnd w:id="188"/>
          </w:p>
        </w:tc>
      </w:tr>
      <w:tr>
        <w:trPr/>
        <w:tc>
          <w:tcPr>
            <w:tcW w:w="533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58,630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50,645</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9" w:name="xdx_400_eus-gaap--CostOfGoodsAndServices"/>
            <w:bookmarkEnd w:id="189"/>
          </w:p>
        </w:tc>
      </w:tr>
      <w:tr>
        <w:trPr/>
        <w:tc>
          <w:tcPr>
            <w:tcW w:w="5330"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42,983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39,019</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0" w:name="xdx_407_eus-gaap--GrossProfit_iT_mtGPzs1"/>
            <w:bookmarkEnd w:id="190"/>
          </w:p>
        </w:tc>
      </w:tr>
      <w:tr>
        <w:trPr/>
        <w:tc>
          <w:tcPr>
            <w:tcW w:w="533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11,626</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1" w:name="xdx_40C_eus-gaap--OperatingExpensesAbstr"/>
            <w:bookmarkEnd w:id="191"/>
          </w:p>
        </w:tc>
      </w:tr>
      <w:tr>
        <w:trPr/>
        <w:tc>
          <w:tcPr>
            <w:tcW w:w="533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2" w:name="xdx_405_eus-gaap--ResearchAndDevelopment"/>
            <w:bookmarkEnd w:id="192"/>
          </w:p>
        </w:tc>
      </w:tr>
      <w:tr>
        <w:trPr/>
        <w:tc>
          <w:tcPr>
            <w:tcW w:w="533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5,451</w:t>
            </w:r>
          </w:p>
        </w:tc>
        <w:tc>
          <w:tcPr>
            <w:tcW w:w="110" w:type="dxa"/>
            <w:tcBorders/>
            <w:shd w:fill="FFFFFF" w:val="clear"/>
            <w:vAlign w:val="center"/>
          </w:tcPr>
          <w:p>
            <w:pPr>
              <w:pStyle w:val="TableContents"/>
              <w:bidi w:val="0"/>
              <w:spacing w:before="0" w:after="283"/>
              <w:jc w:val="left"/>
              <w:rPr/>
            </w:pPr>
            <w:r>
              <w:rPr/>
              <w:t> </w:t>
            </w:r>
            <w:bookmarkStart w:id="193" w:name="xdx_40C_eus-gaap--GeneralAndAdministrati"/>
            <w:bookmarkEnd w:id="193"/>
          </w:p>
        </w:tc>
      </w:tr>
      <w:tr>
        <w:trPr/>
        <w:tc>
          <w:tcPr>
            <w:tcW w:w="533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21,909</w:t>
            </w:r>
          </w:p>
        </w:tc>
        <w:tc>
          <w:tcPr>
            <w:tcW w:w="110" w:type="dxa"/>
            <w:tcBorders/>
            <w:shd w:fill="CCEEFF" w:val="clear"/>
            <w:vAlign w:val="center"/>
          </w:tcPr>
          <w:p>
            <w:pPr>
              <w:pStyle w:val="TableContents"/>
              <w:bidi w:val="0"/>
              <w:spacing w:before="0" w:after="283"/>
              <w:jc w:val="left"/>
              <w:rPr/>
            </w:pPr>
            <w:r>
              <w:rPr/>
              <w:t> </w:t>
            </w:r>
            <w:bookmarkStart w:id="194" w:name="xdx_40C_eus-gaap--SellingAndMarketingExp"/>
            <w:bookmarkEnd w:id="194"/>
          </w:p>
        </w:tc>
      </w:tr>
      <w:tr>
        <w:trPr/>
        <w:tc>
          <w:tcPr>
            <w:tcW w:w="533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10,025</w:t>
            </w:r>
          </w:p>
        </w:tc>
        <w:tc>
          <w:tcPr>
            <w:tcW w:w="110" w:type="dxa"/>
            <w:tcBorders/>
            <w:shd w:fill="FFFFFF" w:val="clear"/>
            <w:vAlign w:val="center"/>
          </w:tcPr>
          <w:p>
            <w:pPr>
              <w:pStyle w:val="TableContents"/>
              <w:bidi w:val="0"/>
              <w:spacing w:before="0" w:after="283"/>
              <w:jc w:val="left"/>
              <w:rPr/>
            </w:pPr>
            <w:r>
              <w:rPr/>
              <w:t> </w:t>
            </w:r>
            <w:bookmarkStart w:id="195" w:name="xdx_40E_eus-gaap--OperatingLeaseImpairme"/>
            <w:bookmarkEnd w:id="195"/>
          </w:p>
        </w:tc>
      </w:tr>
      <w:tr>
        <w:trPr/>
        <w:tc>
          <w:tcPr>
            <w:tcW w:w="5330" w:type="dxa"/>
            <w:tcBorders/>
            <w:shd w:fill="CCEEFF" w:val="clear"/>
            <w:vAlign w:val="center"/>
          </w:tcPr>
          <w:p>
            <w:pPr>
              <w:pStyle w:val="TableContents"/>
              <w:bidi w:val="0"/>
              <w:spacing w:before="0" w:after="283"/>
              <w:jc w:val="left"/>
              <w:rPr/>
            </w:pPr>
            <w:r>
              <w:rPr/>
              <w:t>Loss on impairment of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6" w:name="xdx_404_eus-gaap--OperatingExpenses_i01T"/>
            <w:bookmarkEnd w:id="196"/>
          </w:p>
        </w:tc>
      </w:tr>
      <w:tr>
        <w:trPr/>
        <w:tc>
          <w:tcPr>
            <w:tcW w:w="533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38,820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37,385</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7" w:name="xdx_406_eus-gaap--OperatingIncomeLoss_iT"/>
            <w:bookmarkEnd w:id="197"/>
          </w:p>
        </w:tc>
      </w:tr>
      <w:tr>
        <w:trPr/>
        <w:tc>
          <w:tcPr>
            <w:tcW w:w="533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(23,173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(25,759</w:t>
            </w:r>
          </w:p>
        </w:tc>
        <w:tc>
          <w:tcPr>
            <w:tcW w:w="110" w:type="dxa"/>
            <w:tcBorders/>
            <w:shd w:fill="CCEEFF" w:val="clear"/>
            <w:vAlign w:val="center"/>
          </w:tcPr>
          <w:p>
            <w:pPr>
              <w:pStyle w:val="TableContents"/>
              <w:bidi w:val="0"/>
              <w:spacing w:before="0" w:after="283"/>
              <w:jc w:val="left"/>
              <w:rPr/>
            </w:pPr>
            <w:r>
              <w:rPr/>
              <w:t>)</w:t>
            </w:r>
          </w:p>
        </w:tc>
      </w:tr>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8" w:name="xdx_401_eus-gaap--NonoperatingIncomeExpe"/>
            <w:bookmarkEnd w:id="198"/>
          </w:p>
        </w:tc>
      </w:tr>
      <w:tr>
        <w:trPr/>
        <w:tc>
          <w:tcPr>
            <w:tcW w:w="5330" w:type="dxa"/>
            <w:tcBorders/>
            <w:shd w:fill="CCEEFF" w:val="clear"/>
            <w:vAlign w:val="center"/>
          </w:tcPr>
          <w:p>
            <w:pPr>
              <w:pStyle w:val="TableContents"/>
              <w:bidi w:val="0"/>
              <w:spacing w:before="0" w:after="283"/>
              <w:jc w:val="left"/>
              <w:rPr>
                <w:b/>
              </w:rPr>
            </w:pPr>
            <w:r>
              <w:rPr>
                <w:b/>
              </w:rPr>
              <w:t>Other (Expense)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9" w:name="xdx_402_eus-gaap--InterestExpenseNonoper"/>
            <w:bookmarkEnd w:id="199"/>
          </w:p>
        </w:tc>
      </w:tr>
      <w:tr>
        <w:trPr/>
        <w:tc>
          <w:tcPr>
            <w:tcW w:w="533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(20,265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(21,504</w:t>
            </w:r>
          </w:p>
        </w:tc>
        <w:tc>
          <w:tcPr>
            <w:tcW w:w="110" w:type="dxa"/>
            <w:tcBorders/>
            <w:shd w:fill="FFFFFF" w:val="clear"/>
            <w:vAlign w:val="center"/>
          </w:tcPr>
          <w:p>
            <w:pPr>
              <w:pStyle w:val="TableContents"/>
              <w:bidi w:val="0"/>
              <w:spacing w:before="0" w:after="283"/>
              <w:jc w:val="left"/>
              <w:rPr/>
            </w:pPr>
            <w:r>
              <w:rPr/>
              <w:t>)</w:t>
            </w:r>
            <w:bookmarkStart w:id="200" w:name="xdx_40A_eus-gaap--OtherNonoperatingIncom"/>
            <w:bookmarkEnd w:id="200"/>
          </w:p>
        </w:tc>
      </w:tr>
      <w:tr>
        <w:trPr/>
        <w:tc>
          <w:tcPr>
            <w:tcW w:w="5330" w:type="dxa"/>
            <w:tcBorders/>
            <w:shd w:fill="CCEEFF" w:val="clear"/>
            <w:vAlign w:val="center"/>
          </w:tcPr>
          <w:p>
            <w:pPr>
              <w:pStyle w:val="TableContents"/>
              <w:bidi w:val="0"/>
              <w:spacing w:before="0" w:after="283"/>
              <w:jc w:val="left"/>
              <w:rPr/>
            </w:pPr>
            <w:r>
              <w:rPr/>
              <w:t>Other (expense)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w:t>
            </w:r>
          </w:p>
        </w:tc>
        <w:tc>
          <w:tcPr>
            <w:tcW w:w="110" w:type="dxa"/>
            <w:tcBorders/>
            <w:shd w:fill="CCEEFF" w:val="clear"/>
            <w:vAlign w:val="center"/>
          </w:tcPr>
          <w:p>
            <w:pPr>
              <w:pStyle w:val="TableContents"/>
              <w:bidi w:val="0"/>
              <w:spacing w:before="0" w:after="283"/>
              <w:jc w:val="left"/>
              <w:rPr/>
            </w:pPr>
            <w:r>
              <w:rPr/>
              <w:t>)</w:t>
            </w:r>
            <w:bookmarkStart w:id="201" w:name="xdx_40E_eus-gaap--FairValueAdjustmentOfW"/>
            <w:bookmarkEnd w:id="201"/>
          </w:p>
        </w:tc>
      </w:tr>
      <w:tr>
        <w:trPr/>
        <w:tc>
          <w:tcPr>
            <w:tcW w:w="5330" w:type="dxa"/>
            <w:tcBorders/>
            <w:shd w:fill="FFFFFF" w:val="clear"/>
            <w:vAlign w:val="center"/>
          </w:tcPr>
          <w:p>
            <w:pPr>
              <w:pStyle w:val="TableContents"/>
              <w:bidi w:val="0"/>
              <w:spacing w:before="0" w:after="283"/>
              <w:jc w:val="left"/>
              <w:rPr/>
            </w:pPr>
            <w:r>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6,684</w:t>
            </w:r>
          </w:p>
        </w:tc>
        <w:tc>
          <w:tcPr>
            <w:tcW w:w="110" w:type="dxa"/>
            <w:tcBorders/>
            <w:shd w:fill="FFFFFF" w:val="clear"/>
            <w:vAlign w:val="center"/>
          </w:tcPr>
          <w:p>
            <w:pPr>
              <w:pStyle w:val="TableContents"/>
              <w:bidi w:val="0"/>
              <w:spacing w:before="0" w:after="283"/>
              <w:jc w:val="left"/>
              <w:rPr/>
            </w:pPr>
            <w:r>
              <w:rPr/>
              <w:t> </w:t>
            </w:r>
            <w:bookmarkStart w:id="202" w:name="xdx_404_eus-gaap--GainsLossesOnExtinguis"/>
            <w:bookmarkEnd w:id="202"/>
          </w:p>
        </w:tc>
      </w:tr>
      <w:tr>
        <w:trPr/>
        <w:tc>
          <w:tcPr>
            <w:tcW w:w="5330" w:type="dxa"/>
            <w:tcBorders/>
            <w:shd w:fill="CCEEFF" w:val="clear"/>
            <w:vAlign w:val="center"/>
          </w:tcPr>
          <w:p>
            <w:pPr>
              <w:pStyle w:val="TableContents"/>
              <w:bidi w:val="0"/>
              <w:spacing w:before="0" w:after="283"/>
              <w:jc w:val="left"/>
              <w:rPr/>
            </w:pPr>
            <w:r>
              <w:rPr/>
              <w:t>Debt extinguishment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(31,843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03" w:name="xdx_40C_eus-gaap--NonoperatingIncomeExpe"/>
            <w:bookmarkEnd w:id="203"/>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(46,860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(14,856</w:t>
            </w:r>
          </w:p>
        </w:tc>
        <w:tc>
          <w:tcPr>
            <w:tcW w:w="110" w:type="dxa"/>
            <w:tcBorders/>
            <w:shd w:fill="FFFFFF" w:val="clear"/>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4" w:name="xdx_40D_eus-gaap--IncomeLossFromContinui"/>
            <w:bookmarkEnd w:id="204"/>
          </w:p>
        </w:tc>
      </w:tr>
      <w:tr>
        <w:trPr/>
        <w:tc>
          <w:tcPr>
            <w:tcW w:w="5330" w:type="dxa"/>
            <w:tcBorders/>
            <w:shd w:fill="FFFFFF" w:val="clear"/>
            <w:vAlign w:val="center"/>
          </w:tcPr>
          <w:p>
            <w:pPr>
              <w:pStyle w:val="TableContents"/>
              <w:bidi w:val="0"/>
              <w:spacing w:before="0" w:after="283"/>
              <w:jc w:val="left"/>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(70,033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(40,615</w:t>
            </w:r>
          </w:p>
        </w:tc>
        <w:tc>
          <w:tcPr>
            <w:tcW w:w="110" w:type="dxa"/>
            <w:tcBorders/>
            <w:shd w:fill="FFFFFF" w:val="clear"/>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5" w:name="xdx_407_eus-gaap--IncomeTaxExpenseBenefi"/>
            <w:bookmarkEnd w:id="205"/>
          </w:p>
        </w:tc>
      </w:tr>
      <w:tr>
        <w:trPr/>
        <w:tc>
          <w:tcPr>
            <w:tcW w:w="5330" w:type="dxa"/>
            <w:tcBorders/>
            <w:shd w:fill="FFFFFF" w:val="clear"/>
            <w:vAlign w:val="center"/>
          </w:tcPr>
          <w:p>
            <w:pPr>
              <w:pStyle w:val="TableContents"/>
              <w:bidi w:val="0"/>
              <w:spacing w:before="0" w:after="283"/>
              <w:jc w:val="left"/>
              <w:rPr>
                <w:b/>
              </w:rPr>
            </w:pPr>
            <w:r>
              <w:rPr>
                <w:b/>
              </w:rPr>
              <w:t>Income Tax Expense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6" w:name="xdx_40A_eus-gaap--NetIncomeLoss_iT_mtNIL"/>
            <w:bookmarkEnd w:id="206"/>
          </w:p>
        </w:tc>
      </w:tr>
      <w:tr>
        <w:trPr/>
        <w:tc>
          <w:tcPr>
            <w:tcW w:w="533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(69,939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(40,615</w:t>
            </w:r>
          </w:p>
        </w:tc>
        <w:tc>
          <w:tcPr>
            <w:tcW w:w="110" w:type="dxa"/>
            <w:tcBorders/>
            <w:shd w:fill="FFFFFF" w:val="clear"/>
            <w:vAlign w:val="center"/>
          </w:tcPr>
          <w:p>
            <w:pPr>
              <w:pStyle w:val="TableContents"/>
              <w:bidi w:val="0"/>
              <w:spacing w:before="0" w:after="283"/>
              <w:jc w:val="left"/>
              <w:rPr/>
            </w:pPr>
            <w:r>
              <w:rPr/>
              <w:t>)</w:t>
            </w:r>
            <w:bookmarkStart w:id="207" w:name="xdx_407_eus-gaap--PreferredStockDividend"/>
            <w:bookmarkEnd w:id="207"/>
          </w:p>
        </w:tc>
      </w:tr>
      <w:tr>
        <w:trPr/>
        <w:tc>
          <w:tcPr>
            <w:tcW w:w="5330" w:type="dxa"/>
            <w:tcBorders/>
            <w:shd w:fill="CCEEFF" w:val="clear"/>
            <w:vAlign w:val="center"/>
          </w:tcPr>
          <w:p>
            <w:pPr>
              <w:pStyle w:val="TableContents"/>
              <w:bidi w:val="0"/>
              <w:spacing w:before="0" w:after="283"/>
              <w:jc w:val="left"/>
              <w:rPr/>
            </w:pPr>
            <w:r>
              <w:rPr/>
              <w:t>Less: Preferred Stock Dividends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bookmarkStart w:id="208" w:name="xdx_404_eus-gaap--NetIncomeLossAvailable"/>
            <w:bookmarkEnd w:id="208"/>
          </w:p>
        </w:tc>
      </w:tr>
      <w:tr>
        <w:trPr/>
        <w:tc>
          <w:tcPr>
            <w:tcW w:w="5330" w:type="dxa"/>
            <w:tcBorders/>
            <w:shd w:fill="FFFFFF" w:val="clear"/>
            <w:vAlign w:val="center"/>
          </w:tcPr>
          <w:p>
            <w:pPr>
              <w:pStyle w:val="TableContents"/>
              <w:bidi w:val="0"/>
              <w:spacing w:before="0" w:after="283"/>
              <w:jc w:val="left"/>
              <w:rPr>
                <w:b/>
              </w:rPr>
            </w:pPr>
            <w:r>
              <w:rPr>
                <w:b/>
              </w:rPr>
              <w:t>Net Loss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(70,808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(40,615</w:t>
            </w:r>
          </w:p>
        </w:tc>
        <w:tc>
          <w:tcPr>
            <w:tcW w:w="110" w:type="dxa"/>
            <w:tcBorders/>
            <w:shd w:fill="FFFFFF" w:val="clear"/>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Loss Per Share- Basic &amp;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209" w:name="xdx_900_eus-gaap--EarningsPerShareDilute"/>
            <w:bookmarkStart w:id="210" w:name="xdx_909_eus-gaap--EarningsPerShareBasic_"/>
            <w:bookmarkEnd w:id="209"/>
            <w:bookmarkEnd w:id="210"/>
            <w:r>
              <w:rPr/>
              <w:t>(14.80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211" w:name="xdx_906_eus-gaap--EarningsPerShareDilute"/>
            <w:bookmarkStart w:id="212" w:name="xdx_900_eus-gaap--EarningsPerShareBasic_"/>
            <w:bookmarkEnd w:id="211"/>
            <w:bookmarkEnd w:id="212"/>
            <w:r>
              <w:rPr/>
              <w:t>(59.15</w:t>
            </w:r>
          </w:p>
        </w:tc>
        <w:tc>
          <w:tcPr>
            <w:tcW w:w="110" w:type="dxa"/>
            <w:tcBorders/>
            <w:shd w:fill="FFFFFF" w:val="clear"/>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Weighted Average Number of Shares - Basic &amp;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213" w:name="xdx_902_eus-gaap--WeightedAverageNumberO"/>
            <w:bookmarkStart w:id="214" w:name="xdx_90B_eus-gaap--WeightedAverageNumberO"/>
            <w:bookmarkEnd w:id="213"/>
            <w:bookmarkEnd w:id="214"/>
            <w:r>
              <w:rPr/>
              <w:t>4,783,337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215" w:name="xdx_90A_eus-gaap--WeightedAverageNumberO"/>
            <w:bookmarkStart w:id="216" w:name="xdx_907_eus-gaap--WeightedAverageNumberO"/>
            <w:bookmarkEnd w:id="215"/>
            <w:bookmarkEnd w:id="216"/>
            <w:r>
              <w:rPr/>
              <w:t>686,683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17" w:name="findr_005"/>
      <w:bookmarkEnd w:id="217"/>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Consolidated Statements of Shareholders’ Equity (Deficit)</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Years Ended December 31, 2025 and 2024</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data)</w:t>
      </w:r>
    </w:p>
    <w:p>
      <w:pPr>
        <w:pStyle w:val="TextBody"/>
        <w:bidi w:val="0"/>
        <w:spacing w:before="0" w:after="0"/>
        <w:ind w:left="0" w:right="0" w:hanging="0"/>
        <w:jc w:val="center"/>
        <w:rPr>
          <w:caps/>
        </w:rPr>
      </w:pPr>
      <w:r>
        <w:rPr>
          <w:caps/>
        </w:rPr>
        <w:t> </w:t>
      </w:r>
    </w:p>
    <w:p>
      <w:pPr>
        <w:pStyle w:val="Normal"/>
        <w:bidi w:val="0"/>
        <w:spacing w:before="0" w:after="0"/>
        <w:jc w:val="left"/>
        <w:rPr>
          <w:sz w:val="4"/>
          <w:szCs w:val="4"/>
        </w:rPr>
      </w:pPr>
      <w:r>
        <w:rPr>
          <w:sz w:val="4"/>
          <w:szCs w:val="4"/>
        </w:rPr>
      </w:r>
      <w:bookmarkStart w:id="218" w:name="xdx_309_114_pn3n3_zIONv6Z3qJsa"/>
      <w:bookmarkStart w:id="219" w:name="xdx_309_114_pn3n3_zIONv6Z3qJsa"/>
      <w:bookmarkEnd w:id="219"/>
    </w:p>
    <w:tbl>
      <w:tblPr>
        <w:tblW w:w="10205" w:type="dxa"/>
        <w:jc w:val="left"/>
        <w:tblInd w:w="0" w:type="dxa"/>
        <w:tblLayout w:type="fixed"/>
        <w:tblCellMar>
          <w:top w:w="0" w:type="dxa"/>
          <w:left w:w="0" w:type="dxa"/>
          <w:bottom w:w="0" w:type="dxa"/>
          <w:right w:w="0" w:type="dxa"/>
        </w:tblCellMar>
      </w:tblPr>
      <w:tblGrid>
        <w:gridCol w:w="2309"/>
        <w:gridCol w:w="60"/>
        <w:gridCol w:w="81"/>
        <w:gridCol w:w="622"/>
        <w:gridCol w:w="102"/>
        <w:gridCol w:w="64"/>
        <w:gridCol w:w="74"/>
        <w:gridCol w:w="791"/>
        <w:gridCol w:w="95"/>
        <w:gridCol w:w="60"/>
        <w:gridCol w:w="60"/>
        <w:gridCol w:w="1100"/>
        <w:gridCol w:w="95"/>
        <w:gridCol w:w="60"/>
        <w:gridCol w:w="400"/>
        <w:gridCol w:w="400"/>
        <w:gridCol w:w="60"/>
        <w:gridCol w:w="60"/>
        <w:gridCol w:w="165"/>
        <w:gridCol w:w="948"/>
        <w:gridCol w:w="95"/>
        <w:gridCol w:w="60"/>
        <w:gridCol w:w="176"/>
        <w:gridCol w:w="1104"/>
        <w:gridCol w:w="95"/>
        <w:gridCol w:w="60"/>
        <w:gridCol w:w="140"/>
        <w:gridCol w:w="755"/>
        <w:gridCol w:w="114"/>
      </w:tblGrid>
      <w:tr>
        <w:trPr/>
        <w:tc>
          <w:tcPr>
            <w:tcW w:w="23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220" w:name="xdx_4B4_us-gaap--StatementEquityComponen"/>
            <w:bookmarkEnd w:id="220"/>
          </w:p>
        </w:tc>
        <w:tc>
          <w:tcPr>
            <w:tcW w:w="8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1" w:name="xdx_4B7_us-gaap--StatementEquityComponen"/>
            <w:bookmarkEnd w:id="221"/>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2" w:name="xdx_4BE_us-gaap--StatementEquityComponen"/>
            <w:bookmarkEnd w:id="222"/>
          </w:p>
        </w:tc>
        <w:tc>
          <w:tcPr>
            <w:tcW w:w="11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3" w:name="xdx_4BB_us-gaap--StatementEquityComponen"/>
            <w:bookmarkEnd w:id="223"/>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4" w:name="xdx_4BA_zE8P1ZI6lay4"/>
            <w:bookmarkEnd w:id="224"/>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114" w:type="dxa"/>
            <w:tcBorders/>
            <w:vAlign w:val="center"/>
          </w:tcPr>
          <w:p>
            <w:pPr>
              <w:pStyle w:val="TableContents"/>
              <w:bidi w:val="0"/>
              <w:spacing w:before="0" w:after="283"/>
              <w:jc w:val="left"/>
              <w:rPr/>
            </w:pPr>
            <w:r>
              <w:rPr/>
              <w:t> </w:t>
            </w:r>
          </w:p>
        </w:tc>
      </w:tr>
      <w:tr>
        <w:trPr/>
        <w:tc>
          <w:tcPr>
            <w:tcW w:w="23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4" w:type="dxa"/>
            <w:gridSpan w:val="6"/>
            <w:tcBorders>
              <w:bottom w:val="single" w:sz="8" w:space="0" w:color="000000"/>
            </w:tcBorders>
            <w:tcMar>
              <w:bottom w:w="28" w:type="dxa"/>
            </w:tcMar>
            <w:vAlign w:val="center"/>
          </w:tcPr>
          <w:p>
            <w:pPr>
              <w:pStyle w:val="TableContents"/>
              <w:bidi w:val="0"/>
              <w:spacing w:before="0" w:after="283"/>
              <w:jc w:val="center"/>
              <w:rPr/>
            </w:pPr>
            <w:r>
              <w:rPr/>
              <w:t xml:space="preserve">Series A </w:t>
              <w:br/>
              <w:t>Redeemable Preferred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gridSpan w:val="2"/>
            <w:tcBorders/>
            <w:vAlign w:val="center"/>
          </w:tcPr>
          <w:p>
            <w:pPr>
              <w:pStyle w:val="TableContents"/>
              <w:bidi w:val="0"/>
              <w:spacing w:before="0" w:after="283"/>
              <w:jc w:val="center"/>
              <w:rPr/>
            </w:pPr>
            <w:r>
              <w:rPr/>
              <w:t>Additional 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23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114" w:type="dxa"/>
            <w:tcBorders/>
            <w:vAlign w:val="center"/>
          </w:tcPr>
          <w:p>
            <w:pPr>
              <w:pStyle w:val="TableContents"/>
              <w:bidi w:val="0"/>
              <w:spacing w:before="0" w:after="283"/>
              <w:jc w:val="left"/>
              <w:rPr/>
            </w:pPr>
            <w:r>
              <w:rPr/>
              <w:t> </w:t>
            </w:r>
          </w:p>
        </w:tc>
      </w:tr>
      <w:tr>
        <w:trPr/>
        <w:tc>
          <w:tcPr>
            <w:tcW w:w="23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gridSpan w:val="2"/>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6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bookmarkStart w:id="225" w:name="xdx_434_c20240101__20241231_eus-gaap--St"/>
            <w:bookmarkEnd w:id="225"/>
          </w:p>
        </w:tc>
      </w:tr>
      <w:tr>
        <w:trPr/>
        <w:tc>
          <w:tcPr>
            <w:tcW w:w="2309" w:type="dxa"/>
            <w:tcBorders/>
            <w:shd w:fill="CCEEFF" w:val="clear"/>
            <w:vAlign w:val="center"/>
          </w:tcPr>
          <w:p>
            <w:pPr>
              <w:pStyle w:val="TableContents"/>
              <w:bidi w:val="0"/>
              <w:spacing w:before="0" w:after="283"/>
              <w:jc w:val="left"/>
              <w:rPr>
                <w:b/>
              </w:rPr>
            </w:pPr>
            <w:r>
              <w:rPr>
                <w:b/>
              </w:rPr>
              <w:t>Balance - January 1, 2024</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226" w:name="xdx_986_eus-gaap--SharesOutstanding_iS_p"/>
            <w:bookmarkEnd w:id="226"/>
          </w:p>
        </w:tc>
        <w:tc>
          <w:tcPr>
            <w:tcW w:w="622"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7" w:name="xdx_986_eus-gaap--SharesOutstanding_iS_p"/>
            <w:bookmarkEnd w:id="227"/>
          </w:p>
        </w:tc>
        <w:tc>
          <w:tcPr>
            <w:tcW w:w="1100" w:type="dxa"/>
            <w:tcBorders/>
            <w:shd w:fill="CCEEFF" w:val="clear"/>
            <w:vAlign w:val="center"/>
          </w:tcPr>
          <w:p>
            <w:pPr>
              <w:pStyle w:val="TableContents"/>
              <w:bidi w:val="0"/>
              <w:spacing w:before="0" w:after="283"/>
              <w:jc w:val="right"/>
              <w:rPr/>
            </w:pPr>
            <w:r>
              <w:rPr/>
              <w:t>669,559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69,451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(41,539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27,912</w:t>
            </w:r>
          </w:p>
        </w:tc>
        <w:tc>
          <w:tcPr>
            <w:tcW w:w="114" w:type="dxa"/>
            <w:tcBorders/>
            <w:shd w:fill="CCEEFF" w:val="clear"/>
            <w:vAlign w:val="center"/>
          </w:tcPr>
          <w:p>
            <w:pPr>
              <w:pStyle w:val="TableContents"/>
              <w:bidi w:val="0"/>
              <w:spacing w:before="0" w:after="283"/>
              <w:jc w:val="left"/>
              <w:rPr/>
            </w:pPr>
            <w:r>
              <w:rPr/>
              <w:t> </w:t>
            </w:r>
          </w:p>
        </w:tc>
      </w:tr>
      <w:tr>
        <w:trPr/>
        <w:tc>
          <w:tcPr>
            <w:tcW w:w="23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28" w:name="xdx_40F_eus-gaap--NetIncomeLoss_pn3n3_zC"/>
            <w:bookmarkEnd w:id="228"/>
          </w:p>
        </w:tc>
      </w:tr>
      <w:tr>
        <w:trPr/>
        <w:tc>
          <w:tcPr>
            <w:tcW w:w="2309"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(40,615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(40,615</w:t>
            </w:r>
          </w:p>
        </w:tc>
        <w:tc>
          <w:tcPr>
            <w:tcW w:w="114" w:type="dxa"/>
            <w:tcBorders/>
            <w:shd w:fill="CCEEFF" w:val="clear"/>
            <w:vAlign w:val="center"/>
          </w:tcPr>
          <w:p>
            <w:pPr>
              <w:pStyle w:val="TableContents"/>
              <w:bidi w:val="0"/>
              <w:spacing w:before="0" w:after="283"/>
              <w:jc w:val="left"/>
              <w:rPr/>
            </w:pPr>
            <w:r>
              <w:rPr/>
              <w:t>)</w:t>
            </w:r>
            <w:bookmarkStart w:id="229" w:name="xdx_409_ecustom--StockIssuedDuringPeriod"/>
            <w:bookmarkEnd w:id="229"/>
          </w:p>
        </w:tc>
      </w:tr>
      <w:tr>
        <w:trPr/>
        <w:tc>
          <w:tcPr>
            <w:tcW w:w="2309" w:type="dxa"/>
            <w:tcBorders/>
            <w:shd w:fill="FFFFFF" w:val="clear"/>
            <w:vAlign w:val="center"/>
          </w:tcPr>
          <w:p>
            <w:pPr>
              <w:pStyle w:val="TableContents"/>
              <w:bidi w:val="0"/>
              <w:spacing w:before="0" w:after="283"/>
              <w:jc w:val="left"/>
              <w:rPr/>
            </w:pPr>
            <w:r>
              <w:rPr/>
              <w:t>Adjustment due to the rounding impact from the reverse stock split in lieu of issuing fractional shares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0" w:name="xdx_988_ecustom--StockIssuedDuringPeriod"/>
            <w:bookmarkEnd w:id="230"/>
          </w:p>
        </w:tc>
        <w:tc>
          <w:tcPr>
            <w:tcW w:w="1100" w:type="dxa"/>
            <w:tcBorders/>
            <w:shd w:fill="FFFFFF" w:val="clear"/>
            <w:vAlign w:val="center"/>
          </w:tcPr>
          <w:p>
            <w:pPr>
              <w:pStyle w:val="TableContents"/>
              <w:bidi w:val="0"/>
              <w:spacing w:before="0" w:after="283"/>
              <w:jc w:val="right"/>
              <w:rPr/>
            </w:pPr>
            <w:r>
              <w:rPr/>
              <w:t>12,341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31" w:name="xdx_40C_eus-gaap--StockIssuedDuringPerio"/>
            <w:bookmarkEnd w:id="231"/>
          </w:p>
        </w:tc>
      </w:tr>
      <w:tr>
        <w:trPr/>
        <w:tc>
          <w:tcPr>
            <w:tcW w:w="2309" w:type="dxa"/>
            <w:tcBorders/>
            <w:shd w:fill="CCEEFF" w:val="clear"/>
            <w:vAlign w:val="center"/>
          </w:tcPr>
          <w:p>
            <w:pPr>
              <w:pStyle w:val="TableContents"/>
              <w:bidi w:val="0"/>
              <w:spacing w:before="0" w:after="283"/>
              <w:jc w:val="left"/>
              <w:rPr/>
            </w:pPr>
            <w:r>
              <w:rPr/>
              <w:t>Common stock issued in public offering (ATM), net of costs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2" w:name="xdx_98C_eus-gaap--StockIssuedDuringPerio"/>
            <w:bookmarkEnd w:id="232"/>
          </w:p>
        </w:tc>
        <w:tc>
          <w:tcPr>
            <w:tcW w:w="1100" w:type="dxa"/>
            <w:tcBorders/>
            <w:shd w:fill="CCEEFF" w:val="clear"/>
            <w:vAlign w:val="center"/>
          </w:tcPr>
          <w:p>
            <w:pPr>
              <w:pStyle w:val="TableContents"/>
              <w:bidi w:val="0"/>
              <w:spacing w:before="0" w:after="283"/>
              <w:jc w:val="right"/>
              <w:rPr/>
            </w:pPr>
            <w:r>
              <w:rPr/>
              <w:t>35,042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2,025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2,025</w:t>
            </w:r>
          </w:p>
        </w:tc>
        <w:tc>
          <w:tcPr>
            <w:tcW w:w="114" w:type="dxa"/>
            <w:tcBorders/>
            <w:shd w:fill="CCEEFF" w:val="clear"/>
            <w:vAlign w:val="center"/>
          </w:tcPr>
          <w:p>
            <w:pPr>
              <w:pStyle w:val="TableContents"/>
              <w:bidi w:val="0"/>
              <w:spacing w:before="0" w:after="283"/>
              <w:jc w:val="left"/>
              <w:rPr/>
            </w:pPr>
            <w:r>
              <w:rPr/>
              <w:t> </w:t>
            </w:r>
            <w:bookmarkStart w:id="233" w:name="xdx_406_eus-gaap--StockIssuedDuringPerio"/>
            <w:bookmarkEnd w:id="233"/>
          </w:p>
        </w:tc>
      </w:tr>
      <w:tr>
        <w:trPr/>
        <w:tc>
          <w:tcPr>
            <w:tcW w:w="2309" w:type="dxa"/>
            <w:tcBorders/>
            <w:shd w:fill="FFFFFF" w:val="clear"/>
            <w:vAlign w:val="center"/>
          </w:tcPr>
          <w:p>
            <w:pPr>
              <w:pStyle w:val="TableContents"/>
              <w:bidi w:val="0"/>
              <w:spacing w:before="0" w:after="283"/>
              <w:jc w:val="left"/>
              <w:rPr/>
            </w:pPr>
            <w:r>
              <w:rPr/>
              <w:t>Share issuance under ESPP</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4" w:name="xdx_984_eus-gaap--StockIssuedDuringPerio"/>
            <w:bookmarkEnd w:id="234"/>
          </w:p>
        </w:tc>
        <w:tc>
          <w:tcPr>
            <w:tcW w:w="1100" w:type="dxa"/>
            <w:tcBorders/>
            <w:shd w:fill="FFFFFF" w:val="clear"/>
            <w:vAlign w:val="center"/>
          </w:tcPr>
          <w:p>
            <w:pPr>
              <w:pStyle w:val="TableContents"/>
              <w:bidi w:val="0"/>
              <w:spacing w:before="0" w:after="283"/>
              <w:jc w:val="right"/>
              <w:rPr/>
            </w:pPr>
            <w:r>
              <w:rPr/>
              <w:t>6,118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250</w:t>
            </w:r>
          </w:p>
        </w:tc>
        <w:tc>
          <w:tcPr>
            <w:tcW w:w="114" w:type="dxa"/>
            <w:tcBorders/>
            <w:shd w:fill="FFFFFF" w:val="clear"/>
            <w:vAlign w:val="center"/>
          </w:tcPr>
          <w:p>
            <w:pPr>
              <w:pStyle w:val="TableContents"/>
              <w:bidi w:val="0"/>
              <w:spacing w:before="0" w:after="283"/>
              <w:jc w:val="left"/>
              <w:rPr/>
            </w:pPr>
            <w:r>
              <w:rPr/>
              <w:t> </w:t>
            </w:r>
            <w:bookmarkStart w:id="235" w:name="xdx_40F_eus-gaap--StockIssuedDuringPerio"/>
            <w:bookmarkEnd w:id="235"/>
          </w:p>
        </w:tc>
      </w:tr>
      <w:tr>
        <w:trPr/>
        <w:tc>
          <w:tcPr>
            <w:tcW w:w="2309" w:type="dxa"/>
            <w:tcBorders/>
            <w:shd w:fill="CCEEFF" w:val="clear"/>
            <w:vAlign w:val="center"/>
          </w:tcPr>
          <w:p>
            <w:pPr>
              <w:pStyle w:val="TableContents"/>
              <w:bidi w:val="0"/>
              <w:spacing w:before="0" w:after="283"/>
              <w:jc w:val="left"/>
              <w:rPr/>
            </w:pPr>
            <w:r>
              <w:rPr/>
              <w:t>Share cancellation</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6" w:name="xdx_985_eus-gaap--StockIssuedDuringPerio"/>
            <w:bookmarkEnd w:id="236"/>
          </w:p>
        </w:tc>
        <w:tc>
          <w:tcPr>
            <w:tcW w:w="1100"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237" w:name="xdx_408_eus-gaap--StockIssuedDuringPerio"/>
            <w:bookmarkEnd w:id="237"/>
          </w:p>
        </w:tc>
      </w:tr>
      <w:tr>
        <w:trPr/>
        <w:tc>
          <w:tcPr>
            <w:tcW w:w="2309" w:type="dxa"/>
            <w:tcBorders/>
            <w:shd w:fill="FFFFFF" w:val="clear"/>
            <w:vAlign w:val="center"/>
          </w:tcPr>
          <w:p>
            <w:pPr>
              <w:pStyle w:val="TableContents"/>
              <w:bidi w:val="0"/>
              <w:spacing w:before="0" w:after="283"/>
              <w:jc w:val="left"/>
              <w:rPr/>
            </w:pPr>
            <w:r>
              <w:rPr/>
              <w:t>Exercise of stock options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8" w:name="xdx_981_eus-gaap--StockIssuedDuringPerio"/>
            <w:bookmarkEnd w:id="238"/>
          </w:p>
        </w:tc>
        <w:tc>
          <w:tcPr>
            <w:tcW w:w="1100" w:type="dxa"/>
            <w:tcBorders/>
            <w:shd w:fill="FFFFFF" w:val="clear"/>
            <w:vAlign w:val="center"/>
          </w:tcPr>
          <w:p>
            <w:pPr>
              <w:pStyle w:val="TableContents"/>
              <w:bidi w:val="0"/>
              <w:spacing w:before="0" w:after="283"/>
              <w:jc w:val="right"/>
              <w:rPr/>
            </w:pPr>
            <w:r>
              <w:rPr/>
              <w:t>124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w:t>
            </w:r>
          </w:p>
        </w:tc>
        <w:tc>
          <w:tcPr>
            <w:tcW w:w="114" w:type="dxa"/>
            <w:tcBorders/>
            <w:shd w:fill="FFFFFF" w:val="clear"/>
            <w:vAlign w:val="center"/>
          </w:tcPr>
          <w:p>
            <w:pPr>
              <w:pStyle w:val="TableContents"/>
              <w:bidi w:val="0"/>
              <w:spacing w:before="0" w:after="283"/>
              <w:jc w:val="left"/>
              <w:rPr/>
            </w:pPr>
            <w:r>
              <w:rPr/>
              <w:t> </w:t>
            </w:r>
            <w:bookmarkStart w:id="239" w:name="xdx_402_ecustom--StockIssuedDuringPeriod"/>
            <w:bookmarkEnd w:id="239"/>
          </w:p>
        </w:tc>
      </w:tr>
      <w:tr>
        <w:trPr/>
        <w:tc>
          <w:tcPr>
            <w:tcW w:w="2309" w:type="dxa"/>
            <w:tcBorders/>
            <w:shd w:fill="CCEEFF" w:val="clear"/>
            <w:vAlign w:val="center"/>
          </w:tcPr>
          <w:p>
            <w:pPr>
              <w:pStyle w:val="TableContents"/>
              <w:bidi w:val="0"/>
              <w:spacing w:before="0" w:after="283"/>
              <w:jc w:val="left"/>
              <w:rPr/>
            </w:pPr>
            <w:r>
              <w:rPr/>
              <w:t>Shares issued for vested restricted stock units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0" w:name="xdx_985_ecustom--StockIssuedDuringPeriod"/>
            <w:bookmarkEnd w:id="240"/>
          </w:p>
        </w:tc>
        <w:tc>
          <w:tcPr>
            <w:tcW w:w="1100" w:type="dxa"/>
            <w:tcBorders/>
            <w:shd w:fill="CCEEFF" w:val="clear"/>
            <w:vAlign w:val="center"/>
          </w:tcPr>
          <w:p>
            <w:pPr>
              <w:pStyle w:val="TableContents"/>
              <w:bidi w:val="0"/>
              <w:spacing w:before="0" w:after="283"/>
              <w:jc w:val="right"/>
              <w:rPr/>
            </w:pPr>
            <w:r>
              <w:rPr/>
              <w:t>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241" w:name="xdx_40C_eus-gaap--AdjustmentsToAdditiona"/>
            <w:bookmarkEnd w:id="241"/>
          </w:p>
        </w:tc>
      </w:tr>
      <w:tr>
        <w:trPr/>
        <w:tc>
          <w:tcPr>
            <w:tcW w:w="2309"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pPr>
            <w:r>
              <w:rPr/>
              <w:t>1,020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1,020</w:t>
            </w:r>
          </w:p>
        </w:tc>
        <w:tc>
          <w:tcPr>
            <w:tcW w:w="114" w:type="dxa"/>
            <w:tcBorders/>
            <w:shd w:fill="FFFFFF" w:val="clear"/>
            <w:vAlign w:val="center"/>
          </w:tcPr>
          <w:p>
            <w:pPr>
              <w:pStyle w:val="TableContents"/>
              <w:bidi w:val="0"/>
              <w:spacing w:before="0" w:after="283"/>
              <w:jc w:val="left"/>
              <w:rPr/>
            </w:pPr>
            <w:r>
              <w:rPr/>
              <w:t> </w:t>
            </w:r>
          </w:p>
        </w:tc>
      </w:tr>
      <w:tr>
        <w:trPr/>
        <w:tc>
          <w:tcPr>
            <w:tcW w:w="23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42" w:name="xdx_43F_c20250101__20251231_eus-gaap--St"/>
            <w:bookmarkEnd w:id="242"/>
          </w:p>
        </w:tc>
      </w:tr>
      <w:tr>
        <w:trPr/>
        <w:tc>
          <w:tcPr>
            <w:tcW w:w="2309" w:type="dxa"/>
            <w:tcBorders/>
            <w:shd w:fill="FFFFFF" w:val="clear"/>
            <w:vAlign w:val="center"/>
          </w:tcPr>
          <w:p>
            <w:pPr>
              <w:pStyle w:val="TableContents"/>
              <w:bidi w:val="0"/>
              <w:spacing w:before="0" w:after="283"/>
              <w:jc w:val="left"/>
              <w:rPr>
                <w:b/>
              </w:rPr>
            </w:pPr>
            <w:r>
              <w:rPr>
                <w:b/>
              </w:rPr>
              <w:t>Balance - December 31, 2024</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243" w:name="xdx_981_eus-gaap--SharesOutstanding_iS_p"/>
            <w:bookmarkEnd w:id="243"/>
          </w:p>
        </w:tc>
        <w:tc>
          <w:tcPr>
            <w:tcW w:w="622"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4" w:name="xdx_98E_eus-gaap--SharesOutstanding_iS_p"/>
            <w:bookmarkEnd w:id="244"/>
          </w:p>
        </w:tc>
        <w:tc>
          <w:tcPr>
            <w:tcW w:w="1100" w:type="dxa"/>
            <w:tcBorders/>
            <w:shd w:fill="FFFFFF" w:val="clear"/>
            <w:vAlign w:val="center"/>
          </w:tcPr>
          <w:p>
            <w:pPr>
              <w:pStyle w:val="TableContents"/>
              <w:bidi w:val="0"/>
              <w:spacing w:before="0" w:after="283"/>
              <w:jc w:val="right"/>
              <w:rPr/>
            </w:pPr>
            <w:r>
              <w:rPr/>
              <w:t>723,265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72,750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(82,154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(9,404</w:t>
            </w:r>
          </w:p>
        </w:tc>
        <w:tc>
          <w:tcPr>
            <w:tcW w:w="114" w:type="dxa"/>
            <w:tcBorders/>
            <w:shd w:fill="FFFFFF" w:val="clear"/>
            <w:vAlign w:val="center"/>
          </w:tcPr>
          <w:p>
            <w:pPr>
              <w:pStyle w:val="TableContents"/>
              <w:bidi w:val="0"/>
              <w:spacing w:before="0" w:after="283"/>
              <w:jc w:val="left"/>
              <w:rPr/>
            </w:pPr>
            <w:r>
              <w:rPr/>
              <w:t>)</w:t>
            </w:r>
            <w:bookmarkStart w:id="245" w:name="xdx_43B_c20250101__20251231_eus-gaap--St"/>
            <w:bookmarkEnd w:id="245"/>
          </w:p>
        </w:tc>
      </w:tr>
      <w:tr>
        <w:trPr/>
        <w:tc>
          <w:tcPr>
            <w:tcW w:w="2309" w:type="dxa"/>
            <w:tcBorders/>
            <w:shd w:fill="FFFFFF" w:val="clear"/>
            <w:vAlign w:val="center"/>
          </w:tcPr>
          <w:p>
            <w:pPr>
              <w:pStyle w:val="TableContents"/>
              <w:bidi w:val="0"/>
              <w:spacing w:before="0" w:after="283"/>
              <w:jc w:val="left"/>
              <w:rPr>
                <w:b/>
              </w:rPr>
            </w:pPr>
            <w:r>
              <w:rPr>
                <w:b/>
              </w:rPr>
              <w:t xml:space="preserve">Balance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246" w:name="xdx_988_eus-gaap--SharesOutstanding_iS_p"/>
            <w:bookmarkEnd w:id="246"/>
          </w:p>
        </w:tc>
        <w:tc>
          <w:tcPr>
            <w:tcW w:w="622"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7" w:name="xdx_98F_eus-gaap--SharesOutstanding_iS_p"/>
            <w:bookmarkEnd w:id="247"/>
          </w:p>
        </w:tc>
        <w:tc>
          <w:tcPr>
            <w:tcW w:w="1100" w:type="dxa"/>
            <w:tcBorders/>
            <w:shd w:fill="FFFFFF" w:val="clear"/>
            <w:vAlign w:val="center"/>
          </w:tcPr>
          <w:p>
            <w:pPr>
              <w:pStyle w:val="TableContents"/>
              <w:bidi w:val="0"/>
              <w:spacing w:before="0" w:after="283"/>
              <w:jc w:val="right"/>
              <w:rPr/>
            </w:pPr>
            <w:r>
              <w:rPr/>
              <w:t>723,265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72,750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(82,154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(9,404</w:t>
            </w:r>
          </w:p>
        </w:tc>
        <w:tc>
          <w:tcPr>
            <w:tcW w:w="114" w:type="dxa"/>
            <w:tcBorders/>
            <w:shd w:fill="FFFFFF" w:val="clear"/>
            <w:vAlign w:val="center"/>
          </w:tcPr>
          <w:p>
            <w:pPr>
              <w:pStyle w:val="TableContents"/>
              <w:bidi w:val="0"/>
              <w:spacing w:before="0" w:after="283"/>
              <w:jc w:val="left"/>
              <w:rPr/>
            </w:pPr>
            <w:r>
              <w:rPr/>
              <w:t>)</w:t>
            </w:r>
          </w:p>
        </w:tc>
      </w:tr>
      <w:tr>
        <w:trPr/>
        <w:tc>
          <w:tcPr>
            <w:tcW w:w="23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48" w:name="xdx_40F_eus-gaap--NetIncomeLoss_pn3n3_zj"/>
            <w:bookmarkEnd w:id="248"/>
          </w:p>
        </w:tc>
      </w:tr>
      <w:tr>
        <w:trPr/>
        <w:tc>
          <w:tcPr>
            <w:tcW w:w="2309"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(69,939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(69,939</w:t>
            </w:r>
          </w:p>
        </w:tc>
        <w:tc>
          <w:tcPr>
            <w:tcW w:w="114" w:type="dxa"/>
            <w:tcBorders/>
            <w:shd w:fill="FFFFFF" w:val="clear"/>
            <w:vAlign w:val="center"/>
          </w:tcPr>
          <w:p>
            <w:pPr>
              <w:pStyle w:val="TableContents"/>
              <w:bidi w:val="0"/>
              <w:spacing w:before="0" w:after="283"/>
              <w:jc w:val="left"/>
              <w:rPr/>
            </w:pPr>
            <w:r>
              <w:rPr/>
              <w:t>)</w:t>
            </w:r>
            <w:bookmarkStart w:id="249" w:name="xdx_409_ecustom--StockIssuedDuringPeriod"/>
            <w:bookmarkEnd w:id="249"/>
          </w:p>
        </w:tc>
      </w:tr>
      <w:tr>
        <w:trPr/>
        <w:tc>
          <w:tcPr>
            <w:tcW w:w="2309" w:type="dxa"/>
            <w:tcBorders/>
            <w:shd w:fill="CCEEFF" w:val="clear"/>
            <w:vAlign w:val="center"/>
          </w:tcPr>
          <w:p>
            <w:pPr>
              <w:pStyle w:val="TableContents"/>
              <w:bidi w:val="0"/>
              <w:spacing w:before="0" w:after="283"/>
              <w:jc w:val="left"/>
              <w:rPr/>
            </w:pPr>
            <w:r>
              <w:rPr/>
              <w:t>Adjustment due to the rounding impact from the reverse stock split in lieu of issuing fractional shares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50" w:name="xdx_987_ecustom--StockIssuedDuringPeriod"/>
            <w:bookmarkEnd w:id="250"/>
          </w:p>
        </w:tc>
        <w:tc>
          <w:tcPr>
            <w:tcW w:w="1100" w:type="dxa"/>
            <w:tcBorders/>
            <w:shd w:fill="CCEEFF" w:val="cle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251" w:name="xdx_40C_eus-gaap--StockIssuedDuringPerio"/>
            <w:bookmarkEnd w:id="251"/>
          </w:p>
        </w:tc>
      </w:tr>
      <w:tr>
        <w:trPr/>
        <w:tc>
          <w:tcPr>
            <w:tcW w:w="2309" w:type="dxa"/>
            <w:tcBorders/>
            <w:shd w:fill="FFFFFF" w:val="clear"/>
            <w:vAlign w:val="center"/>
          </w:tcPr>
          <w:p>
            <w:pPr>
              <w:pStyle w:val="TableContents"/>
              <w:bidi w:val="0"/>
              <w:spacing w:before="0" w:after="283"/>
              <w:jc w:val="left"/>
              <w:rPr/>
            </w:pPr>
            <w:r>
              <w:rPr/>
              <w:t>Common stock issued in public offering (ATM), net of costs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52" w:name="xdx_988_eus-gaap--StockIssuedDuringPerio"/>
            <w:bookmarkEnd w:id="252"/>
          </w:p>
        </w:tc>
        <w:tc>
          <w:tcPr>
            <w:tcW w:w="1100" w:type="dxa"/>
            <w:tcBorders/>
            <w:shd w:fill="FFFFFF" w:val="clear"/>
            <w:vAlign w:val="center"/>
          </w:tcPr>
          <w:p>
            <w:pPr>
              <w:pStyle w:val="TableContents"/>
              <w:bidi w:val="0"/>
              <w:spacing w:before="0" w:after="283"/>
              <w:jc w:val="right"/>
              <w:rPr/>
            </w:pPr>
            <w:r>
              <w:rPr/>
              <w:t>2,316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63</w:t>
            </w:r>
          </w:p>
        </w:tc>
        <w:tc>
          <w:tcPr>
            <w:tcW w:w="114" w:type="dxa"/>
            <w:tcBorders/>
            <w:shd w:fill="FFFFFF" w:val="clear"/>
            <w:vAlign w:val="center"/>
          </w:tcPr>
          <w:p>
            <w:pPr>
              <w:pStyle w:val="TableContents"/>
              <w:bidi w:val="0"/>
              <w:spacing w:before="0" w:after="283"/>
              <w:jc w:val="left"/>
              <w:rPr/>
            </w:pPr>
            <w:r>
              <w:rPr/>
              <w:t> </w:t>
            </w:r>
            <w:bookmarkStart w:id="253" w:name="xdx_404_ecustom--StockIssuedDuringPeriod"/>
            <w:bookmarkEnd w:id="253"/>
          </w:p>
        </w:tc>
      </w:tr>
      <w:tr>
        <w:trPr/>
        <w:tc>
          <w:tcPr>
            <w:tcW w:w="2309" w:type="dxa"/>
            <w:tcBorders/>
            <w:shd w:fill="CCEEFF" w:val="clear"/>
            <w:vAlign w:val="center"/>
          </w:tcPr>
          <w:p>
            <w:pPr>
              <w:pStyle w:val="TableContents"/>
              <w:bidi w:val="0"/>
              <w:spacing w:before="0" w:after="283"/>
              <w:jc w:val="left"/>
              <w:rPr/>
            </w:pPr>
            <w:r>
              <w:rPr/>
              <w:t>Common stock issued in public offering, net of costs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54" w:name="xdx_98E_ecustom--StockIssuedDuringPeriod"/>
            <w:bookmarkEnd w:id="254"/>
          </w:p>
        </w:tc>
        <w:tc>
          <w:tcPr>
            <w:tcW w:w="1100" w:type="dxa"/>
            <w:tcBorders/>
            <w:shd w:fill="CCEEFF" w:val="clear"/>
            <w:vAlign w:val="center"/>
          </w:tcPr>
          <w:p>
            <w:pPr>
              <w:pStyle w:val="TableContents"/>
              <w:bidi w:val="0"/>
              <w:spacing w:before="0" w:after="283"/>
              <w:jc w:val="right"/>
              <w:rPr/>
            </w:pPr>
            <w:r>
              <w:rPr/>
              <w:t>8,098,000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83,537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83,538</w:t>
            </w:r>
          </w:p>
        </w:tc>
        <w:tc>
          <w:tcPr>
            <w:tcW w:w="114" w:type="dxa"/>
            <w:tcBorders/>
            <w:shd w:fill="CCEEFF" w:val="clear"/>
            <w:vAlign w:val="center"/>
          </w:tcPr>
          <w:p>
            <w:pPr>
              <w:pStyle w:val="TableContents"/>
              <w:bidi w:val="0"/>
              <w:spacing w:before="0" w:after="283"/>
              <w:jc w:val="left"/>
              <w:rPr/>
            </w:pPr>
            <w:r>
              <w:rPr/>
              <w:t> </w:t>
            </w:r>
            <w:bookmarkStart w:id="255" w:name="xdx_407_eus-gaap--StockIssuedDuringPerio"/>
            <w:bookmarkEnd w:id="255"/>
          </w:p>
        </w:tc>
      </w:tr>
      <w:tr>
        <w:trPr/>
        <w:tc>
          <w:tcPr>
            <w:tcW w:w="2309" w:type="dxa"/>
            <w:tcBorders/>
            <w:shd w:fill="FFFFFF" w:val="clear"/>
            <w:vAlign w:val="center"/>
          </w:tcPr>
          <w:p>
            <w:pPr>
              <w:pStyle w:val="TableContents"/>
              <w:bidi w:val="0"/>
              <w:spacing w:before="0" w:after="283"/>
              <w:jc w:val="left"/>
              <w:rPr/>
            </w:pPr>
            <w:r>
              <w:rPr/>
              <w:t>Redeemable preferred stock issued, net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256" w:name="xdx_984_eus-gaap--StockIssuedDuringPerio"/>
            <w:bookmarkEnd w:id="256"/>
          </w:p>
        </w:tc>
        <w:tc>
          <w:tcPr>
            <w:tcW w:w="622" w:type="dxa"/>
            <w:tcBorders/>
            <w:shd w:fill="FFFFFF" w:val="clear"/>
            <w:vAlign w:val="center"/>
          </w:tcPr>
          <w:p>
            <w:pPr>
              <w:pStyle w:val="TableContents"/>
              <w:bidi w:val="0"/>
              <w:spacing w:before="0" w:after="283"/>
              <w:jc w:val="right"/>
              <w:rPr/>
            </w:pPr>
            <w:r>
              <w:rPr/>
              <w:t>800</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7,330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57" w:name="xdx_406_eus-gaap--StockIssuedDuringPerio"/>
            <w:bookmarkEnd w:id="257"/>
          </w:p>
        </w:tc>
      </w:tr>
      <w:tr>
        <w:trPr/>
        <w:tc>
          <w:tcPr>
            <w:tcW w:w="2309" w:type="dxa"/>
            <w:tcBorders/>
            <w:shd w:fill="CCEEFF" w:val="clear"/>
            <w:vAlign w:val="center"/>
          </w:tcPr>
          <w:p>
            <w:pPr>
              <w:pStyle w:val="TableContents"/>
              <w:bidi w:val="0"/>
              <w:spacing w:before="0" w:after="283"/>
              <w:jc w:val="left"/>
              <w:rPr/>
            </w:pPr>
            <w:r>
              <w:rPr/>
              <w:t>Share issuance under ESPP</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58" w:name="xdx_983_eus-gaap--StockIssuedDuringPerio"/>
            <w:bookmarkEnd w:id="258"/>
          </w:p>
        </w:tc>
        <w:tc>
          <w:tcPr>
            <w:tcW w:w="1100" w:type="dxa"/>
            <w:tcBorders/>
            <w:shd w:fill="CCEEFF" w:val="clear"/>
            <w:vAlign w:val="center"/>
          </w:tcPr>
          <w:p>
            <w:pPr>
              <w:pStyle w:val="TableContents"/>
              <w:bidi w:val="0"/>
              <w:spacing w:before="0" w:after="283"/>
              <w:jc w:val="right"/>
              <w:rPr/>
            </w:pPr>
            <w:r>
              <w:rPr/>
              <w:t>13,208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97</w:t>
            </w:r>
          </w:p>
        </w:tc>
        <w:tc>
          <w:tcPr>
            <w:tcW w:w="114" w:type="dxa"/>
            <w:tcBorders/>
            <w:shd w:fill="CCEEFF" w:val="clear"/>
            <w:vAlign w:val="center"/>
          </w:tcPr>
          <w:p>
            <w:pPr>
              <w:pStyle w:val="TableContents"/>
              <w:bidi w:val="0"/>
              <w:spacing w:before="0" w:after="283"/>
              <w:jc w:val="left"/>
              <w:rPr/>
            </w:pPr>
            <w:r>
              <w:rPr/>
              <w:t> </w:t>
            </w:r>
            <w:bookmarkStart w:id="259" w:name="xdx_402_ecustom--StockIssuedDuringPeriod"/>
            <w:bookmarkEnd w:id="259"/>
          </w:p>
        </w:tc>
      </w:tr>
      <w:tr>
        <w:trPr/>
        <w:tc>
          <w:tcPr>
            <w:tcW w:w="2309" w:type="dxa"/>
            <w:tcBorders/>
            <w:shd w:fill="FFFFFF" w:val="clear"/>
            <w:vAlign w:val="center"/>
          </w:tcPr>
          <w:p>
            <w:pPr>
              <w:pStyle w:val="TableContents"/>
              <w:bidi w:val="0"/>
              <w:spacing w:before="0" w:after="283"/>
              <w:jc w:val="left"/>
              <w:rPr/>
            </w:pPr>
            <w:r>
              <w:rPr/>
              <w:t>Shares issued for vested restricted stock units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60" w:name="xdx_980_ecustom--StockIssuedDuringPeriod"/>
            <w:bookmarkEnd w:id="260"/>
          </w:p>
        </w:tc>
        <w:tc>
          <w:tcPr>
            <w:tcW w:w="1100" w:type="dxa"/>
            <w:tcBorders/>
            <w:shd w:fill="FFFFFF" w:val="clear"/>
            <w:vAlign w:val="center"/>
          </w:tcPr>
          <w:p>
            <w:pPr>
              <w:pStyle w:val="TableContents"/>
              <w:bidi w:val="0"/>
              <w:spacing w:before="0" w:after="283"/>
              <w:jc w:val="right"/>
              <w:rPr/>
            </w:pPr>
            <w:r>
              <w:rPr/>
              <w:t>10,536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61" w:name="xdx_400_eus-gaap--StockIssuedDuringPerio"/>
            <w:bookmarkEnd w:id="261"/>
          </w:p>
        </w:tc>
      </w:tr>
      <w:tr>
        <w:trPr/>
        <w:tc>
          <w:tcPr>
            <w:tcW w:w="2309" w:type="dxa"/>
            <w:tcBorders/>
            <w:shd w:fill="CCEEFF" w:val="clear"/>
            <w:vAlign w:val="center"/>
          </w:tcPr>
          <w:p>
            <w:pPr>
              <w:pStyle w:val="TableContents"/>
              <w:bidi w:val="0"/>
              <w:spacing w:before="0" w:after="283"/>
              <w:jc w:val="left"/>
              <w:rPr/>
            </w:pPr>
            <w:r>
              <w:rPr/>
              <w:t>Conversion of preferred to common</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262" w:name="xdx_981_ecustom--StockIssuedDuringPeriod"/>
            <w:bookmarkEnd w:id="262"/>
          </w:p>
        </w:tc>
        <w:tc>
          <w:tcPr>
            <w:tcW w:w="622" w:type="dxa"/>
            <w:tcBorders/>
            <w:shd w:fill="CCEEFF" w:val="clear"/>
            <w:vAlign w:val="center"/>
          </w:tcPr>
          <w:p>
            <w:pPr>
              <w:pStyle w:val="TableContents"/>
              <w:bidi w:val="0"/>
              <w:spacing w:before="0" w:after="283"/>
              <w:jc w:val="right"/>
              <w:rPr/>
            </w:pPr>
            <w:r>
              <w:rPr/>
              <w:t>(800</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(7,330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63" w:name="xdx_985_ecustom--StockIssuedDuringPeriod"/>
            <w:bookmarkEnd w:id="263"/>
          </w:p>
        </w:tc>
        <w:tc>
          <w:tcPr>
            <w:tcW w:w="1100" w:type="dxa"/>
            <w:tcBorders/>
            <w:shd w:fill="CCEEFF" w:val="clear"/>
            <w:vAlign w:val="center"/>
          </w:tcPr>
          <w:p>
            <w:pPr>
              <w:pStyle w:val="TableContents"/>
              <w:bidi w:val="0"/>
              <w:spacing w:before="0" w:after="283"/>
              <w:jc w:val="right"/>
              <w:rPr/>
            </w:pPr>
            <w:r>
              <w:rPr/>
              <w:t>3,231,462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7,330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7,330</w:t>
            </w:r>
          </w:p>
        </w:tc>
        <w:tc>
          <w:tcPr>
            <w:tcW w:w="114" w:type="dxa"/>
            <w:tcBorders/>
            <w:shd w:fill="CCEEFF" w:val="clear"/>
            <w:vAlign w:val="center"/>
          </w:tcPr>
          <w:p>
            <w:pPr>
              <w:pStyle w:val="TableContents"/>
              <w:bidi w:val="0"/>
              <w:spacing w:before="0" w:after="283"/>
              <w:jc w:val="left"/>
              <w:rPr/>
            </w:pPr>
            <w:r>
              <w:rPr/>
              <w:t> </w:t>
            </w:r>
            <w:bookmarkStart w:id="264" w:name="xdx_40B_ecustom--StockIssuedDuringThePer"/>
            <w:bookmarkEnd w:id="264"/>
          </w:p>
        </w:tc>
      </w:tr>
      <w:tr>
        <w:trPr/>
        <w:tc>
          <w:tcPr>
            <w:tcW w:w="2309" w:type="dxa"/>
            <w:tcBorders/>
            <w:shd w:fill="FFFFFF" w:val="clear"/>
            <w:vAlign w:val="center"/>
          </w:tcPr>
          <w:p>
            <w:pPr>
              <w:pStyle w:val="TableContents"/>
              <w:bidi w:val="0"/>
              <w:spacing w:before="0" w:after="283"/>
              <w:jc w:val="left"/>
              <w:rPr/>
            </w:pPr>
            <w:r>
              <w:rPr/>
              <w:t>Dividends Preferred Series B - Paid-in-kind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(79</w:t>
            </w:r>
          </w:p>
        </w:tc>
        <w:tc>
          <w:tcPr>
            <w:tcW w:w="114" w:type="dxa"/>
            <w:tcBorders/>
            <w:shd w:fill="FFFFFF" w:val="clear"/>
            <w:vAlign w:val="center"/>
          </w:tcPr>
          <w:p>
            <w:pPr>
              <w:pStyle w:val="TableContents"/>
              <w:bidi w:val="0"/>
              <w:spacing w:before="0" w:after="283"/>
              <w:jc w:val="left"/>
              <w:rPr/>
            </w:pPr>
            <w:r>
              <w:rPr/>
              <w:t>)</w:t>
            </w:r>
            <w:bookmarkStart w:id="265" w:name="xdx_40F_ecustom--StockIssuedDuringThePer"/>
            <w:bookmarkEnd w:id="265"/>
          </w:p>
        </w:tc>
      </w:tr>
      <w:tr>
        <w:trPr/>
        <w:tc>
          <w:tcPr>
            <w:tcW w:w="2309" w:type="dxa"/>
            <w:tcBorders/>
            <w:shd w:fill="CCEEFF" w:val="clear"/>
            <w:vAlign w:val="center"/>
          </w:tcPr>
          <w:p>
            <w:pPr>
              <w:pStyle w:val="TableContents"/>
              <w:bidi w:val="0"/>
              <w:spacing w:before="0" w:after="283"/>
              <w:jc w:val="left"/>
              <w:rPr/>
            </w:pPr>
            <w:r>
              <w:rPr/>
              <w:t>Dividends Preferred Series B</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(317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(317</w:t>
            </w:r>
          </w:p>
        </w:tc>
        <w:tc>
          <w:tcPr>
            <w:tcW w:w="114" w:type="dxa"/>
            <w:tcBorders/>
            <w:shd w:fill="CCEEFF" w:val="clear"/>
            <w:vAlign w:val="center"/>
          </w:tcPr>
          <w:p>
            <w:pPr>
              <w:pStyle w:val="TableContents"/>
              <w:bidi w:val="0"/>
              <w:spacing w:before="0" w:after="283"/>
              <w:jc w:val="left"/>
              <w:rPr/>
            </w:pPr>
            <w:r>
              <w:rPr/>
              <w:t>)</w:t>
            </w:r>
            <w:bookmarkStart w:id="266" w:name="xdx_406_ecustom--StockIssuedDuringThePer"/>
            <w:bookmarkEnd w:id="266"/>
          </w:p>
        </w:tc>
      </w:tr>
      <w:tr>
        <w:trPr/>
        <w:tc>
          <w:tcPr>
            <w:tcW w:w="2309" w:type="dxa"/>
            <w:tcBorders/>
            <w:shd w:fill="FFFFFF" w:val="clear"/>
            <w:vAlign w:val="center"/>
          </w:tcPr>
          <w:p>
            <w:pPr>
              <w:pStyle w:val="TableContents"/>
              <w:bidi w:val="0"/>
              <w:spacing w:before="0" w:after="283"/>
              <w:jc w:val="left"/>
              <w:rPr/>
            </w:pPr>
            <w:r>
              <w:rPr/>
              <w:t>Accretion of discount on Series B Preferred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(473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(473</w:t>
            </w:r>
          </w:p>
        </w:tc>
        <w:tc>
          <w:tcPr>
            <w:tcW w:w="114" w:type="dxa"/>
            <w:tcBorders/>
            <w:shd w:fill="FFFFFF" w:val="clear"/>
            <w:vAlign w:val="center"/>
          </w:tcPr>
          <w:p>
            <w:pPr>
              <w:pStyle w:val="TableContents"/>
              <w:bidi w:val="0"/>
              <w:spacing w:before="0" w:after="283"/>
              <w:jc w:val="left"/>
              <w:rPr/>
            </w:pPr>
            <w:r>
              <w:rPr/>
              <w:t>)</w:t>
            </w:r>
            <w:bookmarkStart w:id="267" w:name="xdx_40C_eus-gaap--AdjustmentsToAdditiona"/>
            <w:bookmarkEnd w:id="267"/>
          </w:p>
        </w:tc>
      </w:tr>
      <w:tr>
        <w:trPr/>
        <w:tc>
          <w:tcPr>
            <w:tcW w:w="2309" w:type="dxa"/>
            <w:tcBorders/>
            <w:shd w:fill="CCEEFF" w:val="clear"/>
            <w:vAlign w:val="center"/>
          </w:tcPr>
          <w:p>
            <w:pPr>
              <w:pStyle w:val="TableContents"/>
              <w:bidi w:val="0"/>
              <w:spacing w:before="0" w:after="283"/>
              <w:jc w:val="left"/>
              <w:rPr/>
            </w:pPr>
            <w:r>
              <w:rPr/>
              <w:t>Stock compensation expense</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pPr>
            <w:r>
              <w:rPr/>
              <w:t>714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714</w:t>
            </w:r>
          </w:p>
        </w:tc>
        <w:tc>
          <w:tcPr>
            <w:tcW w:w="114" w:type="dxa"/>
            <w:tcBorders/>
            <w:shd w:fill="CCEEFF" w:val="clear"/>
            <w:vAlign w:val="center"/>
          </w:tcPr>
          <w:p>
            <w:pPr>
              <w:pStyle w:val="TableContents"/>
              <w:bidi w:val="0"/>
              <w:spacing w:before="0" w:after="283"/>
              <w:jc w:val="left"/>
              <w:rPr/>
            </w:pPr>
            <w:r>
              <w:rPr/>
              <w:t> </w:t>
            </w:r>
          </w:p>
        </w:tc>
      </w:tr>
      <w:tr>
        <w:trPr/>
        <w:tc>
          <w:tcPr>
            <w:tcW w:w="23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68" w:name="xdx_438_c20250101__20251231_eus-gaap--St"/>
            <w:bookmarkEnd w:id="268"/>
          </w:p>
        </w:tc>
      </w:tr>
      <w:tr>
        <w:trPr/>
        <w:tc>
          <w:tcPr>
            <w:tcW w:w="2309" w:type="dxa"/>
            <w:tcBorders/>
            <w:shd w:fill="CCEEFF" w:val="clear"/>
            <w:vAlign w:val="center"/>
          </w:tcPr>
          <w:p>
            <w:pPr>
              <w:pStyle w:val="TableContents"/>
              <w:bidi w:val="0"/>
              <w:spacing w:before="0" w:after="283"/>
              <w:jc w:val="left"/>
              <w:rPr>
                <w:b/>
              </w:rPr>
            </w:pPr>
            <w:r>
              <w:rPr>
                <w:b/>
              </w:rPr>
              <w:t>Balance - December 31, 2025</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69" w:name="xdx_988_eus-gaap--SharesOutstanding_iE_p"/>
            <w:bookmarkEnd w:id="269"/>
          </w:p>
        </w:tc>
        <w:tc>
          <w:tcPr>
            <w:tcW w:w="62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70" w:name="xdx_988_eus-gaap--SharesOutstanding_iE_p"/>
            <w:bookmarkEnd w:id="270"/>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12,078,713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8" w:type="dxa"/>
            <w:tcBorders>
              <w:bottom w:val="double" w:sz="6" w:space="0" w:color="000000"/>
            </w:tcBorders>
            <w:shd w:fill="CCEEFF" w:val="clear"/>
            <w:tcMar>
              <w:bottom w:w="28" w:type="dxa"/>
            </w:tcMar>
            <w:vAlign w:val="center"/>
          </w:tcPr>
          <w:p>
            <w:pPr>
              <w:pStyle w:val="TableContents"/>
              <w:bidi w:val="0"/>
              <w:spacing w:before="0" w:after="283"/>
              <w:jc w:val="right"/>
              <w:rPr/>
            </w:pPr>
            <w:r>
              <w:rPr/>
              <w:t>163,622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4" w:type="dxa"/>
            <w:tcBorders>
              <w:bottom w:val="double" w:sz="6" w:space="0" w:color="000000"/>
            </w:tcBorders>
            <w:shd w:fill="CCEEFF" w:val="clear"/>
            <w:tcMar>
              <w:bottom w:w="28" w:type="dxa"/>
            </w:tcMar>
            <w:vAlign w:val="center"/>
          </w:tcPr>
          <w:p>
            <w:pPr>
              <w:pStyle w:val="TableContents"/>
              <w:bidi w:val="0"/>
              <w:spacing w:before="0" w:after="283"/>
              <w:jc w:val="right"/>
              <w:rPr/>
            </w:pPr>
            <w:r>
              <w:rPr/>
              <w:t>(152,093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11,530</w:t>
            </w:r>
          </w:p>
        </w:tc>
        <w:tc>
          <w:tcPr>
            <w:tcW w:w="114" w:type="dxa"/>
            <w:tcBorders/>
            <w:shd w:fill="CCEEFF" w:val="clear"/>
            <w:vAlign w:val="center"/>
          </w:tcPr>
          <w:p>
            <w:pPr>
              <w:pStyle w:val="TableContents"/>
              <w:bidi w:val="0"/>
              <w:spacing w:before="0" w:after="283"/>
              <w:jc w:val="left"/>
              <w:rPr/>
            </w:pPr>
            <w:r>
              <w:rPr/>
              <w:t> </w:t>
            </w:r>
            <w:bookmarkStart w:id="271" w:name="xdx_433_c20250101__20251231_eus-gaap--St"/>
            <w:bookmarkEnd w:id="271"/>
          </w:p>
        </w:tc>
      </w:tr>
      <w:tr>
        <w:trPr/>
        <w:tc>
          <w:tcPr>
            <w:tcW w:w="2309" w:type="dxa"/>
            <w:tcBorders/>
            <w:shd w:fill="CCEEFF" w:val="clear"/>
            <w:vAlign w:val="center"/>
          </w:tcPr>
          <w:p>
            <w:pPr>
              <w:pStyle w:val="TableContents"/>
              <w:bidi w:val="0"/>
              <w:spacing w:before="0" w:after="283"/>
              <w:jc w:val="left"/>
              <w:rPr>
                <w:b/>
              </w:rPr>
            </w:pPr>
            <w:r>
              <w:rPr>
                <w:b/>
              </w:rPr>
              <w:t xml:space="preserve">Balance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72" w:name="xdx_986_eus-gaap--SharesOutstanding_iE_p"/>
            <w:bookmarkEnd w:id="272"/>
          </w:p>
        </w:tc>
        <w:tc>
          <w:tcPr>
            <w:tcW w:w="62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73" w:name="xdx_989_eus-gaap--SharesOutstanding_iE_p"/>
            <w:bookmarkEnd w:id="27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12,078,713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8" w:type="dxa"/>
            <w:tcBorders>
              <w:bottom w:val="double" w:sz="6" w:space="0" w:color="000000"/>
            </w:tcBorders>
            <w:shd w:fill="CCEEFF" w:val="clear"/>
            <w:tcMar>
              <w:bottom w:w="28" w:type="dxa"/>
            </w:tcMar>
            <w:vAlign w:val="center"/>
          </w:tcPr>
          <w:p>
            <w:pPr>
              <w:pStyle w:val="TableContents"/>
              <w:bidi w:val="0"/>
              <w:spacing w:before="0" w:after="283"/>
              <w:jc w:val="right"/>
              <w:rPr/>
            </w:pPr>
            <w:r>
              <w:rPr/>
              <w:t>163,622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4" w:type="dxa"/>
            <w:tcBorders>
              <w:bottom w:val="double" w:sz="6" w:space="0" w:color="000000"/>
            </w:tcBorders>
            <w:shd w:fill="CCEEFF" w:val="clear"/>
            <w:tcMar>
              <w:bottom w:w="28" w:type="dxa"/>
            </w:tcMar>
            <w:vAlign w:val="center"/>
          </w:tcPr>
          <w:p>
            <w:pPr>
              <w:pStyle w:val="TableContents"/>
              <w:bidi w:val="0"/>
              <w:spacing w:before="0" w:after="283"/>
              <w:jc w:val="right"/>
              <w:rPr/>
            </w:pPr>
            <w:r>
              <w:rPr/>
              <w:t>(152,093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11,530</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74" w:name="findr_006"/>
      <w:bookmarkEnd w:id="274"/>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Consolidated Statements of Cash Flows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Years Ended December 31, 2025 and 2024</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75" w:name="xdx_30D_112_pn3n3_zt6nVgPLhMSh"/>
      <w:bookmarkStart w:id="276" w:name="xdx_30D_112_pn3n3_zt6nVgPLhMSh"/>
      <w:bookmarkEnd w:id="276"/>
    </w:p>
    <w:tbl>
      <w:tblPr>
        <w:tblW w:w="6680" w:type="dxa"/>
        <w:jc w:val="left"/>
        <w:tblInd w:w="0" w:type="dxa"/>
        <w:tblLayout w:type="fixed"/>
        <w:tblCellMar>
          <w:top w:w="0" w:type="dxa"/>
          <w:left w:w="0" w:type="dxa"/>
          <w:bottom w:w="0" w:type="dxa"/>
          <w:right w:w="0" w:type="dxa"/>
        </w:tblCellMar>
      </w:tblPr>
      <w:tblGrid>
        <w:gridCol w:w="4565"/>
        <w:gridCol w:w="60"/>
        <w:gridCol w:w="140"/>
        <w:gridCol w:w="755"/>
        <w:gridCol w:w="95"/>
        <w:gridCol w:w="60"/>
        <w:gridCol w:w="140"/>
        <w:gridCol w:w="755"/>
        <w:gridCol w:w="110"/>
      </w:tblGrid>
      <w:tr>
        <w:trPr/>
        <w:tc>
          <w:tcPr>
            <w:tcW w:w="4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77" w:name="xdx_49A_20250101__20251231_zXoR3Zt8weWd"/>
            <w:bookmarkEnd w:id="277"/>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78" w:name="xdx_49B_20240101__20241231_zbOPalTBcowa"/>
            <w:bookmarkEnd w:id="278"/>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bookmarkStart w:id="279" w:name="xdx_400_eus-gaap--NetCashProvidedByUsedI"/>
            <w:bookmarkEnd w:id="279"/>
          </w:p>
        </w:tc>
      </w:tr>
      <w:tr>
        <w:trPr/>
        <w:tc>
          <w:tcPr>
            <w:tcW w:w="4565"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0" w:name="xdx_406_eus-gaap--NetIncomeLoss_i01_maCz"/>
            <w:bookmarkEnd w:id="280"/>
          </w:p>
        </w:tc>
      </w:tr>
      <w:tr>
        <w:trPr/>
        <w:tc>
          <w:tcPr>
            <w:tcW w:w="456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(69,939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(40,615</w:t>
            </w:r>
          </w:p>
        </w:tc>
        <w:tc>
          <w:tcPr>
            <w:tcW w:w="110" w:type="dxa"/>
            <w:tcBorders/>
            <w:shd w:fill="FFFFFF" w:val="clear"/>
            <w:vAlign w:val="center"/>
          </w:tcPr>
          <w:p>
            <w:pPr>
              <w:pStyle w:val="TableContents"/>
              <w:bidi w:val="0"/>
              <w:spacing w:before="0" w:after="283"/>
              <w:jc w:val="left"/>
              <w:rPr/>
            </w:pPr>
            <w:r>
              <w:rPr/>
              <w:t>)</w:t>
            </w:r>
            <w:bookmarkStart w:id="281" w:name="xdx_40B_eus-gaap--AdjustmentsToReconcile"/>
            <w:bookmarkEnd w:id="281"/>
          </w:p>
        </w:tc>
      </w:tr>
      <w:tr>
        <w:trPr/>
        <w:tc>
          <w:tcPr>
            <w:tcW w:w="4565" w:type="dxa"/>
            <w:tcBorders/>
            <w:shd w:fill="CCEEFF" w:val="clear"/>
            <w:vAlign w:val="center"/>
          </w:tcPr>
          <w:p>
            <w:pPr>
              <w:pStyle w:val="TableContents"/>
              <w:bidi w:val="0"/>
              <w:spacing w:before="0" w:after="283"/>
              <w:jc w:val="left"/>
              <w:rPr/>
            </w:pPr>
            <w:r>
              <w:rPr/>
              <w:t>Adjustments to Reconcile Net Loss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2" w:name="xdx_404_eus-gaap--ShareBasedCompensation"/>
            <w:bookmarkEnd w:id="282"/>
          </w:p>
        </w:tc>
      </w:tr>
      <w:tr>
        <w:trPr/>
        <w:tc>
          <w:tcPr>
            <w:tcW w:w="4565"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1,020</w:t>
            </w:r>
          </w:p>
        </w:tc>
        <w:tc>
          <w:tcPr>
            <w:tcW w:w="110" w:type="dxa"/>
            <w:tcBorders/>
            <w:shd w:fill="CCEEFF" w:val="clear"/>
            <w:vAlign w:val="center"/>
          </w:tcPr>
          <w:p>
            <w:pPr>
              <w:pStyle w:val="TableContents"/>
              <w:bidi w:val="0"/>
              <w:spacing w:before="0" w:after="283"/>
              <w:jc w:val="left"/>
              <w:rPr/>
            </w:pPr>
            <w:r>
              <w:rPr/>
              <w:t> </w:t>
            </w:r>
            <w:bookmarkStart w:id="283" w:name="xdx_40E_eus-gaap--AmortizationOfDebtDisc"/>
            <w:bookmarkEnd w:id="283"/>
          </w:p>
        </w:tc>
      </w:tr>
      <w:tr>
        <w:trPr/>
        <w:tc>
          <w:tcPr>
            <w:tcW w:w="4565"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7,591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7,241</w:t>
            </w:r>
          </w:p>
        </w:tc>
        <w:tc>
          <w:tcPr>
            <w:tcW w:w="110" w:type="dxa"/>
            <w:tcBorders/>
            <w:shd w:fill="FFFFFF" w:val="clear"/>
            <w:vAlign w:val="center"/>
          </w:tcPr>
          <w:p>
            <w:pPr>
              <w:pStyle w:val="TableContents"/>
              <w:bidi w:val="0"/>
              <w:spacing w:before="0" w:after="283"/>
              <w:jc w:val="left"/>
              <w:rPr/>
            </w:pPr>
            <w:r>
              <w:rPr/>
              <w:t> </w:t>
            </w:r>
            <w:bookmarkStart w:id="284" w:name="xdx_401_eus-gaap--FairValueAdjustmentOfW"/>
            <w:bookmarkEnd w:id="284"/>
          </w:p>
        </w:tc>
      </w:tr>
      <w:tr>
        <w:trPr/>
        <w:tc>
          <w:tcPr>
            <w:tcW w:w="4565"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(6,684</w:t>
            </w:r>
          </w:p>
        </w:tc>
        <w:tc>
          <w:tcPr>
            <w:tcW w:w="110" w:type="dxa"/>
            <w:tcBorders/>
            <w:shd w:fill="CCEEFF" w:val="clear"/>
            <w:vAlign w:val="center"/>
          </w:tcPr>
          <w:p>
            <w:pPr>
              <w:pStyle w:val="TableContents"/>
              <w:bidi w:val="0"/>
              <w:spacing w:before="0" w:after="283"/>
              <w:jc w:val="left"/>
              <w:rPr/>
            </w:pPr>
            <w:r>
              <w:rPr/>
              <w:t>)</w:t>
            </w:r>
            <w:bookmarkStart w:id="285" w:name="xdx_404_eus-gaap--PaidInKindInterest_i02"/>
            <w:bookmarkEnd w:id="285"/>
          </w:p>
        </w:tc>
      </w:tr>
      <w:tr>
        <w:trPr/>
        <w:tc>
          <w:tcPr>
            <w:tcW w:w="4565" w:type="dxa"/>
            <w:tcBorders/>
            <w:shd w:fill="FFFFFF" w:val="clear"/>
            <w:vAlign w:val="center"/>
          </w:tcPr>
          <w:p>
            <w:pPr>
              <w:pStyle w:val="TableContents"/>
              <w:bidi w:val="0"/>
              <w:spacing w:before="0" w:after="283"/>
              <w:jc w:val="left"/>
              <w:rPr/>
            </w:pPr>
            <w:r>
              <w:rPr/>
              <w:t>Non-cash interest expense (paid-in kind)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10,058</w:t>
            </w:r>
          </w:p>
        </w:tc>
        <w:tc>
          <w:tcPr>
            <w:tcW w:w="110" w:type="dxa"/>
            <w:tcBorders/>
            <w:shd w:fill="FFFFFF" w:val="clear"/>
            <w:vAlign w:val="center"/>
          </w:tcPr>
          <w:p>
            <w:pPr>
              <w:pStyle w:val="TableContents"/>
              <w:bidi w:val="0"/>
              <w:spacing w:before="0" w:after="283"/>
              <w:jc w:val="left"/>
              <w:rPr/>
            </w:pPr>
            <w:r>
              <w:rPr/>
              <w:t> </w:t>
            </w:r>
            <w:bookmarkStart w:id="286" w:name="xdx_406_ecustom--DebtRestructuringFeesPa"/>
            <w:bookmarkEnd w:id="286"/>
          </w:p>
        </w:tc>
      </w:tr>
      <w:tr>
        <w:trPr/>
        <w:tc>
          <w:tcPr>
            <w:tcW w:w="4565" w:type="dxa"/>
            <w:tcBorders/>
            <w:shd w:fill="CCEEFF" w:val="clear"/>
            <w:vAlign w:val="center"/>
          </w:tcPr>
          <w:p>
            <w:pPr>
              <w:pStyle w:val="TableContents"/>
              <w:bidi w:val="0"/>
              <w:spacing w:before="0" w:after="283"/>
              <w:jc w:val="left"/>
              <w:rPr/>
            </w:pPr>
            <w:r>
              <w:rPr/>
              <w:t>Debt restructuring fees (paid-in-kind)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87" w:name="xdx_401_eus-gaap--ProvisionForDoubtfulAc"/>
            <w:bookmarkEnd w:id="287"/>
          </w:p>
        </w:tc>
      </w:tr>
      <w:tr>
        <w:trPr/>
        <w:tc>
          <w:tcPr>
            <w:tcW w:w="4565"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bookmarkStart w:id="288" w:name="xdx_40B_eus-gaap--DepreciationDepletionA"/>
            <w:bookmarkEnd w:id="288"/>
          </w:p>
        </w:tc>
      </w:tr>
      <w:tr>
        <w:trPr/>
        <w:tc>
          <w:tcPr>
            <w:tcW w:w="456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1,372</w:t>
            </w:r>
          </w:p>
        </w:tc>
        <w:tc>
          <w:tcPr>
            <w:tcW w:w="110" w:type="dxa"/>
            <w:tcBorders/>
            <w:shd w:fill="CCEEFF" w:val="clear"/>
            <w:vAlign w:val="center"/>
          </w:tcPr>
          <w:p>
            <w:pPr>
              <w:pStyle w:val="TableContents"/>
              <w:bidi w:val="0"/>
              <w:spacing w:before="0" w:after="283"/>
              <w:jc w:val="left"/>
              <w:rPr/>
            </w:pPr>
            <w:r>
              <w:rPr/>
              <w:t> </w:t>
            </w:r>
            <w:bookmarkStart w:id="289" w:name="xdx_405_eus-gaap--OperatingLeaseRightOfU"/>
            <w:bookmarkEnd w:id="289"/>
          </w:p>
        </w:tc>
      </w:tr>
      <w:tr>
        <w:trPr/>
        <w:tc>
          <w:tcPr>
            <w:tcW w:w="4565" w:type="dxa"/>
            <w:tcBorders/>
            <w:shd w:fill="FFFFFF" w:val="clear"/>
            <w:vAlign w:val="center"/>
          </w:tcPr>
          <w:p>
            <w:pPr>
              <w:pStyle w:val="TableContents"/>
              <w:bidi w:val="0"/>
              <w:spacing w:before="0" w:after="283"/>
              <w:jc w:val="left"/>
              <w:rPr/>
            </w:pPr>
            <w:r>
              <w:rPr/>
              <w:t>Amortization of right of use of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2,231</w:t>
            </w:r>
          </w:p>
        </w:tc>
        <w:tc>
          <w:tcPr>
            <w:tcW w:w="110" w:type="dxa"/>
            <w:tcBorders/>
            <w:shd w:fill="FFFFFF" w:val="clear"/>
            <w:vAlign w:val="center"/>
          </w:tcPr>
          <w:p>
            <w:pPr>
              <w:pStyle w:val="TableContents"/>
              <w:bidi w:val="0"/>
              <w:spacing w:before="0" w:after="283"/>
              <w:jc w:val="left"/>
              <w:rPr/>
            </w:pPr>
            <w:r>
              <w:rPr/>
              <w:t> </w:t>
            </w:r>
            <w:bookmarkStart w:id="290" w:name="xdx_407_eus-gaap--GainLossOnSaleOfProper"/>
            <w:bookmarkEnd w:id="290"/>
          </w:p>
        </w:tc>
      </w:tr>
      <w:tr>
        <w:trPr/>
        <w:tc>
          <w:tcPr>
            <w:tcW w:w="4565" w:type="dxa"/>
            <w:tcBorders/>
            <w:shd w:fill="CCEEFF" w:val="clear"/>
            <w:vAlign w:val="center"/>
          </w:tcPr>
          <w:p>
            <w:pPr>
              <w:pStyle w:val="TableContents"/>
              <w:bidi w:val="0"/>
              <w:spacing w:before="0" w:after="283"/>
              <w:jc w:val="left"/>
              <w:rPr/>
            </w:pPr>
            <w:r>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91" w:name="xdx_405_eus-gaap--OperatingLeaseImpairme"/>
            <w:bookmarkEnd w:id="291"/>
          </w:p>
        </w:tc>
      </w:tr>
      <w:tr>
        <w:trPr/>
        <w:tc>
          <w:tcPr>
            <w:tcW w:w="4565" w:type="dxa"/>
            <w:tcBorders/>
            <w:shd w:fill="FFFFFF" w:val="clear"/>
            <w:vAlign w:val="center"/>
          </w:tcPr>
          <w:p>
            <w:pPr>
              <w:pStyle w:val="TableContents"/>
              <w:bidi w:val="0"/>
              <w:spacing w:before="0" w:after="283"/>
              <w:jc w:val="left"/>
              <w:rPr/>
            </w:pPr>
            <w:r>
              <w:rPr/>
              <w:t>Loss on impairment of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92" w:name="xdx_406_eus-gaap--GainLossOnSalesOfAsset"/>
            <w:bookmarkEnd w:id="292"/>
          </w:p>
        </w:tc>
      </w:tr>
      <w:tr>
        <w:trPr/>
        <w:tc>
          <w:tcPr>
            <w:tcW w:w="4565" w:type="dxa"/>
            <w:tcBorders/>
            <w:shd w:fill="CCEEFF" w:val="clear"/>
            <w:vAlign w:val="center"/>
          </w:tcPr>
          <w:p>
            <w:pPr>
              <w:pStyle w:val="TableContents"/>
              <w:bidi w:val="0"/>
              <w:spacing w:before="0" w:after="283"/>
              <w:jc w:val="left"/>
              <w:rPr/>
            </w:pPr>
            <w:r>
              <w:rPr/>
              <w:t>Loss on impairment of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873</w:t>
            </w:r>
          </w:p>
        </w:tc>
        <w:tc>
          <w:tcPr>
            <w:tcW w:w="110" w:type="dxa"/>
            <w:tcBorders/>
            <w:shd w:fill="CCEEFF" w:val="clear"/>
            <w:vAlign w:val="center"/>
          </w:tcPr>
          <w:p>
            <w:pPr>
              <w:pStyle w:val="TableContents"/>
              <w:bidi w:val="0"/>
              <w:spacing w:before="0" w:after="283"/>
              <w:jc w:val="left"/>
              <w:rPr/>
            </w:pPr>
            <w:r>
              <w:rPr/>
              <w:t> </w:t>
            </w:r>
            <w:bookmarkStart w:id="293" w:name="xdx_40A_eus-gaap--GainsLossesOnExtinguis"/>
            <w:bookmarkEnd w:id="293"/>
          </w:p>
        </w:tc>
      </w:tr>
      <w:tr>
        <w:trPr/>
        <w:tc>
          <w:tcPr>
            <w:tcW w:w="4565" w:type="dxa"/>
            <w:tcBorders/>
            <w:shd w:fill="FFFFFF" w:val="clear"/>
            <w:vAlign w:val="center"/>
          </w:tcPr>
          <w:p>
            <w:pPr>
              <w:pStyle w:val="TableContents"/>
              <w:bidi w:val="0"/>
              <w:spacing w:before="0" w:after="283"/>
              <w:jc w:val="left"/>
              <w:rPr/>
            </w:pPr>
            <w:r>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31,843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94" w:name="xdx_408_eus-gaap--GainLossOnSaleOfOtherA"/>
            <w:bookmarkEnd w:id="294"/>
          </w:p>
        </w:tc>
      </w:tr>
      <w:tr>
        <w:trPr/>
        <w:tc>
          <w:tcPr>
            <w:tcW w:w="4565" w:type="dxa"/>
            <w:tcBorders/>
            <w:shd w:fill="CCEEFF" w:val="clear"/>
            <w:vAlign w:val="center"/>
          </w:tcPr>
          <w:p>
            <w:pPr>
              <w:pStyle w:val="TableContents"/>
              <w:bidi w:val="0"/>
              <w:spacing w:before="0" w:after="283"/>
              <w:jc w:val="left"/>
              <w:rPr/>
            </w:pPr>
            <w:r>
              <w:rPr/>
              <w:t>Write-off of prepaid 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w:t>
            </w:r>
          </w:p>
        </w:tc>
        <w:tc>
          <w:tcPr>
            <w:tcW w:w="110" w:type="dxa"/>
            <w:tcBorders/>
            <w:shd w:fill="CCEEFF" w:val="clear"/>
            <w:vAlign w:val="center"/>
          </w:tcPr>
          <w:p>
            <w:pPr>
              <w:pStyle w:val="TableContents"/>
              <w:bidi w:val="0"/>
              <w:spacing w:before="0" w:after="283"/>
              <w:jc w:val="left"/>
              <w:rPr/>
            </w:pPr>
            <w:r>
              <w:rPr/>
              <w:t> </w:t>
            </w:r>
            <w:bookmarkStart w:id="295" w:name="xdx_40A_eus-gaap--IncreaseDecreaseInOper"/>
            <w:bookmarkEnd w:id="295"/>
          </w:p>
        </w:tc>
      </w:tr>
      <w:tr>
        <w:trPr/>
        <w:tc>
          <w:tcPr>
            <w:tcW w:w="4565"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96" w:name="xdx_40E_eus-gaap--IncreaseDecreaseInAcco"/>
            <w:bookmarkEnd w:id="296"/>
          </w:p>
        </w:tc>
      </w:tr>
      <w:tr>
        <w:trPr/>
        <w:tc>
          <w:tcPr>
            <w:tcW w:w="456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(780</w:t>
            </w:r>
          </w:p>
        </w:tc>
        <w:tc>
          <w:tcPr>
            <w:tcW w:w="110" w:type="dxa"/>
            <w:tcBorders/>
            <w:shd w:fill="CCEEFF" w:val="clear"/>
            <w:vAlign w:val="center"/>
          </w:tcPr>
          <w:p>
            <w:pPr>
              <w:pStyle w:val="TableContents"/>
              <w:bidi w:val="0"/>
              <w:spacing w:before="0" w:after="283"/>
              <w:jc w:val="left"/>
              <w:rPr/>
            </w:pPr>
            <w:r>
              <w:rPr/>
              <w:t>)</w:t>
            </w:r>
            <w:bookmarkStart w:id="297" w:name="xdx_40F_eus-gaap--IncreaseDecreaseInInve"/>
            <w:bookmarkEnd w:id="297"/>
          </w:p>
        </w:tc>
      </w:tr>
      <w:tr>
        <w:trPr/>
        <w:tc>
          <w:tcPr>
            <w:tcW w:w="4565"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17,062</w:t>
            </w:r>
          </w:p>
        </w:tc>
        <w:tc>
          <w:tcPr>
            <w:tcW w:w="110" w:type="dxa"/>
            <w:tcBorders/>
            <w:shd w:fill="FFFFFF" w:val="clear"/>
            <w:vAlign w:val="center"/>
          </w:tcPr>
          <w:p>
            <w:pPr>
              <w:pStyle w:val="TableContents"/>
              <w:bidi w:val="0"/>
              <w:spacing w:before="0" w:after="283"/>
              <w:jc w:val="left"/>
              <w:rPr/>
            </w:pPr>
            <w:r>
              <w:rPr/>
              <w:t> </w:t>
            </w:r>
            <w:bookmarkStart w:id="298" w:name="xdx_40D_eus-gaap--IncreaseDecreaseInPrep"/>
            <w:bookmarkEnd w:id="298"/>
          </w:p>
        </w:tc>
      </w:tr>
      <w:tr>
        <w:trPr/>
        <w:tc>
          <w:tcPr>
            <w:tcW w:w="4565"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170</w:t>
            </w:r>
          </w:p>
        </w:tc>
        <w:tc>
          <w:tcPr>
            <w:tcW w:w="110" w:type="dxa"/>
            <w:tcBorders/>
            <w:shd w:fill="CCEEFF" w:val="clear"/>
            <w:vAlign w:val="center"/>
          </w:tcPr>
          <w:p>
            <w:pPr>
              <w:pStyle w:val="TableContents"/>
              <w:bidi w:val="0"/>
              <w:spacing w:before="0" w:after="283"/>
              <w:jc w:val="left"/>
              <w:rPr/>
            </w:pPr>
            <w:r>
              <w:rPr/>
              <w:t> </w:t>
            </w:r>
            <w:bookmarkStart w:id="299" w:name="xdx_409_ecustom--IncreaseDecreaseInPrepa"/>
            <w:bookmarkEnd w:id="299"/>
          </w:p>
        </w:tc>
      </w:tr>
      <w:tr>
        <w:trPr/>
        <w:tc>
          <w:tcPr>
            <w:tcW w:w="4565"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w:t>
            </w:r>
          </w:p>
        </w:tc>
        <w:tc>
          <w:tcPr>
            <w:tcW w:w="110" w:type="dxa"/>
            <w:tcBorders/>
            <w:shd w:fill="FFFFFF" w:val="clear"/>
            <w:vAlign w:val="center"/>
          </w:tcPr>
          <w:p>
            <w:pPr>
              <w:pStyle w:val="TableContents"/>
              <w:bidi w:val="0"/>
              <w:spacing w:before="0" w:after="283"/>
              <w:jc w:val="left"/>
              <w:rPr/>
            </w:pPr>
            <w:r>
              <w:rPr/>
              <w:t>)</w:t>
            </w:r>
            <w:bookmarkStart w:id="300" w:name="xdx_40B_ecustom--IncreaseDecreaseInPrepa"/>
            <w:bookmarkEnd w:id="300"/>
          </w:p>
        </w:tc>
      </w:tr>
      <w:tr>
        <w:trPr/>
        <w:tc>
          <w:tcPr>
            <w:tcW w:w="4565" w:type="dxa"/>
            <w:tcBorders/>
            <w:shd w:fill="CCEEFF" w:val="clear"/>
            <w:vAlign w:val="center"/>
          </w:tcPr>
          <w:p>
            <w:pPr>
              <w:pStyle w:val="TableContents"/>
              <w:bidi w:val="0"/>
              <w:spacing w:before="0" w:after="283"/>
              <w:jc w:val="left"/>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01" w:name="xdx_40B_eus-gaap--IncreaseDecreaseInOthe"/>
            <w:bookmarkEnd w:id="301"/>
          </w:p>
        </w:tc>
      </w:tr>
      <w:tr>
        <w:trPr/>
        <w:tc>
          <w:tcPr>
            <w:tcW w:w="456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(707</w:t>
            </w:r>
          </w:p>
        </w:tc>
        <w:tc>
          <w:tcPr>
            <w:tcW w:w="110" w:type="dxa"/>
            <w:tcBorders/>
            <w:shd w:fill="FFFFFF" w:val="clear"/>
            <w:vAlign w:val="center"/>
          </w:tcPr>
          <w:p>
            <w:pPr>
              <w:pStyle w:val="TableContents"/>
              <w:bidi w:val="0"/>
              <w:spacing w:before="0" w:after="283"/>
              <w:jc w:val="left"/>
              <w:rPr/>
            </w:pPr>
            <w:r>
              <w:rPr/>
              <w:t>)</w:t>
            </w:r>
            <w:bookmarkStart w:id="302" w:name="xdx_405_eus-gaap--IncreaseDecreaseInOthe"/>
            <w:bookmarkEnd w:id="302"/>
          </w:p>
        </w:tc>
      </w:tr>
      <w:tr>
        <w:trPr/>
        <w:tc>
          <w:tcPr>
            <w:tcW w:w="456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(445</w:t>
            </w:r>
          </w:p>
        </w:tc>
        <w:tc>
          <w:tcPr>
            <w:tcW w:w="110" w:type="dxa"/>
            <w:tcBorders/>
            <w:shd w:fill="CCEEFF" w:val="clear"/>
            <w:vAlign w:val="center"/>
          </w:tcPr>
          <w:p>
            <w:pPr>
              <w:pStyle w:val="TableContents"/>
              <w:bidi w:val="0"/>
              <w:spacing w:before="0" w:after="283"/>
              <w:jc w:val="left"/>
              <w:rPr/>
            </w:pPr>
            <w:r>
              <w:rPr/>
              <w:t>)</w:t>
            </w:r>
            <w:bookmarkStart w:id="303" w:name="xdx_40C_eus-gaap--IncreaseDecreaseInAcco"/>
            <w:bookmarkEnd w:id="303"/>
          </w:p>
        </w:tc>
      </w:tr>
      <w:tr>
        <w:trPr/>
        <w:tc>
          <w:tcPr>
            <w:tcW w:w="4565"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(4,029</w:t>
            </w:r>
          </w:p>
        </w:tc>
        <w:tc>
          <w:tcPr>
            <w:tcW w:w="110" w:type="dxa"/>
            <w:tcBorders/>
            <w:shd w:fill="FFFFFF" w:val="clear"/>
            <w:vAlign w:val="center"/>
          </w:tcPr>
          <w:p>
            <w:pPr>
              <w:pStyle w:val="TableContents"/>
              <w:bidi w:val="0"/>
              <w:spacing w:before="0" w:after="283"/>
              <w:jc w:val="left"/>
              <w:rPr/>
            </w:pPr>
            <w:r>
              <w:rPr/>
              <w:t>)</w:t>
            </w:r>
            <w:bookmarkStart w:id="304" w:name="xdx_40C_eus-gaap--IncreaseDecreaseInOper"/>
            <w:bookmarkEnd w:id="304"/>
          </w:p>
        </w:tc>
      </w:tr>
      <w:tr>
        <w:trPr/>
        <w:tc>
          <w:tcPr>
            <w:tcW w:w="4565"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(1,344</w:t>
            </w:r>
          </w:p>
        </w:tc>
        <w:tc>
          <w:tcPr>
            <w:tcW w:w="110" w:type="dxa"/>
            <w:tcBorders/>
            <w:shd w:fill="CCEEFF" w:val="clear"/>
            <w:vAlign w:val="center"/>
          </w:tcPr>
          <w:p>
            <w:pPr>
              <w:pStyle w:val="TableContents"/>
              <w:bidi w:val="0"/>
              <w:spacing w:before="0" w:after="283"/>
              <w:jc w:val="left"/>
              <w:rPr/>
            </w:pPr>
            <w:r>
              <w:rPr/>
              <w:t>)</w:t>
            </w:r>
            <w:bookmarkStart w:id="305" w:name="xdx_407_ecustom--IncreaseDecreaseInAccru"/>
            <w:bookmarkEnd w:id="305"/>
          </w:p>
        </w:tc>
      </w:tr>
      <w:tr>
        <w:trPr/>
        <w:tc>
          <w:tcPr>
            <w:tcW w:w="4565" w:type="dxa"/>
            <w:tcBorders/>
            <w:shd w:fill="FFFFFF" w:val="clear"/>
            <w:vAlign w:val="center"/>
          </w:tcPr>
          <w:p>
            <w:pPr>
              <w:pStyle w:val="TableContents"/>
              <w:bidi w:val="0"/>
              <w:spacing w:before="0" w:after="283"/>
              <w:jc w:val="left"/>
              <w:rPr/>
            </w:pPr>
            <w:r>
              <w:rPr/>
              <w:t>Accrued tariffs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202</w:t>
            </w:r>
          </w:p>
        </w:tc>
        <w:tc>
          <w:tcPr>
            <w:tcW w:w="110" w:type="dxa"/>
            <w:tcBorders/>
            <w:shd w:fill="FFFFFF" w:val="clear"/>
            <w:vAlign w:val="center"/>
          </w:tcPr>
          <w:p>
            <w:pPr>
              <w:pStyle w:val="TableContents"/>
              <w:bidi w:val="0"/>
              <w:spacing w:before="0" w:after="283"/>
              <w:jc w:val="left"/>
              <w:rPr/>
            </w:pPr>
            <w:r>
              <w:rPr/>
              <w:t> </w:t>
            </w:r>
            <w:bookmarkStart w:id="306" w:name="xdx_403_ecustom--IncreaseDecreaseInAccru"/>
            <w:bookmarkEnd w:id="306"/>
          </w:p>
        </w:tc>
      </w:tr>
      <w:tr>
        <w:trPr/>
        <w:tc>
          <w:tcPr>
            <w:tcW w:w="4565" w:type="dxa"/>
            <w:tcBorders/>
            <w:shd w:fill="CCEEFF" w:val="clear"/>
            <w:vAlign w:val="center"/>
          </w:tcPr>
          <w:p>
            <w:pPr>
              <w:pStyle w:val="TableContents"/>
              <w:bidi w:val="0"/>
              <w:spacing w:before="0" w:after="283"/>
              <w:jc w:val="left"/>
              <w:rPr/>
            </w:pPr>
            <w:r>
              <w:rPr/>
              <w:t>Accrued settlement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2,500</w:t>
            </w:r>
          </w:p>
        </w:tc>
        <w:tc>
          <w:tcPr>
            <w:tcW w:w="110" w:type="dxa"/>
            <w:tcBorders/>
            <w:shd w:fill="CCEEFF" w:val="clear"/>
            <w:vAlign w:val="center"/>
          </w:tcPr>
          <w:p>
            <w:pPr>
              <w:pStyle w:val="TableContents"/>
              <w:bidi w:val="0"/>
              <w:spacing w:before="0" w:after="283"/>
              <w:jc w:val="left"/>
              <w:rPr/>
            </w:pPr>
            <w:r>
              <w:rPr/>
              <w:t> </w:t>
            </w:r>
            <w:bookmarkStart w:id="307" w:name="xdx_40E_eus-gaap--IncreaseDecreaseInDefe"/>
            <w:bookmarkEnd w:id="307"/>
          </w:p>
        </w:tc>
      </w:tr>
      <w:tr>
        <w:trPr/>
        <w:tc>
          <w:tcPr>
            <w:tcW w:w="456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4,583</w:t>
            </w:r>
          </w:p>
        </w:tc>
        <w:tc>
          <w:tcPr>
            <w:tcW w:w="110" w:type="dxa"/>
            <w:tcBorders/>
            <w:shd w:fill="FFFFFF" w:val="clear"/>
            <w:vAlign w:val="center"/>
          </w:tcPr>
          <w:p>
            <w:pPr>
              <w:pStyle w:val="TableContents"/>
              <w:bidi w:val="0"/>
              <w:spacing w:before="0" w:after="283"/>
              <w:jc w:val="left"/>
              <w:rPr/>
            </w:pPr>
            <w:r>
              <w:rPr/>
              <w:t> </w:t>
            </w:r>
            <w:bookmarkStart w:id="308" w:name="xdx_40C_ecustom--IncreaseDecreaseInUnrec"/>
            <w:bookmarkEnd w:id="308"/>
          </w:p>
        </w:tc>
      </w:tr>
      <w:tr>
        <w:trPr/>
        <w:tc>
          <w:tcPr>
            <w:tcW w:w="4565" w:type="dxa"/>
            <w:tcBorders/>
            <w:shd w:fill="CCEEFF" w:val="clear"/>
            <w:vAlign w:val="center"/>
          </w:tcPr>
          <w:p>
            <w:pPr>
              <w:pStyle w:val="TableContents"/>
              <w:bidi w:val="0"/>
              <w:spacing w:before="0" w:after="283"/>
              <w:jc w:val="left"/>
              <w:rPr/>
            </w:pPr>
            <w:r>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w:t>
            </w:r>
          </w:p>
        </w:tc>
        <w:tc>
          <w:tcPr>
            <w:tcW w:w="110" w:type="dxa"/>
            <w:tcBorders/>
            <w:shd w:fill="CCEEFF" w:val="clear"/>
            <w:vAlign w:val="center"/>
          </w:tcPr>
          <w:p>
            <w:pPr>
              <w:pStyle w:val="TableContents"/>
              <w:bidi w:val="0"/>
              <w:spacing w:before="0" w:after="283"/>
              <w:jc w:val="left"/>
              <w:rPr/>
            </w:pPr>
            <w:r>
              <w:rPr/>
              <w:t>)</w:t>
            </w:r>
            <w:bookmarkStart w:id="309" w:name="xdx_40F_eus-gaap--IncreaseDecreaseInCont"/>
            <w:bookmarkEnd w:id="309"/>
          </w:p>
        </w:tc>
      </w:tr>
      <w:tr>
        <w:trPr/>
        <w:tc>
          <w:tcPr>
            <w:tcW w:w="4565"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116</w:t>
            </w:r>
          </w:p>
        </w:tc>
        <w:tc>
          <w:tcPr>
            <w:tcW w:w="110" w:type="dxa"/>
            <w:tcBorders/>
            <w:shd w:fill="FFFFFF" w:val="clear"/>
            <w:vAlign w:val="center"/>
          </w:tcPr>
          <w:p>
            <w:pPr>
              <w:pStyle w:val="TableContents"/>
              <w:bidi w:val="0"/>
              <w:spacing w:before="0" w:after="283"/>
              <w:jc w:val="left"/>
              <w:rPr/>
            </w:pPr>
            <w:r>
              <w:rPr/>
              <w:t> </w:t>
            </w:r>
            <w:bookmarkStart w:id="310" w:name="xdx_40A_eus-gaap--AdjustmentsToReconcile"/>
            <w:bookmarkEnd w:id="310"/>
          </w:p>
        </w:tc>
      </w:tr>
      <w:tr>
        <w:trPr/>
        <w:tc>
          <w:tcPr>
            <w:tcW w:w="4565" w:type="dxa"/>
            <w:tcBorders/>
            <w:shd w:fill="CCEEFF" w:val="clear"/>
            <w:vAlign w:val="center"/>
          </w:tcPr>
          <w:p>
            <w:pPr>
              <w:pStyle w:val="TableContents"/>
              <w:bidi w:val="0"/>
              <w:spacing w:before="0" w:after="283"/>
              <w:jc w:val="left"/>
              <w:rPr/>
            </w:pPr>
            <w:r>
              <w:rPr/>
              <w:t>Total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43,971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33,425</w:t>
            </w:r>
          </w:p>
        </w:tc>
        <w:tc>
          <w:tcPr>
            <w:tcW w:w="110" w:type="dxa"/>
            <w:tcBorders/>
            <w:shd w:fill="CCEEFF" w:val="clear"/>
            <w:vAlign w:val="center"/>
          </w:tcPr>
          <w:p>
            <w:pPr>
              <w:pStyle w:val="TableContents"/>
              <w:bidi w:val="0"/>
              <w:spacing w:before="0" w:after="283"/>
              <w:jc w:val="left"/>
              <w:rPr/>
            </w:pPr>
            <w:r>
              <w:rPr/>
              <w:t> </w:t>
            </w:r>
            <w:bookmarkStart w:id="311" w:name="xdx_400_eus-gaap--NetCashProvidedByUsedI"/>
            <w:bookmarkEnd w:id="311"/>
          </w:p>
        </w:tc>
      </w:tr>
      <w:tr>
        <w:trPr/>
        <w:tc>
          <w:tcPr>
            <w:tcW w:w="456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(25,968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(7,190</w:t>
            </w:r>
          </w:p>
        </w:tc>
        <w:tc>
          <w:tcPr>
            <w:tcW w:w="110" w:type="dxa"/>
            <w:tcBorders/>
            <w:shd w:fill="FFFFFF" w:val="clear"/>
            <w:vAlign w:val="center"/>
          </w:tcPr>
          <w:p>
            <w:pPr>
              <w:pStyle w:val="TableContents"/>
              <w:bidi w:val="0"/>
              <w:spacing w:before="0" w:after="283"/>
              <w:jc w:val="left"/>
              <w:rPr/>
            </w:pPr>
            <w:r>
              <w:rPr/>
              <w:t>)</w:t>
            </w:r>
          </w:p>
        </w:tc>
      </w:tr>
      <w:tr>
        <w:trPr/>
        <w:tc>
          <w:tcPr>
            <w:tcW w:w="4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2" w:name="xdx_40B_eus-gaap--NetCashProvidedByUsedI"/>
            <w:bookmarkEnd w:id="312"/>
          </w:p>
        </w:tc>
      </w:tr>
      <w:tr>
        <w:trPr/>
        <w:tc>
          <w:tcPr>
            <w:tcW w:w="4565"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13" w:name="xdx_408_eus-gaap--ProceedsFromSaleOfProp"/>
            <w:bookmarkEnd w:id="313"/>
          </w:p>
        </w:tc>
      </w:tr>
      <w:tr>
        <w:trPr/>
        <w:tc>
          <w:tcPr>
            <w:tcW w:w="4565" w:type="dxa"/>
            <w:tcBorders/>
            <w:shd w:fill="CCEEFF" w:val="clear"/>
            <w:vAlign w:val="center"/>
          </w:tcPr>
          <w:p>
            <w:pPr>
              <w:pStyle w:val="TableContents"/>
              <w:bidi w:val="0"/>
              <w:spacing w:before="0" w:after="283"/>
              <w:jc w:val="left"/>
              <w:rPr/>
            </w:pPr>
            <w:r>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w:t>
            </w:r>
          </w:p>
        </w:tc>
        <w:tc>
          <w:tcPr>
            <w:tcW w:w="110" w:type="dxa"/>
            <w:tcBorders/>
            <w:shd w:fill="CCEEFF" w:val="clear"/>
            <w:vAlign w:val="center"/>
          </w:tcPr>
          <w:p>
            <w:pPr>
              <w:pStyle w:val="TableContents"/>
              <w:bidi w:val="0"/>
              <w:spacing w:before="0" w:after="283"/>
              <w:jc w:val="left"/>
              <w:rPr/>
            </w:pPr>
            <w:r>
              <w:rPr/>
              <w:t> </w:t>
            </w:r>
            <w:bookmarkStart w:id="314" w:name="xdx_404_eus-gaap--PaymentsToAcquirePrope"/>
            <w:bookmarkEnd w:id="314"/>
          </w:p>
        </w:tc>
      </w:tr>
      <w:tr>
        <w:trPr/>
        <w:tc>
          <w:tcPr>
            <w:tcW w:w="4565"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(1,949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(2,684</w:t>
            </w:r>
          </w:p>
        </w:tc>
        <w:tc>
          <w:tcPr>
            <w:tcW w:w="110" w:type="dxa"/>
            <w:tcBorders/>
            <w:shd w:fill="FFFFFF" w:val="clear"/>
            <w:vAlign w:val="center"/>
          </w:tcPr>
          <w:p>
            <w:pPr>
              <w:pStyle w:val="TableContents"/>
              <w:bidi w:val="0"/>
              <w:spacing w:before="0" w:after="283"/>
              <w:jc w:val="left"/>
              <w:rPr/>
            </w:pPr>
            <w:r>
              <w:rPr/>
              <w:t>)</w:t>
            </w:r>
            <w:bookmarkStart w:id="315" w:name="xdx_402_eus-gaap--NetCashProvidedByUsedI"/>
            <w:bookmarkEnd w:id="315"/>
          </w:p>
        </w:tc>
      </w:tr>
      <w:tr>
        <w:trPr/>
        <w:tc>
          <w:tcPr>
            <w:tcW w:w="4565"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(2,676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Consolidated Statements of Cash Flows (continued)</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Years Ended December 31, 2025 and 2024</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65"/>
        <w:gridCol w:w="60"/>
        <w:gridCol w:w="140"/>
        <w:gridCol w:w="755"/>
        <w:gridCol w:w="95"/>
        <w:gridCol w:w="60"/>
        <w:gridCol w:w="140"/>
        <w:gridCol w:w="680"/>
        <w:gridCol w:w="110"/>
      </w:tblGrid>
      <w:tr>
        <w:trPr/>
        <w:tc>
          <w:tcPr>
            <w:tcW w:w="8165" w:type="dxa"/>
            <w:tcBorders/>
            <w:vAlign w:val="center"/>
          </w:tcPr>
          <w:p>
            <w:pPr>
              <w:pStyle w:val="TableContents"/>
              <w:bidi w:val="0"/>
              <w:spacing w:before="0" w:after="283"/>
              <w:jc w:val="left"/>
              <w:rPr/>
            </w:pPr>
            <w:r>
              <w:rPr/>
              <w:t>(continued from previous page)</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bookmarkStart w:id="316" w:name="xdx_405_eus-gaap--NetCashProvidedByUsedI"/>
            <w:bookmarkEnd w:id="316"/>
          </w:p>
        </w:tc>
      </w:tr>
      <w:tr>
        <w:trPr/>
        <w:tc>
          <w:tcPr>
            <w:tcW w:w="8165"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7" w:name="xdx_400_eus-gaap--ProceedsFromIssuanceIn"/>
            <w:bookmarkEnd w:id="317"/>
          </w:p>
        </w:tc>
      </w:tr>
      <w:tr>
        <w:trPr/>
        <w:tc>
          <w:tcPr>
            <w:tcW w:w="8165" w:type="dxa"/>
            <w:tcBorders/>
            <w:shd w:fill="FFFFFF" w:val="clear"/>
            <w:vAlign w:val="center"/>
          </w:tcPr>
          <w:p>
            <w:pPr>
              <w:pStyle w:val="TableContents"/>
              <w:bidi w:val="0"/>
              <w:spacing w:before="0" w:after="283"/>
              <w:jc w:val="left"/>
              <w:rPr/>
            </w:pPr>
            <w:r>
              <w:rPr/>
              <w:t>Proceeds from public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83,538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18" w:name="xdx_404_ecustom--ProceedsFromIssuanceIni"/>
            <w:bookmarkEnd w:id="318"/>
          </w:p>
        </w:tc>
      </w:tr>
      <w:tr>
        <w:trPr/>
        <w:tc>
          <w:tcPr>
            <w:tcW w:w="8165" w:type="dxa"/>
            <w:tcBorders/>
            <w:shd w:fill="CCEEFF" w:val="clear"/>
            <w:vAlign w:val="center"/>
          </w:tcPr>
          <w:p>
            <w:pPr>
              <w:pStyle w:val="TableContents"/>
              <w:bidi w:val="0"/>
              <w:spacing w:before="0" w:after="283"/>
              <w:jc w:val="left"/>
              <w:rPr/>
            </w:pPr>
            <w:r>
              <w:rPr/>
              <w:t>Proceeds from public offering (ATM),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2,043</w:t>
            </w:r>
          </w:p>
        </w:tc>
        <w:tc>
          <w:tcPr>
            <w:tcW w:w="110" w:type="dxa"/>
            <w:tcBorders/>
            <w:shd w:fill="CCEEFF" w:val="clear"/>
            <w:vAlign w:val="center"/>
          </w:tcPr>
          <w:p>
            <w:pPr>
              <w:pStyle w:val="TableContents"/>
              <w:bidi w:val="0"/>
              <w:spacing w:before="0" w:after="283"/>
              <w:jc w:val="left"/>
              <w:rPr/>
            </w:pPr>
            <w:r>
              <w:rPr/>
              <w:t> </w:t>
            </w:r>
            <w:bookmarkStart w:id="319" w:name="xdx_403_eus-gaap--ProceedsFromNotesPayab"/>
            <w:bookmarkEnd w:id="319"/>
          </w:p>
        </w:tc>
      </w:tr>
      <w:tr>
        <w:trPr/>
        <w:tc>
          <w:tcPr>
            <w:tcW w:w="8165" w:type="dxa"/>
            <w:tcBorders/>
            <w:shd w:fill="FFFFFF" w:val="clear"/>
            <w:vAlign w:val="center"/>
          </w:tcPr>
          <w:p>
            <w:pPr>
              <w:pStyle w:val="TableContents"/>
              <w:bidi w:val="0"/>
              <w:spacing w:before="0" w:after="283"/>
              <w:jc w:val="left"/>
              <w:rPr/>
            </w:pPr>
            <w:r>
              <w:rPr/>
              <w:t>Proceeds from note payable,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2,700</w:t>
            </w:r>
          </w:p>
        </w:tc>
        <w:tc>
          <w:tcPr>
            <w:tcW w:w="110" w:type="dxa"/>
            <w:tcBorders/>
            <w:shd w:fill="FFFFFF" w:val="clear"/>
            <w:vAlign w:val="center"/>
          </w:tcPr>
          <w:p>
            <w:pPr>
              <w:pStyle w:val="TableContents"/>
              <w:bidi w:val="0"/>
              <w:spacing w:before="0" w:after="283"/>
              <w:jc w:val="left"/>
              <w:rPr/>
            </w:pPr>
            <w:r>
              <w:rPr/>
              <w:t> </w:t>
            </w:r>
            <w:bookmarkStart w:id="320" w:name="xdx_406_eus-gaap--RepaymentsOfNotesPayab"/>
            <w:bookmarkEnd w:id="320"/>
          </w:p>
        </w:tc>
      </w:tr>
      <w:tr>
        <w:trPr/>
        <w:tc>
          <w:tcPr>
            <w:tcW w:w="8165" w:type="dxa"/>
            <w:tcBorders/>
            <w:shd w:fill="CCEEFF" w:val="clear"/>
            <w:vAlign w:val="center"/>
          </w:tcPr>
          <w:p>
            <w:pPr>
              <w:pStyle w:val="TableContents"/>
              <w:bidi w:val="0"/>
              <w:spacing w:before="0" w:after="283"/>
              <w:jc w:val="left"/>
              <w:rPr/>
            </w:pPr>
            <w:r>
              <w:rPr/>
              <w:t>Repayment of note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(2,700</w:t>
            </w:r>
          </w:p>
        </w:tc>
        <w:tc>
          <w:tcPr>
            <w:tcW w:w="110" w:type="dxa"/>
            <w:tcBorders/>
            <w:shd w:fill="CCEEFF" w:val="clear"/>
            <w:vAlign w:val="center"/>
          </w:tcPr>
          <w:p>
            <w:pPr>
              <w:pStyle w:val="TableContents"/>
              <w:bidi w:val="0"/>
              <w:spacing w:before="0" w:after="283"/>
              <w:jc w:val="left"/>
              <w:rPr/>
            </w:pPr>
            <w:r>
              <w:rPr/>
              <w:t>)</w:t>
            </w:r>
            <w:bookmarkStart w:id="321" w:name="xdx_406_ecustom--RepaymentsOfNotesPayabl"/>
            <w:bookmarkEnd w:id="321"/>
          </w:p>
        </w:tc>
      </w:tr>
      <w:tr>
        <w:trPr/>
        <w:tc>
          <w:tcPr>
            <w:tcW w:w="8165" w:type="dxa"/>
            <w:tcBorders/>
            <w:shd w:fill="FFFFFF" w:val="clear"/>
            <w:vAlign w:val="center"/>
          </w:tcPr>
          <w:p>
            <w:pPr>
              <w:pStyle w:val="TableContents"/>
              <w:bidi w:val="0"/>
              <w:spacing w:before="0" w:after="283"/>
              <w:jc w:val="left"/>
              <w:rPr/>
            </w:pPr>
            <w:r>
              <w:rPr/>
              <w:t>Repayment of note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(49,081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22" w:name="xdx_405_eus-gaap--ProceedsFromIssuanceOf"/>
            <w:bookmarkEnd w:id="322"/>
          </w:p>
        </w:tc>
      </w:tr>
      <w:tr>
        <w:trPr/>
        <w:tc>
          <w:tcPr>
            <w:tcW w:w="8165" w:type="dxa"/>
            <w:tcBorders/>
            <w:shd w:fill="CCEEFF" w:val="clear"/>
            <w:vAlign w:val="center"/>
          </w:tcPr>
          <w:p>
            <w:pPr>
              <w:pStyle w:val="TableContents"/>
              <w:bidi w:val="0"/>
              <w:spacing w:before="0" w:after="283"/>
              <w:jc w:val="left"/>
              <w:rPr/>
            </w:pPr>
            <w:r>
              <w:rPr/>
              <w:t>Proceeds from preferred stock offering, net of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23" w:name="xdx_409_eus-gaap--FinanceLeasePrincipalP"/>
            <w:bookmarkEnd w:id="323"/>
          </w:p>
        </w:tc>
      </w:tr>
      <w:tr>
        <w:trPr/>
        <w:tc>
          <w:tcPr>
            <w:tcW w:w="8165" w:type="dxa"/>
            <w:tcBorders/>
            <w:shd w:fill="FFFFFF" w:val="clear"/>
            <w:vAlign w:val="center"/>
          </w:tcPr>
          <w:p>
            <w:pPr>
              <w:pStyle w:val="TableContents"/>
              <w:bidi w:val="0"/>
              <w:spacing w:before="0" w:after="283"/>
              <w:jc w:val="left"/>
              <w:rPr/>
            </w:pPr>
            <w:r>
              <w:rPr/>
              <w:t>Principal payments on finance leases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(45</w:t>
            </w:r>
          </w:p>
        </w:tc>
        <w:tc>
          <w:tcPr>
            <w:tcW w:w="110" w:type="dxa"/>
            <w:tcBorders/>
            <w:shd w:fill="FFFFFF" w:val="clear"/>
            <w:vAlign w:val="center"/>
          </w:tcPr>
          <w:p>
            <w:pPr>
              <w:pStyle w:val="TableContents"/>
              <w:bidi w:val="0"/>
              <w:spacing w:before="0" w:after="283"/>
              <w:jc w:val="left"/>
              <w:rPr/>
            </w:pPr>
            <w:r>
              <w:rPr/>
              <w:t>)</w:t>
            </w:r>
            <w:bookmarkStart w:id="324" w:name="xdx_407_eus-gaap--ProceedsFromStockOptio"/>
            <w:bookmarkEnd w:id="324"/>
          </w:p>
        </w:tc>
      </w:tr>
      <w:tr>
        <w:trPr/>
        <w:tc>
          <w:tcPr>
            <w:tcW w:w="8165" w:type="dxa"/>
            <w:tcBorders/>
            <w:shd w:fill="CCEEFF" w:val="clear"/>
            <w:vAlign w:val="center"/>
          </w:tcPr>
          <w:p>
            <w:pPr>
              <w:pStyle w:val="TableContents"/>
              <w:bidi w:val="0"/>
              <w:spacing w:before="0" w:after="283"/>
              <w:jc w:val="left"/>
              <w:rPr/>
            </w:pPr>
            <w:r>
              <w:rPr/>
              <w:t>Proceeds from exercise of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bookmarkStart w:id="325" w:name="xdx_40D_eus-gaap--PaymentsOfFinancingCos"/>
            <w:bookmarkEnd w:id="325"/>
          </w:p>
        </w:tc>
      </w:tr>
      <w:tr>
        <w:trPr/>
        <w:tc>
          <w:tcPr>
            <w:tcW w:w="8165" w:type="dxa"/>
            <w:tcBorders/>
            <w:shd w:fill="FFFFFF" w:val="clear"/>
            <w:vAlign w:val="center"/>
          </w:tcPr>
          <w:p>
            <w:pPr>
              <w:pStyle w:val="TableContents"/>
              <w:bidi w:val="0"/>
              <w:spacing w:before="0" w:after="283"/>
              <w:jc w:val="left"/>
              <w:rPr/>
            </w:pPr>
            <w:r>
              <w:rPr/>
              <w:t>Payment of debt financing fees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26" w:name="xdx_40C_eus-gaap--NetCashProvidedByUsedI"/>
            <w:bookmarkEnd w:id="326"/>
          </w:p>
        </w:tc>
      </w:tr>
      <w:tr>
        <w:trPr/>
        <w:tc>
          <w:tcPr>
            <w:tcW w:w="8165"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41,338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2,002</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27" w:name="xdx_405_eus-gaap--CashCashEquivalentsRes"/>
            <w:bookmarkEnd w:id="327"/>
          </w:p>
        </w:tc>
      </w:tr>
      <w:tr>
        <w:trPr/>
        <w:tc>
          <w:tcPr>
            <w:tcW w:w="8165" w:type="dxa"/>
            <w:tcBorders/>
            <w:shd w:fill="CCEEFF" w:val="clear"/>
            <w:vAlign w:val="center"/>
          </w:tcPr>
          <w:p>
            <w:pPr>
              <w:pStyle w:val="TableContents"/>
              <w:bidi w:val="0"/>
              <w:spacing w:before="0" w:after="283"/>
              <w:jc w:val="left"/>
              <w:rPr/>
            </w:pPr>
            <w:r>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(7,864</w:t>
            </w:r>
          </w:p>
        </w:tc>
        <w:tc>
          <w:tcPr>
            <w:tcW w:w="110" w:type="dxa"/>
            <w:tcBorders/>
            <w:shd w:fill="CCEEFF" w:val="clear"/>
            <w:vAlign w:val="center"/>
          </w:tcPr>
          <w:p>
            <w:pPr>
              <w:pStyle w:val="TableContents"/>
              <w:bidi w:val="0"/>
              <w:spacing w:before="0" w:after="283"/>
              <w:jc w:val="left"/>
              <w:rPr/>
            </w:pPr>
            <w:r>
              <w:rPr/>
              <w:t>)</w:t>
            </w:r>
            <w:bookmarkStart w:id="328" w:name="xdx_401_eus-gaap--CashCashEquivalentsRes"/>
            <w:bookmarkEnd w:id="328"/>
          </w:p>
        </w:tc>
      </w:tr>
      <w:tr>
        <w:trPr/>
        <w:tc>
          <w:tcPr>
            <w:tcW w:w="8165" w:type="dxa"/>
            <w:tcBorders/>
            <w:shd w:fill="FFFFFF" w:val="clear"/>
            <w:vAlign w:val="center"/>
          </w:tcPr>
          <w:p>
            <w:pPr>
              <w:pStyle w:val="TableContents"/>
              <w:bidi w:val="0"/>
              <w:spacing w:before="0" w:after="283"/>
              <w:jc w:val="left"/>
              <w:rPr/>
            </w:pPr>
            <w:r>
              <w:rPr/>
              <w:t>Beginning Cash and cash equivalents - beginning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12,713</w:t>
            </w:r>
          </w:p>
        </w:tc>
        <w:tc>
          <w:tcPr>
            <w:tcW w:w="110" w:type="dxa"/>
            <w:tcBorders/>
            <w:shd w:fill="FFFFFF" w:val="clear"/>
            <w:vAlign w:val="center"/>
          </w:tcPr>
          <w:p>
            <w:pPr>
              <w:pStyle w:val="TableContents"/>
              <w:bidi w:val="0"/>
              <w:spacing w:before="0" w:after="283"/>
              <w:jc w:val="left"/>
              <w:rPr/>
            </w:pPr>
            <w:r>
              <w:rPr/>
              <w:t> </w:t>
            </w:r>
            <w:bookmarkStart w:id="329" w:name="xdx_406_eus-gaap--CashCashEquivalentsRes"/>
            <w:bookmarkEnd w:id="329"/>
          </w:p>
        </w:tc>
      </w:tr>
      <w:tr>
        <w:trPr/>
        <w:tc>
          <w:tcPr>
            <w:tcW w:w="8165" w:type="dxa"/>
            <w:tcBorders/>
            <w:shd w:fill="CCEEFF" w:val="clear"/>
            <w:vAlign w:val="center"/>
          </w:tcPr>
          <w:p>
            <w:pPr>
              <w:pStyle w:val="TableContents"/>
              <w:bidi w:val="0"/>
              <w:spacing w:before="0" w:after="283"/>
              <w:jc w:val="left"/>
              <w:rPr/>
            </w:pPr>
            <w:r>
              <w:rPr/>
              <w:t>Ending Cash and cash equivalents - end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18,270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4,849</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30" w:name="xdx_40D_eus-gaap--SupplementalCashFlowIn"/>
            <w:bookmarkEnd w:id="330"/>
          </w:p>
        </w:tc>
      </w:tr>
      <w:tr>
        <w:trPr/>
        <w:tc>
          <w:tcPr>
            <w:tcW w:w="8165" w:type="dxa"/>
            <w:tcBorders/>
            <w:shd w:fill="CCEEFF" w:val="clear"/>
            <w:vAlign w:val="center"/>
          </w:tcPr>
          <w:p>
            <w:pPr>
              <w:pStyle w:val="TableContents"/>
              <w:bidi w:val="0"/>
              <w:spacing w:before="0" w:after="283"/>
              <w:jc w:val="left"/>
              <w:rPr/>
            </w:pPr>
            <w:r>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31" w:name="xdx_40C_eus-gaap--IncomeTaxesPaidNet_i01"/>
            <w:bookmarkEnd w:id="331"/>
          </w:p>
        </w:tc>
      </w:tr>
      <w:tr>
        <w:trPr/>
        <w:tc>
          <w:tcPr>
            <w:tcW w:w="8165"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32" w:name="xdx_402_eus-gaap--InterestPaidNet_i01_zV"/>
            <w:bookmarkEnd w:id="332"/>
          </w:p>
        </w:tc>
      </w:tr>
      <w:tr>
        <w:trPr/>
        <w:tc>
          <w:tcPr>
            <w:tcW w:w="8165"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6,288</w:t>
            </w:r>
          </w:p>
        </w:tc>
        <w:tc>
          <w:tcPr>
            <w:tcW w:w="110" w:type="dxa"/>
            <w:tcBorders/>
            <w:shd w:fill="CCEEFF" w:val="clear"/>
            <w:vAlign w:val="center"/>
          </w:tcPr>
          <w:p>
            <w:pPr>
              <w:pStyle w:val="TableContents"/>
              <w:bidi w:val="0"/>
              <w:spacing w:before="0" w:after="283"/>
              <w:jc w:val="left"/>
              <w:rPr/>
            </w:pPr>
            <w:r>
              <w:rPr/>
              <w:t> </w:t>
            </w:r>
            <w:bookmarkStart w:id="333" w:name="xdx_406_eus-gaap--CashFlowNoncashInvesti"/>
            <w:bookmarkEnd w:id="333"/>
          </w:p>
        </w:tc>
      </w:tr>
      <w:tr>
        <w:trPr/>
        <w:tc>
          <w:tcPr>
            <w:tcW w:w="8165" w:type="dxa"/>
            <w:tcBorders/>
            <w:shd w:fill="FFFFFF" w:val="clear"/>
            <w:vAlign w:val="center"/>
          </w:tcPr>
          <w:p>
            <w:pPr>
              <w:pStyle w:val="TableContents"/>
              <w:bidi w:val="0"/>
              <w:spacing w:before="0" w:after="283"/>
              <w:jc w:val="left"/>
              <w:rPr/>
            </w:pPr>
            <w:r>
              <w:rPr/>
              <w:t>Supplemental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34" w:name="xdx_404_eus-gaap--CapitalExpendituresInc"/>
            <w:bookmarkEnd w:id="334"/>
          </w:p>
        </w:tc>
      </w:tr>
      <w:tr>
        <w:trPr/>
        <w:tc>
          <w:tcPr>
            <w:tcW w:w="8165" w:type="dxa"/>
            <w:tcBorders/>
            <w:shd w:fill="CCEEFF" w:val="clear"/>
            <w:vAlign w:val="center"/>
          </w:tcPr>
          <w:p>
            <w:pPr>
              <w:pStyle w:val="TableContents"/>
              <w:bidi w:val="0"/>
              <w:spacing w:before="0" w:after="283"/>
              <w:jc w:val="left"/>
              <w:rPr/>
            </w:pPr>
            <w:r>
              <w:rPr/>
              <w:t>Purchases of property and equipment, not yet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1,703</w:t>
            </w:r>
          </w:p>
        </w:tc>
        <w:tc>
          <w:tcPr>
            <w:tcW w:w="110" w:type="dxa"/>
            <w:tcBorders/>
            <w:shd w:fill="CCEEFF" w:val="clear"/>
            <w:vAlign w:val="center"/>
          </w:tcPr>
          <w:p>
            <w:pPr>
              <w:pStyle w:val="TableContents"/>
              <w:bidi w:val="0"/>
              <w:spacing w:before="0" w:after="283"/>
              <w:jc w:val="left"/>
              <w:rPr/>
            </w:pPr>
            <w:r>
              <w:rPr/>
              <w:t> </w:t>
            </w:r>
            <w:bookmarkStart w:id="335" w:name="xdx_405_eus-gaap--RightOfUseAssetObtaine"/>
            <w:bookmarkEnd w:id="335"/>
          </w:p>
        </w:tc>
      </w:tr>
      <w:tr>
        <w:trPr/>
        <w:tc>
          <w:tcPr>
            <w:tcW w:w="8165" w:type="dxa"/>
            <w:tcBorders/>
            <w:shd w:fill="FFFFFF" w:val="clear"/>
            <w:vAlign w:val="center"/>
          </w:tcPr>
          <w:p>
            <w:pPr>
              <w:pStyle w:val="TableContents"/>
              <w:bidi w:val="0"/>
              <w:spacing w:before="0" w:after="283"/>
              <w:jc w:val="left"/>
              <w:rPr/>
            </w:pPr>
            <w:r>
              <w:rPr/>
              <w:t>Recognition of right of use asset obtained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642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18,653</w:t>
            </w:r>
          </w:p>
        </w:tc>
        <w:tc>
          <w:tcPr>
            <w:tcW w:w="110" w:type="dxa"/>
            <w:tcBorders/>
            <w:shd w:fill="FFFFFF" w:val="clear"/>
            <w:vAlign w:val="center"/>
          </w:tcPr>
          <w:p>
            <w:pPr>
              <w:pStyle w:val="TableContents"/>
              <w:bidi w:val="0"/>
              <w:spacing w:before="0" w:after="283"/>
              <w:jc w:val="left"/>
              <w:rPr/>
            </w:pPr>
            <w:r>
              <w:rPr/>
              <w:t> </w:t>
            </w:r>
            <w:bookmarkStart w:id="336" w:name="xdx_403_ecustom--RecognitionOfLeaseholdI"/>
            <w:bookmarkEnd w:id="336"/>
          </w:p>
        </w:tc>
      </w:tr>
      <w:tr>
        <w:trPr/>
        <w:tc>
          <w:tcPr>
            <w:tcW w:w="8165" w:type="dxa"/>
            <w:tcBorders/>
            <w:shd w:fill="CCEEFF" w:val="clear"/>
            <w:vAlign w:val="center"/>
          </w:tcPr>
          <w:p>
            <w:pPr>
              <w:pStyle w:val="TableContents"/>
              <w:bidi w:val="0"/>
              <w:spacing w:before="0" w:after="283"/>
              <w:jc w:val="left"/>
              <w:rPr/>
            </w:pPr>
            <w:r>
              <w:rPr/>
              <w:t>Recognition of leasehold improvements obtained in exchange for 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4,683</w:t>
            </w:r>
          </w:p>
        </w:tc>
        <w:tc>
          <w:tcPr>
            <w:tcW w:w="110" w:type="dxa"/>
            <w:tcBorders/>
            <w:shd w:fill="CCEEFF" w:val="clear"/>
            <w:vAlign w:val="center"/>
          </w:tcPr>
          <w:p>
            <w:pPr>
              <w:pStyle w:val="TableContents"/>
              <w:bidi w:val="0"/>
              <w:spacing w:before="0" w:after="283"/>
              <w:jc w:val="left"/>
              <w:rPr/>
            </w:pPr>
            <w:r>
              <w:rPr/>
              <w:t> </w:t>
            </w:r>
            <w:bookmarkStart w:id="337" w:name="xdx_402_ecustom--RecognitionOfLeaseholdI"/>
            <w:bookmarkEnd w:id="337"/>
          </w:p>
        </w:tc>
      </w:tr>
      <w:tr>
        <w:trPr/>
        <w:tc>
          <w:tcPr>
            <w:tcW w:w="8165" w:type="dxa"/>
            <w:tcBorders/>
            <w:shd w:fill="FFFFFF" w:val="clear"/>
            <w:vAlign w:val="center"/>
          </w:tcPr>
          <w:p>
            <w:pPr>
              <w:pStyle w:val="TableContents"/>
              <w:bidi w:val="0"/>
              <w:spacing w:before="0" w:after="283"/>
              <w:jc w:val="left"/>
              <w:rPr/>
            </w:pPr>
            <w:r>
              <w:rPr/>
              <w:t>Recognition of machinery &amp; equipment obtained in exchange for financing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53</w:t>
            </w:r>
          </w:p>
        </w:tc>
        <w:tc>
          <w:tcPr>
            <w:tcW w:w="110" w:type="dxa"/>
            <w:tcBorders/>
            <w:shd w:fill="FFFFFF" w:val="clear"/>
            <w:vAlign w:val="center"/>
          </w:tcPr>
          <w:p>
            <w:pPr>
              <w:pStyle w:val="TableContents"/>
              <w:bidi w:val="0"/>
              <w:spacing w:before="0" w:after="283"/>
              <w:jc w:val="left"/>
              <w:rPr/>
            </w:pPr>
            <w:r>
              <w:rPr/>
              <w:t> </w:t>
            </w:r>
            <w:bookmarkStart w:id="338" w:name="xdx_40A_ecustom--RecognitionOfWarrantLia"/>
            <w:bookmarkEnd w:id="338"/>
          </w:p>
        </w:tc>
      </w:tr>
      <w:tr>
        <w:trPr/>
        <w:tc>
          <w:tcPr>
            <w:tcW w:w="8165" w:type="dxa"/>
            <w:tcBorders/>
            <w:shd w:fill="CCEEFF" w:val="clear"/>
            <w:vAlign w:val="center"/>
          </w:tcPr>
          <w:p>
            <w:pPr>
              <w:pStyle w:val="TableContents"/>
              <w:bidi w:val="0"/>
              <w:spacing w:before="0" w:after="283"/>
              <w:jc w:val="left"/>
              <w:rPr/>
            </w:pPr>
            <w:r>
              <w:rPr/>
              <w:t>Recognition of warrant liability - Investor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697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39" w:name="xdx_404_ecustom--ConversionOfPreferredSt"/>
            <w:bookmarkEnd w:id="339"/>
          </w:p>
        </w:tc>
      </w:tr>
      <w:tr>
        <w:trPr/>
        <w:tc>
          <w:tcPr>
            <w:tcW w:w="8165" w:type="dxa"/>
            <w:tcBorders/>
            <w:shd w:fill="FFFFFF" w:val="clear"/>
            <w:vAlign w:val="center"/>
          </w:tcPr>
          <w:p>
            <w:pPr>
              <w:pStyle w:val="TableContents"/>
              <w:bidi w:val="0"/>
              <w:spacing w:before="0" w:after="283"/>
              <w:jc w:val="left"/>
              <w:rPr/>
            </w:pPr>
            <w:r>
              <w:rPr/>
              <w:t>Conversion of preferred stock to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7,330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40" w:name="xdx_408_ecustom--AccruedDividends_i01_zb"/>
            <w:bookmarkEnd w:id="340"/>
          </w:p>
        </w:tc>
      </w:tr>
      <w:tr>
        <w:trPr/>
        <w:tc>
          <w:tcPr>
            <w:tcW w:w="8165" w:type="dxa"/>
            <w:tcBorders/>
            <w:shd w:fill="CCEEFF" w:val="clear"/>
            <w:vAlign w:val="center"/>
          </w:tcPr>
          <w:p>
            <w:pPr>
              <w:pStyle w:val="TableContents"/>
              <w:bidi w:val="0"/>
              <w:spacing w:before="0" w:after="283"/>
              <w:jc w:val="left"/>
              <w:rPr/>
            </w:pPr>
            <w:r>
              <w:rPr/>
              <w:t>Accrued dividends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41" w:name="xdx_40D_eus-gaap--DividendsPaidinkind_i0"/>
            <w:bookmarkEnd w:id="341"/>
          </w:p>
        </w:tc>
      </w:tr>
      <w:tr>
        <w:trPr/>
        <w:tc>
          <w:tcPr>
            <w:tcW w:w="8165" w:type="dxa"/>
            <w:tcBorders/>
            <w:shd w:fill="FFFFFF" w:val="clear"/>
            <w:vAlign w:val="center"/>
          </w:tcPr>
          <w:p>
            <w:pPr>
              <w:pStyle w:val="TableContents"/>
              <w:bidi w:val="0"/>
              <w:spacing w:before="0" w:after="283"/>
              <w:jc w:val="left"/>
              <w:rPr/>
            </w:pPr>
            <w:r>
              <w:rPr/>
              <w:t>Dividends paid in kind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42" w:name="xdx_401_ecustom--AccretionOfPreferredSto"/>
            <w:bookmarkEnd w:id="342"/>
          </w:p>
        </w:tc>
      </w:tr>
      <w:tr>
        <w:trPr/>
        <w:tc>
          <w:tcPr>
            <w:tcW w:w="8165" w:type="dxa"/>
            <w:tcBorders/>
            <w:shd w:fill="CCEEFF" w:val="clear"/>
            <w:vAlign w:val="center"/>
          </w:tcPr>
          <w:p>
            <w:pPr>
              <w:pStyle w:val="TableContents"/>
              <w:bidi w:val="0"/>
              <w:spacing w:before="0" w:after="283"/>
              <w:jc w:val="left"/>
              <w:rPr/>
            </w:pPr>
            <w:r>
              <w:rPr/>
              <w:t>Accretion of preferred stock discount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43" w:name="xdx_400_ecustom--ConversionOfNotesPayabl"/>
            <w:bookmarkEnd w:id="343"/>
          </w:p>
        </w:tc>
      </w:tr>
      <w:tr>
        <w:trPr/>
        <w:tc>
          <w:tcPr>
            <w:tcW w:w="8165" w:type="dxa"/>
            <w:tcBorders/>
            <w:shd w:fill="FFFFFF" w:val="clear"/>
            <w:vAlign w:val="center"/>
          </w:tcPr>
          <w:p>
            <w:pPr>
              <w:pStyle w:val="TableContents"/>
              <w:bidi w:val="0"/>
              <w:spacing w:before="0" w:after="283"/>
              <w:jc w:val="left"/>
              <w:rPr/>
            </w:pPr>
            <w:r>
              <w:rPr/>
              <w:t>Conversion of notes payable to preferred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44" w:name="xdx_404_ecustom--RecognitionOfWarrantLia"/>
            <w:bookmarkEnd w:id="344"/>
          </w:p>
        </w:tc>
      </w:tr>
      <w:tr>
        <w:trPr/>
        <w:tc>
          <w:tcPr>
            <w:tcW w:w="8165" w:type="dxa"/>
            <w:tcBorders/>
            <w:shd w:fill="CCEEFF" w:val="clear"/>
            <w:vAlign w:val="center"/>
          </w:tcPr>
          <w:p>
            <w:pPr>
              <w:pStyle w:val="TableContents"/>
              <w:bidi w:val="0"/>
              <w:spacing w:before="0" w:after="283"/>
              <w:jc w:val="left"/>
              <w:rPr/>
            </w:pPr>
            <w:r>
              <w:rPr/>
              <w:t>Recognition of warrant liability - Penny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7,354</w:t>
            </w:r>
          </w:p>
        </w:tc>
        <w:tc>
          <w:tcPr>
            <w:tcW w:w="110" w:type="dxa"/>
            <w:tcBorders/>
            <w:shd w:fill="CCEEFF" w:val="clear"/>
            <w:vAlign w:val="center"/>
          </w:tcPr>
          <w:p>
            <w:pPr>
              <w:pStyle w:val="TableContents"/>
              <w:bidi w:val="0"/>
              <w:spacing w:before="0" w:after="283"/>
              <w:jc w:val="left"/>
              <w:rPr/>
            </w:pPr>
            <w:r>
              <w:rPr/>
              <w:t> </w:t>
            </w:r>
            <w:bookmarkStart w:id="345" w:name="xdx_401_ecustom--SettlementOfAccruedLiab"/>
            <w:bookmarkEnd w:id="345"/>
          </w:p>
        </w:tc>
      </w:tr>
      <w:tr>
        <w:trPr/>
        <w:tc>
          <w:tcPr>
            <w:tcW w:w="8165" w:type="dxa"/>
            <w:tcBorders/>
            <w:shd w:fill="FFFFFF" w:val="clear"/>
            <w:vAlign w:val="center"/>
          </w:tcPr>
          <w:p>
            <w:pPr>
              <w:pStyle w:val="TableContents"/>
              <w:bidi w:val="0"/>
              <w:spacing w:before="0" w:after="283"/>
              <w:jc w:val="left"/>
              <w:rPr/>
            </w:pPr>
            <w:r>
              <w:rPr/>
              <w:t>Settlement of accrued liability for employee stock purchase plan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250</w:t>
            </w:r>
          </w:p>
        </w:tc>
        <w:tc>
          <w:tcPr>
            <w:tcW w:w="110" w:type="dxa"/>
            <w:tcBorders/>
            <w:shd w:fill="FFFFFF" w:val="clear"/>
            <w:vAlign w:val="center"/>
          </w:tcPr>
          <w:p>
            <w:pPr>
              <w:pStyle w:val="TableContents"/>
              <w:bidi w:val="0"/>
              <w:spacing w:before="0" w:after="283"/>
              <w:jc w:val="left"/>
              <w:rPr/>
            </w:pPr>
            <w:r>
              <w:rPr/>
              <w:t> </w:t>
            </w:r>
            <w:bookmarkStart w:id="346" w:name="xdx_40C_ecustom--ReclassificationOfAsset"/>
            <w:bookmarkEnd w:id="346"/>
          </w:p>
        </w:tc>
      </w:tr>
      <w:tr>
        <w:trPr/>
        <w:tc>
          <w:tcPr>
            <w:tcW w:w="8165" w:type="dxa"/>
            <w:tcBorders/>
            <w:shd w:fill="CCEEFF" w:val="clear"/>
            <w:vAlign w:val="center"/>
          </w:tcPr>
          <w:p>
            <w:pPr>
              <w:pStyle w:val="TableContents"/>
              <w:bidi w:val="0"/>
              <w:spacing w:before="0" w:after="283"/>
              <w:jc w:val="left"/>
              <w:rPr/>
            </w:pPr>
            <w:r>
              <w:rPr/>
              <w:t>Reclassification of assets held for sale to machinery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47" w:name="xdx_406_ecustom--ReclassificationOfAsset"/>
            <w:bookmarkEnd w:id="347"/>
          </w:p>
        </w:tc>
      </w:tr>
      <w:tr>
        <w:trPr/>
        <w:tc>
          <w:tcPr>
            <w:tcW w:w="8165" w:type="dxa"/>
            <w:tcBorders/>
            <w:shd w:fill="FFFFFF" w:val="clear"/>
            <w:vAlign w:val="center"/>
          </w:tcPr>
          <w:p>
            <w:pPr>
              <w:pStyle w:val="TableContents"/>
              <w:bidi w:val="0"/>
              <w:spacing w:before="0" w:after="283"/>
              <w:jc w:val="left"/>
              <w:rPr/>
            </w:pPr>
            <w:r>
              <w:rPr/>
              <w:t>Reclassification of assets held for sale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644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48" w:name="findr_007"/>
      <w:bookmarkEnd w:id="348"/>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349" w:name="xdx_801_eus-gaap--NatureOfOperations_ztI"/>
      <w:bookmarkEnd w:id="349"/>
      <w:r>
        <w:rPr>
          <w:rFonts w:ascii="Times New Roman;Times;Serif" w:hAnsi="Times New Roman;Times;Serif"/>
          <w:b/>
          <w:i w:val="false"/>
          <w:caps/>
          <w:sz w:val="20"/>
        </w:rPr>
        <w:t xml:space="preserve">Note 1 - </w:t>
      </w:r>
      <w:bookmarkStart w:id="350" w:name="xdx_823_z1tU1fm3jpP5"/>
      <w:bookmarkEnd w:id="350"/>
      <w:r>
        <w:rPr>
          <w:rFonts w:ascii="Times New Roman;Times;Serif" w:hAnsi="Times New Roman;Times;Serif"/>
          <w:b/>
          <w:i w:val="false"/>
          <w:caps/>
          <w:sz w:val="20"/>
        </w:rPr>
        <w:t>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(the “Company”) sells lithium ion battery packs for use in a wide variety of applications. The Company sells to distributors under the Dragonfly Energy brand name, and sells direct to consumers under the trade name Battleborn Batteries. In addition, the Company develops technology for improved lithium ion battery manufacturing and assembly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12, 2024, the Company’s Board of Directors approved a </w:t>
      </w:r>
      <w:bookmarkStart w:id="351" w:name="xdx_909_eus-gaap--StockholdersEquityReve"/>
      <w:bookmarkEnd w:id="351"/>
      <w:r>
        <w:rPr>
          <w:rFonts w:ascii="Times New Roman;Times;Serif" w:hAnsi="Times New Roman;Times;Serif"/>
          <w:b w:val="false"/>
          <w:i w:val="false"/>
          <w:caps w:val="false"/>
          <w:smallCaps w:val="false"/>
          <w:sz w:val="20"/>
        </w:rPr>
        <w:t>1-for-9 reverse stock split of the Company’s common stock, par value $</w:t>
      </w:r>
      <w:bookmarkStart w:id="352" w:name="xdx_907_eus-gaap--CommonStockParOrStated"/>
      <w:bookmarkEnd w:id="352"/>
      <w:r>
        <w:rPr>
          <w:rFonts w:ascii="Times New Roman;Times;Serif" w:hAnsi="Times New Roman;Times;Serif"/>
          <w:b w:val="false"/>
          <w:i w:val="false"/>
          <w:caps w:val="false"/>
          <w:smallCaps w:val="false"/>
          <w:sz w:val="20"/>
        </w:rPr>
        <w:t>0.0001 per share (“Common Stock”) and a corresponding proportional reduction in the number of common stock shares issued and outstanding. The reverse stock split was effected upon market open on November 22, 2024, (the “Effective Date”), and shares of Common Stock began trading on a split-adjusted basis as of market open on November 22,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15, 2025, the Company’s Board of Directors approved a </w:t>
      </w:r>
      <w:bookmarkStart w:id="353" w:name="xdx_90B_eus-gaap--StockholdersEquityReve"/>
      <w:bookmarkEnd w:id="353"/>
      <w:r>
        <w:rPr>
          <w:rFonts w:ascii="Times New Roman;Times;Serif" w:hAnsi="Times New Roman;Times;Serif"/>
          <w:b w:val="false"/>
          <w:i w:val="false"/>
          <w:caps w:val="false"/>
          <w:smallCaps w:val="false"/>
          <w:sz w:val="20"/>
        </w:rPr>
        <w:t>1-for-10 reverse stock split of the Company’s common stock, par value $</w:t>
      </w:r>
      <w:bookmarkStart w:id="354" w:name="xdx_908_eus-gaap--CommonStockParOrStated"/>
      <w:bookmarkEnd w:id="354"/>
      <w:r>
        <w:rPr>
          <w:rFonts w:ascii="Times New Roman;Times;Serif" w:hAnsi="Times New Roman;Times;Serif"/>
          <w:b w:val="false"/>
          <w:i w:val="false"/>
          <w:caps w:val="false"/>
          <w:smallCaps w:val="false"/>
          <w:sz w:val="20"/>
        </w:rPr>
        <w:t>0.0001 per share and a corresponding proportional reduction in the number of common stock shares issued and outstanding. The reverse stock split was effected upon market open on December 18, 2025, and shares of Common Stock began trading on a split-adjusted basis as of market open on December 18,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of Common Stock, stock option awards and per share amounts contained in the Consolidated Financial Statements and Notes have been retroactively adjusted to reflect the </w:t>
      </w:r>
      <w:bookmarkStart w:id="355" w:name="xdx_90A_eus-gaap--StockholdersEquityReve"/>
      <w:bookmarkEnd w:id="355"/>
      <w:r>
        <w:rPr>
          <w:rFonts w:ascii="Times New Roman;Times;Serif" w:hAnsi="Times New Roman;Times;Serif"/>
          <w:b w:val="false"/>
          <w:i w:val="false"/>
          <w:caps w:val="false"/>
          <w:smallCaps w:val="false"/>
          <w:sz w:val="20"/>
        </w:rPr>
        <w:t>1-for-10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356" w:name="xdx_80A_eus-gaap--SignificantAccountingP"/>
      <w:bookmarkEnd w:id="356"/>
      <w:r>
        <w:rPr>
          <w:rFonts w:ascii="Times New Roman;Times;Serif" w:hAnsi="Times New Roman;Times;Serif"/>
          <w:b/>
          <w:i w:val="false"/>
          <w:caps/>
          <w:sz w:val="20"/>
        </w:rPr>
        <w:t xml:space="preserve">Note 2 – </w:t>
      </w:r>
      <w:bookmarkStart w:id="357" w:name="xdx_826_zh63r1X5esKi"/>
      <w:bookmarkEnd w:id="357"/>
      <w:r>
        <w:rPr>
          <w:rFonts w:ascii="Times New Roman;Times;Serif" w:hAnsi="Times New Roman;Times;Serif"/>
          <w:b/>
          <w:i w:val="false"/>
          <w:caps/>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58" w:name="xdx_86A_zdu7zwYN1OFc"/>
      <w:bookmarkStart w:id="359" w:name="xdx_842_eus-gaap--BasisOfAccountingPolic"/>
      <w:bookmarkEnd w:id="358"/>
      <w:bookmarkEnd w:id="359"/>
      <w:r>
        <w:rPr>
          <w:rFonts w:ascii="Times New Roman;Times;Serif" w:hAnsi="Times New Roman;Times;Serif"/>
          <w:b w:val="false"/>
          <w:i/>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related notes have been prepared pursuant to the rules and regulations of the Securities and Exchange Commission (“SEC”) and in accordance with generally accepted accounting principles generally accepted in the United States of America (“U.S. GAAP”) and present the consolidated financial statements of the Company and its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60" w:name="xdx_862_zprZYw7YkHta"/>
      <w:bookmarkStart w:id="361" w:name="xdx_844_eus-gaap--ConsolidationPolicyTex"/>
      <w:bookmarkEnd w:id="360"/>
      <w:bookmarkEnd w:id="361"/>
      <w:r>
        <w:rPr>
          <w:rFonts w:ascii="Times New Roman;Times;Serif" w:hAnsi="Times New Roman;Times;Serif"/>
          <w:b w:val="false"/>
          <w:i/>
          <w:caps w:val="false"/>
          <w:smallCaps w:val="false"/>
          <w:sz w:val="20"/>
          <w:u w:val="single"/>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related notes have been prepared in accordance with accounting principles generally accepted in the United States of America (“U.S. GAAP”) and present the consolidated financial statements of the Company and its wholly owned subsidiary. All significant intercompany transactions and balances are eliminated in consolidation.</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62" w:name="xdx_86B_zy257j8QcCOl"/>
      <w:bookmarkStart w:id="363" w:name="xdx_845_ecustom--GoingConcernPolicyTextB"/>
      <w:bookmarkEnd w:id="362"/>
      <w:bookmarkEnd w:id="363"/>
      <w:r>
        <w:rPr>
          <w:rFonts w:ascii="Times New Roman;Times;Serif" w:hAnsi="Times New Roman;Times;Serif"/>
          <w:b w:val="false"/>
          <w:i/>
          <w:caps w:val="false"/>
          <w:smallCaps w:val="false"/>
          <w:sz w:val="20"/>
          <w:u w:val="single"/>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Company incurred losses from operations and had negative cash flow from operations. As of December 31, 2025, the Company had $</w:t>
      </w:r>
      <w:bookmarkStart w:id="364" w:name="xdx_900_eus-gaap--CashAndCashEquivalents"/>
      <w:bookmarkEnd w:id="364"/>
      <w:r>
        <w:rPr>
          <w:rFonts w:ascii="Times New Roman;Times;Serif" w:hAnsi="Times New Roman;Times;Serif"/>
          <w:b w:val="false"/>
          <w:i w:val="false"/>
          <w:caps w:val="false"/>
          <w:smallCaps w:val="false"/>
          <w:sz w:val="20"/>
        </w:rPr>
        <w:t>18,270 in cash and cash equivalents and a working capital of $</w:t>
      </w:r>
      <w:bookmarkStart w:id="365" w:name="xdx_90B_ecustom--WorkingCapital_pn3n3_c2"/>
      <w:bookmarkEnd w:id="365"/>
      <w:r>
        <w:rPr>
          <w:rFonts w:ascii="Times New Roman;Times;Serif" w:hAnsi="Times New Roman;Times;Serif"/>
          <w:b w:val="false"/>
          <w:i w:val="false"/>
          <w:caps w:val="false"/>
          <w:smallCaps w:val="false"/>
          <w:sz w:val="20"/>
        </w:rPr>
        <w:t>30,423. The Company’s ability to achieve profitability and positive cash flow depends on its ability to increase revenue, contain its expenses and maintain compliance with the financial covenants in its outstanding indebtedness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senior secured term loan facility in an aggregate principal amount of $</w:t>
      </w:r>
      <w:bookmarkStart w:id="366" w:name="xdx_90B_eus-gaap--DebtInstrumentFaceAmou"/>
      <w:bookmarkEnd w:id="366"/>
      <w:r>
        <w:rPr>
          <w:rFonts w:ascii="Times New Roman;Times;Serif" w:hAnsi="Times New Roman;Times;Serif"/>
          <w:b w:val="false"/>
          <w:i w:val="false"/>
          <w:caps w:val="false"/>
          <w:smallCaps w:val="false"/>
          <w:sz w:val="20"/>
        </w:rPr>
        <w:t>75,000 (as amended, the “Term Loan”), the Company is obligated to comply with certain financial covenants, which include maintaining a maximum senior leverage ratio, minimum liquidity, a springing fixed charge coverage ratio, and maximum capital expenditures (See Note 6). Between March 2024 and February 2025, the Company obtained multiple waivers from the Term Loan administrative agent and lenders for noncompliance with the liquidity requirements under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the Company entered into a Securities Purchase agreement (“Purchase Agreement”). The Purchase Agreement called for the Company to authorize a new series of convertible preferred stock of the Company designated as the Series A Convertible Preferred Stock, par value $</w:t>
      </w:r>
      <w:bookmarkStart w:id="367" w:name="xdx_90B_eus-gaap--PreferredStockParOrSta"/>
      <w:bookmarkEnd w:id="367"/>
      <w:r>
        <w:rPr>
          <w:rFonts w:ascii="Times New Roman;Times;Serif" w:hAnsi="Times New Roman;Times;Serif"/>
          <w:b w:val="false"/>
          <w:i w:val="false"/>
          <w:caps w:val="false"/>
          <w:smallCaps w:val="false"/>
          <w:sz w:val="20"/>
        </w:rPr>
        <w:t xml:space="preserve">0.0001 per share (the “Series A Preferred Stock”), which shall be </w:t>
      </w:r>
      <w:bookmarkStart w:id="368" w:name="xdx_902_eus-gaap--PreferredStockConversi"/>
      <w:bookmarkEnd w:id="368"/>
      <w:r>
        <w:rPr>
          <w:rFonts w:ascii="Times New Roman;Times;Serif" w:hAnsi="Times New Roman;Times;Serif"/>
          <w:b w:val="false"/>
          <w:i w:val="false"/>
          <w:caps w:val="false"/>
          <w:smallCaps w:val="false"/>
          <w:sz w:val="20"/>
        </w:rPr>
        <w:t xml:space="preserve">convertible into shares of the Company’s common stock, and sell to each Buyer an aggregate number of shares of Series A Preferred Stock and </w:t>
      </w:r>
      <w:bookmarkStart w:id="369" w:name="xdx_90B_eus-gaap--ClassOfWarrantOrRightN"/>
      <w:bookmarkEnd w:id="369"/>
      <w:r>
        <w:rPr>
          <w:rFonts w:ascii="Times New Roman;Times;Serif" w:hAnsi="Times New Roman;Times;Serif"/>
          <w:b w:val="false"/>
          <w:i w:val="false"/>
          <w:caps w:val="false"/>
          <w:smallCaps w:val="false"/>
          <w:sz w:val="20"/>
        </w:rPr>
        <w:t>20 warrants, to each buyer, that are convertible to common stock. During the year ended December 31, 2025, the Company received proceeds of $</w:t>
      </w:r>
      <w:bookmarkStart w:id="370" w:name="xdx_90D_eus-gaap--ProceedsFromIssuanceOf"/>
      <w:bookmarkEnd w:id="370"/>
      <w:r>
        <w:rPr>
          <w:rFonts w:ascii="Times New Roman;Times;Serif" w:hAnsi="Times New Roman;Times;Serif"/>
          <w:b w:val="false"/>
          <w:i w:val="false"/>
          <w:caps w:val="false"/>
          <w:smallCaps w:val="false"/>
          <w:sz w:val="20"/>
        </w:rPr>
        <w:t>8,000 less $</w:t>
      </w:r>
      <w:bookmarkStart w:id="371" w:name="xdx_90F_eus-gaap--PaymentOfFinancingAndS"/>
      <w:bookmarkEnd w:id="371"/>
      <w:r>
        <w:rPr>
          <w:rFonts w:ascii="Times New Roman;Times;Serif" w:hAnsi="Times New Roman;Times;Serif"/>
          <w:b w:val="false"/>
          <w:i w:val="false"/>
          <w:caps w:val="false"/>
          <w:smallCaps w:val="false"/>
          <w:sz w:val="20"/>
        </w:rPr>
        <w:t>670 in costs for net proceeds of $</w:t>
      </w:r>
      <w:bookmarkStart w:id="372" w:name="xdx_90B_eus-gaap--ProceedsFromIssuanceOf"/>
      <w:bookmarkEnd w:id="372"/>
      <w:r>
        <w:rPr>
          <w:rFonts w:ascii="Times New Roman;Times;Serif" w:hAnsi="Times New Roman;Times;Serif"/>
          <w:b w:val="false"/>
          <w:i w:val="false"/>
          <w:caps w:val="false"/>
          <w:smallCaps w:val="false"/>
          <w:sz w:val="20"/>
        </w:rPr>
        <w:t xml:space="preserve">7,330 due to the conversion of </w:t>
      </w:r>
      <w:bookmarkStart w:id="373" w:name="xdx_90A_eus-gaap--ConversionOfStockShare"/>
      <w:bookmarkEnd w:id="373"/>
      <w:r>
        <w:rPr>
          <w:rFonts w:ascii="Times New Roman;Times;Serif" w:hAnsi="Times New Roman;Times;Serif"/>
          <w:b w:val="false"/>
          <w:i w:val="false"/>
          <w:caps w:val="false"/>
          <w:smallCaps w:val="false"/>
          <w:sz w:val="20"/>
        </w:rPr>
        <w:t xml:space="preserve">800 shares of Series A Preferred Stock for </w:t>
      </w:r>
      <w:bookmarkStart w:id="374" w:name="xdx_900_eus-gaap--ConversionOfStockShare"/>
      <w:bookmarkEnd w:id="374"/>
      <w:r>
        <w:rPr>
          <w:rFonts w:ascii="Times New Roman;Times;Serif" w:hAnsi="Times New Roman;Times;Serif"/>
          <w:b w:val="false"/>
          <w:i w:val="false"/>
          <w:caps w:val="false"/>
          <w:smallCaps w:val="false"/>
          <w:sz w:val="20"/>
        </w:rPr>
        <w:t>3,231,462 shares of common stock which the Company has been using for working capital and general corporate purposes. As of December 31, 2025, all Series A Convertible Preferred Stock has been converted into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the Purchase Agreement, the </w:t>
      </w:r>
      <w:bookmarkStart w:id="375" w:name="xdx_90C_eus-gaap--DebtInstrumentDescript"/>
      <w:bookmarkEnd w:id="375"/>
      <w:r>
        <w:rPr>
          <w:rFonts w:ascii="Times New Roman;Times;Serif" w:hAnsi="Times New Roman;Times;Serif"/>
          <w:b w:val="false"/>
          <w:i w:val="false"/>
          <w:caps w:val="false"/>
          <w:smallCaps w:val="false"/>
          <w:sz w:val="20"/>
        </w:rPr>
        <w:t>Term Loan was amended on February 26, 2025 to (i) extend the maturity date by one (1) year to October 2027, (ii) defer all principal and interest payments to April 2026 and (iii) remove any applicable financial covenants (except for a financial covenant requiring the Company to maintain cash and cash equivalents equal to or greater than $</w:t>
      </w:r>
      <w:bookmarkStart w:id="376" w:name="xdx_902_eus-gaap--Cash_iI_pn3n3_c2025022"/>
      <w:bookmarkEnd w:id="376"/>
      <w:r>
        <w:rPr>
          <w:rFonts w:ascii="Times New Roman;Times;Serif" w:hAnsi="Times New Roman;Times;Serif"/>
          <w:b w:val="false"/>
          <w:i w:val="false"/>
          <w:caps w:val="false"/>
          <w:smallCaps w:val="false"/>
          <w:sz w:val="20"/>
        </w:rPr>
        <w:t>2,500) through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2025, the Company received proceeds of $</w:t>
      </w:r>
      <w:bookmarkStart w:id="377" w:name="xdx_903_eus-gaap--SaleOfStockConsiderati"/>
      <w:bookmarkEnd w:id="377"/>
      <w:r>
        <w:rPr>
          <w:rFonts w:ascii="Times New Roman;Times;Serif" w:hAnsi="Times New Roman;Times;Serif"/>
          <w:b w:val="false"/>
          <w:i w:val="false"/>
          <w:caps w:val="false"/>
          <w:smallCaps w:val="false"/>
          <w:sz w:val="20"/>
        </w:rPr>
        <w:t>5,495 less $</w:t>
      </w:r>
      <w:bookmarkStart w:id="378" w:name="xdx_909_eus-gaap--PaymentsOfStockIssuanc"/>
      <w:bookmarkEnd w:id="378"/>
      <w:r>
        <w:rPr>
          <w:rFonts w:ascii="Times New Roman;Times;Serif" w:hAnsi="Times New Roman;Times;Serif"/>
          <w:b w:val="false"/>
          <w:i w:val="false"/>
          <w:caps w:val="false"/>
          <w:smallCaps w:val="false"/>
          <w:sz w:val="20"/>
        </w:rPr>
        <w:t xml:space="preserve">811 in costs, which the Company has been using for working capital and other general corporate purposes, including the repayment of indebtedness in the ordinary course. Investors received an aggregate of </w:t>
      </w:r>
      <w:bookmarkStart w:id="379" w:name="xdx_905_eus-gaap--SaleOfStockNumberOfSha"/>
      <w:bookmarkEnd w:id="379"/>
      <w:r>
        <w:rPr>
          <w:rFonts w:ascii="Times New Roman;Times;Serif" w:hAnsi="Times New Roman;Times;Serif"/>
          <w:b w:val="false"/>
          <w:i w:val="false"/>
          <w:caps w:val="false"/>
          <w:smallCaps w:val="false"/>
          <w:sz w:val="20"/>
        </w:rPr>
        <w:t>2,198,000 shares of common stock.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Going Concern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the Company received proceeds of $</w:t>
      </w:r>
      <w:bookmarkStart w:id="380" w:name="xdx_90F_eus-gaap--ProceedsFromIssuanceOr"/>
      <w:bookmarkEnd w:id="380"/>
      <w:r>
        <w:rPr>
          <w:rFonts w:ascii="Times New Roman;Times;Serif" w:hAnsi="Times New Roman;Times;Serif"/>
          <w:b w:val="false"/>
          <w:i w:val="false"/>
          <w:caps w:val="false"/>
          <w:smallCaps w:val="false"/>
          <w:sz w:val="20"/>
        </w:rPr>
        <w:t xml:space="preserve">26,925, net of costs, in connection with the issuance of </w:t>
      </w:r>
      <w:bookmarkStart w:id="381" w:name="xdx_908_eus-gaap--SaleOfStockNumberOfSha"/>
      <w:bookmarkEnd w:id="381"/>
      <w:r>
        <w:rPr>
          <w:rFonts w:ascii="Times New Roman;Times;Serif" w:hAnsi="Times New Roman;Times;Serif"/>
          <w:b w:val="false"/>
          <w:i w:val="false"/>
          <w:caps w:val="false"/>
          <w:smallCaps w:val="false"/>
          <w:sz w:val="20"/>
        </w:rPr>
        <w:t>2,300,000 shares of common stock and option to purchase 300,000 shares of common stock. The Company used the proceeds to make a $</w:t>
      </w:r>
      <w:bookmarkStart w:id="382" w:name="xdx_90C_eus-gaap--PaymentsForLoans_pn3n3"/>
      <w:bookmarkEnd w:id="382"/>
      <w:r>
        <w:rPr>
          <w:rFonts w:ascii="Times New Roman;Times;Serif" w:hAnsi="Times New Roman;Times;Serif"/>
          <w:b w:val="false"/>
          <w:i w:val="false"/>
          <w:caps w:val="false"/>
          <w:smallCaps w:val="false"/>
          <w:sz w:val="20"/>
        </w:rPr>
        <w:t>4,000 prepayment on the Term Loan. On October 17, 2025, the Company received additional proceeds of $</w:t>
      </w:r>
      <w:bookmarkStart w:id="383" w:name="xdx_909_eus-gaap--ProceedsFromIssuanceOr"/>
      <w:bookmarkEnd w:id="383"/>
      <w:r>
        <w:rPr>
          <w:rFonts w:ascii="Times New Roman;Times;Serif" w:hAnsi="Times New Roman;Times;Serif"/>
          <w:b w:val="false"/>
          <w:i w:val="false"/>
          <w:caps w:val="false"/>
          <w:smallCaps w:val="false"/>
          <w:sz w:val="20"/>
        </w:rPr>
        <w:t xml:space="preserve">51,928, net of costs, from the issuance of </w:t>
      </w:r>
      <w:bookmarkStart w:id="384" w:name="xdx_900_eus-gaap--SaleOfStockNumberOfSha"/>
      <w:bookmarkEnd w:id="384"/>
      <w:r>
        <w:rPr>
          <w:rFonts w:ascii="Times New Roman;Times;Serif" w:hAnsi="Times New Roman;Times;Serif"/>
          <w:b w:val="false"/>
          <w:i w:val="false"/>
          <w:caps w:val="false"/>
          <w:smallCaps w:val="false"/>
          <w:sz w:val="20"/>
        </w:rPr>
        <w:t xml:space="preserve">3,600,000 shares of common stock and </w:t>
      </w:r>
      <w:bookmarkStart w:id="385" w:name="xdx_905_eus-gaap--ClassOfWarrantOrRightN"/>
      <w:bookmarkEnd w:id="385"/>
      <w:r>
        <w:rPr>
          <w:rFonts w:ascii="Times New Roman;Times;Serif" w:hAnsi="Times New Roman;Times;Serif"/>
          <w:b w:val="false"/>
          <w:i w:val="false"/>
          <w:caps w:val="false"/>
          <w:smallCaps w:val="false"/>
          <w:sz w:val="20"/>
        </w:rPr>
        <w:t>500,000 pre-funded warrants to purchase shares of common stock. The Company used the aggregate net proceeds for working capital and other general corporate purposes, including the repayment of indebtedness in the ordinary course of business. Additionally, on October 20, 2025, the Term Loan was restructured and the Company entered into the Sixth Amendment (the “Sixth Amendment”) with the Term Loan lenders, which included new monthly interest payment terms, $</w:t>
      </w:r>
      <w:bookmarkStart w:id="386" w:name="xdx_907_eus-gaap--DebtInstrumentPeriodic"/>
      <w:bookmarkEnd w:id="386"/>
      <w:r>
        <w:rPr>
          <w:rFonts w:ascii="Times New Roman;Times;Serif" w:hAnsi="Times New Roman;Times;Serif"/>
          <w:b w:val="false"/>
          <w:i w:val="false"/>
          <w:caps w:val="false"/>
          <w:smallCaps w:val="false"/>
          <w:sz w:val="20"/>
        </w:rPr>
        <w:t>45,000 prepayment in October, and $</w:t>
      </w:r>
      <w:bookmarkStart w:id="387" w:name="xdx_90F_eus-gaap--ExtinguishmentOfDebtAm"/>
      <w:bookmarkEnd w:id="387"/>
      <w:r>
        <w:rPr>
          <w:rFonts w:ascii="Times New Roman;Times;Serif" w:hAnsi="Times New Roman;Times;Serif"/>
          <w:b w:val="false"/>
          <w:i w:val="false"/>
          <w:caps w:val="false"/>
          <w:smallCaps w:val="false"/>
          <w:sz w:val="20"/>
        </w:rPr>
        <w:t xml:space="preserve">5,000 debt cancellation. Lastly, as part of the restructuring, on November 4, 2025, the Company and the lenders entered into an exchange agreement (the “Exchange Agreement”) pursuant to which the Company issued </w:t>
      </w:r>
      <w:bookmarkStart w:id="388" w:name="xdx_90C_eus-gaap--DebtConversionConverte"/>
      <w:bookmarkEnd w:id="388"/>
      <w:r>
        <w:rPr>
          <w:rFonts w:ascii="Times New Roman;Times;Serif" w:hAnsi="Times New Roman;Times;Serif"/>
          <w:b w:val="false"/>
          <w:i w:val="false"/>
          <w:caps w:val="false"/>
          <w:smallCaps w:val="false"/>
          <w:sz w:val="20"/>
        </w:rPr>
        <w:t>25,000 shares of Series B Preferred Stock in exchange for $</w:t>
      </w:r>
      <w:bookmarkStart w:id="389" w:name="xdx_90D_eus-gaap--DebtConversionOriginal"/>
      <w:bookmarkEnd w:id="389"/>
      <w:r>
        <w:rPr>
          <w:rFonts w:ascii="Times New Roman;Times;Serif" w:hAnsi="Times New Roman;Times;Serif"/>
          <w:b w:val="false"/>
          <w:i w:val="false"/>
          <w:caps w:val="false"/>
          <w:smallCaps w:val="false"/>
          <w:sz w:val="20"/>
        </w:rPr>
        <w:t xml:space="preserve">25,000 outstanding principal amount of the Term Loan. Please see </w:t>
      </w:r>
      <w:r>
        <w:rPr>
          <w:rFonts w:ascii="Times New Roman;Times;Serif" w:hAnsi="Times New Roman;Times;Serif"/>
          <w:b/>
          <w:i w:val="false"/>
          <w:caps w:val="false"/>
          <w:smallCaps w:val="false"/>
          <w:sz w:val="20"/>
        </w:rPr>
        <w:t>Note 6 &amp; 10</w:t>
      </w:r>
      <w:r>
        <w:rPr>
          <w:rFonts w:ascii="Times New Roman;Times;Serif" w:hAnsi="Times New Roman;Times;Serif"/>
          <w:b w:val="false"/>
          <w:i w:val="false"/>
          <w:caps w:val="false"/>
          <w:smallCaps w:val="false"/>
          <w:sz w:val="20"/>
        </w:rPr>
        <w:t xml:space="preserve"> for more information regarding the offerings, term loan amendment, and exchange agreement that occurred in October and November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year end, on January 30, 2026, the Company entered into an Equity Distribution Agreement with Canaccord Genuity LLC, as lead agent and representative of the other sales agents, establishing an at-the-market equity offering program under which the Company may, at its discretion, offer and sell from time to time up to $50 million of its common stock. While the Company is not obligated to issue any shares under the agreement and retains full control over the timing, amount, pricing, and terms of any sales effected through the lead agent, this agreement provides the Company with a flexible, readily accessible source of capital to support its liquidity needs, subject to customary closing conditions, a 3% sales commission and reimbursement of specified expenses payable to the agents, and standard indemnification and contribution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presented above, strategic initiatives were executed in 2025 and early 2026 in order to alleviate the substantial doubt regarding the Company’s ability to continue as a going concern. These initiatives include multiple capital raises totaling a net cash increase of $</w:t>
      </w:r>
      <w:bookmarkStart w:id="390" w:name="xdx_90F_eus-gaap--ProceedsFromContribute"/>
      <w:bookmarkEnd w:id="390"/>
      <w:r>
        <w:rPr>
          <w:rFonts w:ascii="Times New Roman;Times;Serif" w:hAnsi="Times New Roman;Times;Serif"/>
          <w:b w:val="false"/>
          <w:i w:val="false"/>
          <w:caps w:val="false"/>
          <w:smallCaps w:val="false"/>
          <w:sz w:val="20"/>
        </w:rPr>
        <w:t>90,930 and Term Loan restructuring to reduce principal and interest owed, including a significant principal paydown, partial debt cancellation, and partial principal conversion into preferred shares, along with the at-the-market equity offering program entered into January 2026. With these strong initiatives, along with continued revenue generation anticipated in the next twelve months and the Company’s ability to maintain covenant compliance with a monthly liquidity minimum of $</w:t>
      </w:r>
      <w:bookmarkStart w:id="391" w:name="xdx_908_eus-gaap--Cash_iI_pn3n3_c2025123"/>
      <w:bookmarkEnd w:id="391"/>
      <w:r>
        <w:rPr>
          <w:rFonts w:ascii="Times New Roman;Times;Serif" w:hAnsi="Times New Roman;Times;Serif"/>
          <w:b w:val="false"/>
          <w:i w:val="false"/>
          <w:caps w:val="false"/>
          <w:smallCaps w:val="false"/>
          <w:sz w:val="20"/>
        </w:rPr>
        <w:t>5,000, management has concluded that the substantial doubt regarding the Company’s ability to continue as a going concern has been mitigated.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92" w:name="xdx_862_zgnz2iXQvG"/>
      <w:bookmarkStart w:id="393" w:name="xdx_843_eus-gaap--CashAndCashEquivalents"/>
      <w:bookmarkEnd w:id="392"/>
      <w:bookmarkEnd w:id="393"/>
      <w:r>
        <w:rPr>
          <w:rFonts w:ascii="Times New Roman;Times;Serif" w:hAnsi="Times New Roman;Times;Serif"/>
          <w:b w:val="false"/>
          <w:i/>
          <w:caps w:val="false"/>
          <w:smallCaps w:val="false"/>
          <w:sz w:val="20"/>
          <w:u w:val="single"/>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considers all short-term debt securities purchased with a maturity of three months or less to be cash equivalents. As of December 31, 2025 and 2024, the Company held </w:t>
      </w:r>
      <w:bookmarkStart w:id="394" w:name="xdx_901_eus-gaap--RestrictedCash_iI_do_c"/>
      <w:bookmarkStart w:id="395" w:name="xdx_902_eus-gaap--RestrictedCash_iI_do_c"/>
      <w:bookmarkEnd w:id="394"/>
      <w:bookmarkEnd w:id="395"/>
      <w:r>
        <w:rPr>
          <w:rFonts w:ascii="Times New Roman;Times;Serif" w:hAnsi="Times New Roman;Times;Serif"/>
          <w:b w:val="false"/>
          <w:i w:val="false"/>
          <w:caps w:val="false"/>
          <w:smallCaps w:val="false"/>
          <w:sz w:val="20"/>
        </w:rPr>
        <w:t>no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has amounts on deposit with financial institutions that exceed federally insured limits. The Company has not experienced any significant losses in such accounts.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96" w:name="xdx_864_zQMwNsXooKvd"/>
      <w:bookmarkStart w:id="397" w:name="xdx_842_eus-gaap--TradeAndOtherAccountsR"/>
      <w:bookmarkEnd w:id="396"/>
      <w:bookmarkEnd w:id="397"/>
      <w:r>
        <w:rPr>
          <w:rFonts w:ascii="Times New Roman;Times;Serif" w:hAnsi="Times New Roman;Times;Serif"/>
          <w:b w:val="false"/>
          <w:i/>
          <w:caps w:val="false"/>
          <w:smallCaps w:val="false"/>
          <w:sz w:val="20"/>
          <w:u w:val="single"/>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trade receivables are recorded when billed and represent claims against third parties that will be settled in cash. Generally, payment is due from customers within 30-90 days of the invoice date and the contracts do not have significant financing components. Trade accounts receivables are recorded gross and are net of any applicable allowance. The allowance for credit losses as of December 31, 2025 and 2024 were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98" w:name="xdx_862_zNyhIRwAKMK7"/>
      <w:bookmarkStart w:id="399" w:name="xdx_849_eus-gaap--InventoryPolicyTextBlo"/>
      <w:bookmarkEnd w:id="398"/>
      <w:bookmarkEnd w:id="399"/>
      <w:r>
        <w:rPr>
          <w:rFonts w:ascii="Times New Roman;Times;Serif" w:hAnsi="Times New Roman;Times;Serif"/>
          <w:b w:val="false"/>
          <w:i/>
          <w:caps w:val="false"/>
          <w:smallCaps w:val="false"/>
          <w:sz w:val="20"/>
          <w:u w:val="single"/>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Inventories </w:t>
      </w:r>
      <w:r>
        <w:rPr>
          <w:rFonts w:ascii="Times New Roman;Times;Serif" w:hAnsi="Times New Roman;Times;Serif"/>
          <w:b/>
          <w:i w:val="false"/>
          <w:caps w:val="false"/>
          <w:smallCaps w:val="false"/>
          <w:sz w:val="20"/>
        </w:rPr>
        <w:t>(Note 4),</w:t>
      </w:r>
      <w:r>
        <w:rPr>
          <w:rFonts w:ascii="Times New Roman;Times;Serif" w:hAnsi="Times New Roman;Times;Serif"/>
          <w:b w:val="false"/>
          <w:i w:val="false"/>
          <w:caps w:val="false"/>
          <w:smallCaps w:val="false"/>
          <w:sz w:val="20"/>
        </w:rPr>
        <w:t xml:space="preserve"> which consist of raw materials and finished goods, are stated at the lower of cost (first in, first out) or net realizable value, net of reserves for obsolete inventory. The Company continually analyzes its slow moving and excess inventories. Based on historical and projected sales volumes and anticipated selling prices, the Company established reserves. Inventory that is in excess of current and projected use is reduced by an allowance to a level that approximates its estimate of future demand. Products that are determined to be obsolete are written down to net realizable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00" w:name="xdx_863_zADSGjD5rG27"/>
      <w:bookmarkStart w:id="401" w:name="xdx_841_ecustom--AssetsHeldForSalePolicy"/>
      <w:bookmarkEnd w:id="400"/>
      <w:bookmarkEnd w:id="401"/>
      <w:r>
        <w:rPr>
          <w:rFonts w:ascii="Times New Roman;Times;Serif" w:hAnsi="Times New Roman;Times;Serif"/>
          <w:b w:val="false"/>
          <w:i/>
          <w:caps w:val="false"/>
          <w:smallCaps w:val="false"/>
          <w:sz w:val="20"/>
          <w:u w:val="single"/>
        </w:rPr>
        <w:t>Assets Held for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held for sale are valued at the lower of the carrying amount or the net realizable value estimated at December 31, 2025. Impairment to carrying amounts are recognized to non-operating expenses. The Assets held for sale, or the disposal group, consists of two research and development pieces of equipment that were not in use yet. Due to the nature of the disposal group being long-lived assets, the disposal group qualifies for the held for sale classification, as defined in ASC 360. Due to the Company shifting its focus from research and development efforts to product development, these assets would be put into service at an undeterminable time in the future and therefore, a search for a potential buyer was conducted. The sale was expected to be completed in the second quarter, but unforeseen circumstances forced the buyer to back out. Due to not being able to locate another buyer, the assets held for sale were reclassified as Property and Equipment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02" w:name="xdx_861_zL29DIEGkX41"/>
      <w:bookmarkStart w:id="403" w:name="xdx_849_eus-gaap--PropertyPlantAndEquipm"/>
      <w:bookmarkEnd w:id="402"/>
      <w:bookmarkEnd w:id="403"/>
      <w:r>
        <w:rPr>
          <w:rFonts w:ascii="Times New Roman;Times;Serif" w:hAnsi="Times New Roman;Times;Serif"/>
          <w:b w:val="false"/>
          <w:i/>
          <w:caps w:val="false"/>
          <w:smallCaps w:val="false"/>
          <w:sz w:val="20"/>
          <w:u w:val="single"/>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including the cost of significant improvements and renovations. Cost includes the purchase price and any costs directly attributable to bringing the asset to the location and condition necessary for it to be capable of operating as intended, which may include internal labor and related benefits of employees directly involved in the design, construction and installation of property and equipment, as well as applicable allocated overhead. Costs of routine repairs and maintenance are charged to expense as incurred. Depreciation and amortization are calculated by the straight-line method over the estimated useful lives for owned property or, for leasehold improvements, over the shorter of the asset’s useful life or the term of the lease. Depreciation expense for the years ended December 31, 2025 and 2024 was $</w:t>
      </w:r>
      <w:bookmarkStart w:id="404" w:name="xdx_900_eus-gaap--Depreciation_pn3n3_c20"/>
      <w:bookmarkEnd w:id="404"/>
      <w:r>
        <w:rPr>
          <w:rFonts w:ascii="Times New Roman;Times;Serif" w:hAnsi="Times New Roman;Times;Serif"/>
          <w:b w:val="false"/>
          <w:i w:val="false"/>
          <w:caps w:val="false"/>
          <w:smallCaps w:val="false"/>
          <w:sz w:val="20"/>
        </w:rPr>
        <w:t>2,236 and $</w:t>
      </w:r>
      <w:bookmarkStart w:id="405" w:name="xdx_909_eus-gaap--Depreciation_pn3n3_c20"/>
      <w:bookmarkEnd w:id="405"/>
      <w:r>
        <w:rPr>
          <w:rFonts w:ascii="Times New Roman;Times;Serif" w:hAnsi="Times New Roman;Times;Serif"/>
          <w:b w:val="false"/>
          <w:i w:val="false"/>
          <w:caps w:val="false"/>
          <w:smallCaps w:val="false"/>
          <w:sz w:val="20"/>
        </w:rPr>
        <w:t>1,372,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began capitalizing certain internal engineering labor costs directly attributable to the construction of property and equipment; the impact of this change on the Company’s financial statements was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6" w:name="xdx_89D_eus-gaap--PropertyPlantAndEquipm"/>
      <w:bookmarkEnd w:id="406"/>
      <w:r>
        <w:rPr>
          <w:rFonts w:ascii="Times New Roman;Times;Serif" w:hAnsi="Times New Roman;Times;Serif"/>
          <w:b w:val="false"/>
          <w:i w:val="false"/>
          <w:caps w:val="false"/>
          <w:smallCaps w:val="false"/>
          <w:sz w:val="20"/>
        </w:rPr>
        <w:t>The various classes of property and equipment and estimated useful lives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7" w:name="xdx_8B8_ztLzYYdNTuV7"/>
      <w:bookmarkEnd w:id="407"/>
      <w:r>
        <w:rPr>
          <w:rFonts w:ascii="Times New Roman;Times;Serif" w:hAnsi="Times New Roman;Times;Serif"/>
          <w:b w:val="false"/>
          <w:i w:val="false"/>
          <w:caps w:val="false"/>
          <w:smallCaps w:val="false"/>
          <w:sz w:val="20"/>
        </w:rPr>
        <w:t>SCHEDULE OF VARIOUS CLASSES OF PROPERTY AND EQUIPMENT AND ESTIMATED USEFUL LIVES</w:t>
      </w:r>
    </w:p>
    <w:tbl>
      <w:tblPr>
        <w:tblW w:w="6655" w:type="dxa"/>
        <w:jc w:val="left"/>
        <w:tblInd w:w="0" w:type="dxa"/>
        <w:tblLayout w:type="fixed"/>
        <w:tblCellMar>
          <w:top w:w="0" w:type="dxa"/>
          <w:left w:w="0" w:type="dxa"/>
          <w:bottom w:w="0" w:type="dxa"/>
          <w:right w:w="0" w:type="dxa"/>
        </w:tblCellMar>
      </w:tblPr>
      <w:tblGrid>
        <w:gridCol w:w="2540"/>
        <w:gridCol w:w="4115"/>
      </w:tblGrid>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furniture and equipment</w:t>
            </w:r>
          </w:p>
        </w:tc>
        <w:tc>
          <w:tcPr>
            <w:tcW w:w="41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08" w:name="xdx_904_eus-gaap--PropertyPlantAndEquipm"/>
            <w:bookmarkEnd w:id="408"/>
            <w:r>
              <w:rPr>
                <w:rFonts w:ascii="Times New Roman;Times;Serif" w:hAnsi="Times New Roman;Times;Serif"/>
                <w:b w:val="false"/>
                <w:i w:val="false"/>
                <w:caps w:val="false"/>
                <w:smallCaps w:val="false"/>
                <w:sz w:val="20"/>
              </w:rPr>
              <w:t xml:space="preserve">3 to </w:t>
            </w:r>
            <w:bookmarkStart w:id="409" w:name="xdx_90A_eus-gaap--PropertyPlantAndEquipm"/>
            <w:bookmarkEnd w:id="409"/>
            <w:r>
              <w:rPr>
                <w:rFonts w:ascii="Times New Roman;Times;Serif" w:hAnsi="Times New Roman;Times;Serif"/>
                <w:b w:val="false"/>
                <w:i w:val="false"/>
                <w:caps w:val="false"/>
                <w:smallCaps w:val="false"/>
                <w:sz w:val="20"/>
              </w:rPr>
              <w:t>7 years</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Vehicles</w:t>
            </w:r>
          </w:p>
        </w:tc>
        <w:tc>
          <w:tcPr>
            <w:tcW w:w="41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10" w:name="xdx_903_eus-gaap--PropertyPlantAndEquipm"/>
            <w:bookmarkEnd w:id="410"/>
            <w:r>
              <w:rPr>
                <w:rFonts w:ascii="Times New Roman;Times;Serif" w:hAnsi="Times New Roman;Times;Serif"/>
                <w:b w:val="false"/>
                <w:i w:val="false"/>
                <w:caps w:val="false"/>
                <w:smallCaps w:val="false"/>
                <w:sz w:val="20"/>
              </w:rPr>
              <w:t>5 years</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41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11" w:name="xdx_901_eus-gaap--PropertyPlantAndEquipm"/>
            <w:bookmarkEnd w:id="411"/>
            <w:r>
              <w:rPr>
                <w:rFonts w:ascii="Times New Roman;Times;Serif" w:hAnsi="Times New Roman;Times;Serif"/>
                <w:b w:val="false"/>
                <w:i w:val="false"/>
                <w:caps w:val="false"/>
                <w:smallCaps w:val="false"/>
                <w:sz w:val="20"/>
              </w:rPr>
              <w:t xml:space="preserve">3 to </w:t>
            </w:r>
            <w:bookmarkStart w:id="412" w:name="xdx_903_eus-gaap--PropertyPlantAndEquipm"/>
            <w:bookmarkEnd w:id="412"/>
            <w:r>
              <w:rPr>
                <w:rFonts w:ascii="Times New Roman;Times;Serif" w:hAnsi="Times New Roman;Times;Serif"/>
                <w:b w:val="false"/>
                <w:i w:val="false"/>
                <w:caps w:val="false"/>
                <w:smallCaps w:val="false"/>
                <w:sz w:val="20"/>
              </w:rPr>
              <w:t>7 years</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41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13" w:name="xdx_905_eus-gaap--PropertyPlantAndEquipm"/>
            <w:bookmarkEnd w:id="413"/>
            <w:r>
              <w:rPr>
                <w:rFonts w:ascii="Times New Roman;Times;Serif" w:hAnsi="Times New Roman;Times;Serif"/>
                <w:b w:val="false"/>
                <w:i w:val="false"/>
                <w:caps w:val="false"/>
                <w:smallCaps w:val="false"/>
                <w:sz w:val="20"/>
              </w:rPr>
              <w:t>Shorter of Useful Life of Remaining Term of Lease</w:t>
            </w:r>
          </w:p>
        </w:tc>
      </w:tr>
    </w:tbl>
    <w:p>
      <w:pPr>
        <w:pStyle w:val="TextBody"/>
        <w:bidi w:val="0"/>
        <w:spacing w:before="0" w:after="0"/>
        <w:ind w:left="0" w:right="0" w:hanging="0"/>
        <w:jc w:val="left"/>
        <w:rPr>
          <w:caps w:val="false"/>
          <w:smallCaps w:val="false"/>
        </w:rPr>
      </w:pPr>
      <w:bookmarkStart w:id="414" w:name="xdx_8A7_zr20P2Fnf9oe"/>
      <w:bookmarkEnd w:id="41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15" w:name="xdx_862_zTQanc1tlq4"/>
      <w:bookmarkStart w:id="416" w:name="xdx_848_eus-gaap--UseOfEstimates_zxsj3sI"/>
      <w:bookmarkEnd w:id="415"/>
      <w:bookmarkEnd w:id="416"/>
      <w:r>
        <w:rPr>
          <w:rFonts w:ascii="Times New Roman;Times;Serif" w:hAnsi="Times New Roman;Times;Serif"/>
          <w:b w:val="false"/>
          <w:i/>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utilizes the use of estimates in its calculations for the reserve for obsolete or slow moving inventory, going concern, right of use asset, warrant liability, equity based compensation, income taxes, leases, right-of-use asset impairment, and license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17" w:name="xdx_868_zcl6BkecHxLk"/>
      <w:bookmarkStart w:id="418" w:name="xdx_84E_eus-gaap--ImpairmentOrDisposalOf"/>
      <w:bookmarkEnd w:id="417"/>
      <w:bookmarkEnd w:id="418"/>
      <w:r>
        <w:rPr>
          <w:rFonts w:ascii="Times New Roman;Times;Serif" w:hAnsi="Times New Roman;Times;Serif"/>
          <w:b w:val="false"/>
          <w:i/>
          <w:caps w:val="false"/>
          <w:smallCaps w:val="false"/>
          <w:sz w:val="20"/>
          <w:u w:val="single"/>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For the years ended December 31, 2025, and December 31, 2024, the Company recorded an impairment of $</w:t>
      </w:r>
      <w:bookmarkStart w:id="419" w:name="xdx_906_eus-gaap--GainLossOnSalesOfAsset"/>
      <w:bookmarkEnd w:id="419"/>
      <w:r>
        <w:rPr>
          <w:rFonts w:ascii="Times New Roman;Times;Serif" w:hAnsi="Times New Roman;Times;Serif"/>
          <w:b w:val="false"/>
          <w:i w:val="false"/>
          <w:caps w:val="false"/>
          <w:smallCaps w:val="false"/>
          <w:sz w:val="20"/>
        </w:rPr>
        <w:t>0 and $</w:t>
      </w:r>
      <w:bookmarkStart w:id="420" w:name="xdx_90F_eus-gaap--GainLossOnSalesOfAsset"/>
      <w:bookmarkEnd w:id="420"/>
      <w:r>
        <w:rPr>
          <w:rFonts w:ascii="Times New Roman;Times;Serif" w:hAnsi="Times New Roman;Times;Serif"/>
          <w:b w:val="false"/>
          <w:i w:val="false"/>
          <w:caps w:val="false"/>
          <w:smallCaps w:val="false"/>
          <w:sz w:val="20"/>
        </w:rPr>
        <w:t>873, respectively, in connection with the Assets Held for Sale on the Consolidated Statement of Operations. For the year ended December 31, 2025 and 2024, the Company recorded an impairment of $</w:t>
      </w:r>
      <w:bookmarkStart w:id="421" w:name="xdx_90A_eus-gaap--OperatingLeaseImpairme"/>
      <w:bookmarkEnd w:id="421"/>
      <w:r>
        <w:rPr>
          <w:rFonts w:ascii="Times New Roman;Times;Serif" w:hAnsi="Times New Roman;Times;Serif"/>
          <w:b w:val="false"/>
          <w:i w:val="false"/>
          <w:caps w:val="false"/>
          <w:smallCaps w:val="false"/>
          <w:sz w:val="20"/>
        </w:rPr>
        <w:t>2,667 and $</w:t>
      </w:r>
      <w:bookmarkStart w:id="422" w:name="xdx_90F_eus-gaap--OperatingLeaseImpairme"/>
      <w:bookmarkEnd w:id="422"/>
      <w:r>
        <w:rPr>
          <w:rFonts w:ascii="Times New Roman;Times;Serif" w:hAnsi="Times New Roman;Times;Serif"/>
          <w:b w:val="false"/>
          <w:i w:val="false"/>
          <w:caps w:val="false"/>
          <w:smallCaps w:val="false"/>
          <w:sz w:val="20"/>
        </w:rPr>
        <w:t>0, respectively, related to its right-of-use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23" w:name="xdx_86C_z7N2CCmQsKM3"/>
      <w:bookmarkStart w:id="424" w:name="xdx_844_ecustom--WarrantsPolicyTextBlock"/>
      <w:bookmarkEnd w:id="423"/>
      <w:bookmarkEnd w:id="424"/>
      <w:r>
        <w:rPr>
          <w:rFonts w:ascii="Times New Roman;Times;Serif" w:hAnsi="Times New Roman;Times;Serif"/>
          <w:b w:val="false"/>
          <w:i/>
          <w:caps w:val="false"/>
          <w:smallCaps w:val="false"/>
          <w:sz w:val="20"/>
          <w:u w:val="single"/>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qualify equity classification are measured at fair value upon issuance and are not subsequently remeasured unless they are required to be reclassified.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25" w:name="xdx_86F_zH01Tok5jFm3"/>
      <w:bookmarkStart w:id="426" w:name="xdx_841_eus-gaap--CommitmentsAndContinge"/>
      <w:bookmarkEnd w:id="425"/>
      <w:bookmarkEnd w:id="426"/>
      <w:r>
        <w:rPr>
          <w:rFonts w:ascii="Times New Roman;Times;Serif" w:hAnsi="Times New Roman;Times;Serif"/>
          <w:b w:val="false"/>
          <w:i/>
          <w:caps w:val="false"/>
          <w:smallCaps w:val="false"/>
          <w:sz w:val="20"/>
          <w:u w:val="single"/>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27" w:name="xdx_86B_zGuiHAOgp5q"/>
      <w:bookmarkStart w:id="428" w:name="xdx_848_eus-gaap--RevenueFromContractWit"/>
      <w:bookmarkEnd w:id="427"/>
      <w:bookmarkEnd w:id="428"/>
      <w:r>
        <w:rPr>
          <w:rFonts w:ascii="Times New Roman;Times;Serif" w:hAnsi="Times New Roman;Times;Serif"/>
          <w:b w:val="false"/>
          <w:i/>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right-to-access license agreements upon the transfer of control to the customer. Upfront fees are deferred and recognized over the estimated period of benefit. Royalties are recognized as revenue when the customer’s underlying sales occur. The transaction price and timing of revenue recognition are adjusted as necessary to reflect changes in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receive payments at the onset of the contract before delivery of goods for customers in the retail channel. Payment terms for distributors and OEMs are typically due within </w:t>
      </w:r>
      <w:bookmarkStart w:id="429" w:name="xdx_90C_ecustom--PaymentTermForDistribut"/>
      <w:bookmarkEnd w:id="429"/>
      <w:r>
        <w:rPr>
          <w:rFonts w:ascii="Times New Roman;Times;Serif" w:hAnsi="Times New Roman;Times;Serif"/>
          <w:b w:val="false"/>
          <w:i w:val="false"/>
          <w:caps w:val="false"/>
          <w:smallCaps w:val="false"/>
          <w:sz w:val="20"/>
        </w:rPr>
        <w:t>30-</w:t>
      </w:r>
      <w:bookmarkStart w:id="430" w:name="xdx_903_ecustom--PaymentTermForDistribut"/>
      <w:bookmarkEnd w:id="430"/>
      <w:r>
        <w:rPr>
          <w:rFonts w:ascii="Times New Roman;Times;Serif" w:hAnsi="Times New Roman;Times;Serif"/>
          <w:b w:val="false"/>
          <w:i w:val="false"/>
          <w:caps w:val="false"/>
          <w:smallCaps w:val="false"/>
          <w:sz w:val="20"/>
        </w:rPr>
        <w:t>90 days after shipment. In such instances, the Company records a customer deposit liability. The Company recognizes these contract liabilities as sales after the revenue criteria are met. As of December 31, 2025 and 2024, the contract liability related to the Company’s customer deposits were approximately $</w:t>
      </w:r>
      <w:bookmarkStart w:id="431" w:name="xdx_902_eus-gaap--ContractWithCustomerLi"/>
      <w:bookmarkEnd w:id="431"/>
      <w:r>
        <w:rPr>
          <w:rFonts w:ascii="Times New Roman;Times;Serif" w:hAnsi="Times New Roman;Times;Serif"/>
          <w:b w:val="false"/>
          <w:i w:val="false"/>
          <w:caps w:val="false"/>
          <w:smallCaps w:val="false"/>
          <w:sz w:val="20"/>
        </w:rPr>
        <w:t>121 and $</w:t>
      </w:r>
      <w:bookmarkStart w:id="432" w:name="xdx_906_eus-gaap--ContractWithCustomerLi"/>
      <w:bookmarkEnd w:id="432"/>
      <w:r>
        <w:rPr>
          <w:rFonts w:ascii="Times New Roman;Times;Serif" w:hAnsi="Times New Roman;Times;Serif"/>
          <w:b w:val="false"/>
          <w:i w:val="false"/>
          <w:caps w:val="false"/>
          <w:smallCaps w:val="false"/>
          <w:sz w:val="20"/>
        </w:rPr>
        <w:t>317, respectively.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recognized $</w:t>
      </w:r>
      <w:bookmarkStart w:id="433" w:name="xdx_902_eus-gaap--ContractWithCustomerLi"/>
      <w:bookmarkEnd w:id="433"/>
      <w:r>
        <w:rPr>
          <w:rFonts w:ascii="Times New Roman;Times;Serif" w:hAnsi="Times New Roman;Times;Serif"/>
          <w:b w:val="false"/>
          <w:i w:val="false"/>
          <w:caps w:val="false"/>
          <w:smallCaps w:val="false"/>
          <w:sz w:val="20"/>
        </w:rPr>
        <w:t>317 of the contract liability that was recorded as of December 31, 2024. In the prior year ended December 31, 2024, the Company recognized $</w:t>
      </w:r>
      <w:bookmarkStart w:id="434" w:name="xdx_900_eus-gaap--ContractWithCustomerLi"/>
      <w:bookmarkEnd w:id="434"/>
      <w:r>
        <w:rPr>
          <w:rFonts w:ascii="Times New Roman;Times;Serif" w:hAnsi="Times New Roman;Times;Serif"/>
          <w:b w:val="false"/>
          <w:i w:val="false"/>
          <w:caps w:val="false"/>
          <w:smallCaps w:val="false"/>
          <w:sz w:val="20"/>
        </w:rPr>
        <w:t>201 of the contract liability that was recorded as a January 1, 2024 beginning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Dragonfly Energy Corp. (“Legacy Dragonfly”), a wholly-owned subsidiary of the Company, and Battle Born Battery Products, LLC (“Battle Born LLC”), a wholly-owned subsidiary of Legacy Dragonfly, entered into a License Agreement (the “License Agreement”) with Stryten Energy LLC (“Stryten”) (</w:t>
      </w:r>
      <w:r>
        <w:rPr>
          <w:rFonts w:ascii="Times New Roman;Times;Serif" w:hAnsi="Times New Roman;Times;Serif"/>
          <w:b/>
          <w:i w:val="false"/>
          <w:caps w:val="false"/>
          <w:smallCaps w:val="false"/>
          <w:sz w:val="20"/>
        </w:rPr>
        <w:t>Note 7</w:t>
      </w:r>
      <w:r>
        <w:rPr>
          <w:rFonts w:ascii="Times New Roman;Times;Serif" w:hAnsi="Times New Roman;Times;Serif"/>
          <w:b w:val="false"/>
          <w:i w:val="false"/>
          <w:caps w:val="false"/>
          <w:smallCaps w:val="false"/>
          <w:sz w:val="20"/>
        </w:rPr>
        <w:t>). The $</w:t>
      </w:r>
      <w:bookmarkStart w:id="435" w:name="xdx_905_ecustom--LicensingFee_pn3n3_c202"/>
      <w:bookmarkEnd w:id="435"/>
      <w:r>
        <w:rPr>
          <w:rFonts w:ascii="Times New Roman;Times;Serif" w:hAnsi="Times New Roman;Times;Serif"/>
          <w:b w:val="false"/>
          <w:i w:val="false"/>
          <w:caps w:val="false"/>
          <w:smallCaps w:val="false"/>
          <w:sz w:val="20"/>
        </w:rPr>
        <w:t xml:space="preserve">5,000 initial licensing fee is being recognized as revenue on a straight-line basis over </w:t>
      </w:r>
      <w:bookmarkStart w:id="436" w:name="xdx_906_eus-gaap--FiniteLivedIntangibleA"/>
      <w:bookmarkEnd w:id="436"/>
      <w:r>
        <w:rPr>
          <w:rFonts w:ascii="Times New Roman;Times;Serif" w:hAnsi="Times New Roman;Times;Serif"/>
          <w:b w:val="false"/>
          <w:i w:val="false"/>
          <w:caps w:val="false"/>
          <w:smallCaps w:val="false"/>
          <w:sz w:val="20"/>
        </w:rPr>
        <w:t>five years. The Company has recorded $</w:t>
      </w:r>
      <w:bookmarkStart w:id="437" w:name="xdx_90F_eus-gaap--RevenueFromContractWit"/>
      <w:bookmarkEnd w:id="437"/>
      <w:r>
        <w:rPr>
          <w:rFonts w:ascii="Times New Roman;Times;Serif" w:hAnsi="Times New Roman;Times;Serif"/>
          <w:b w:val="false"/>
          <w:i w:val="false"/>
          <w:caps w:val="false"/>
          <w:smallCaps w:val="false"/>
          <w:sz w:val="20"/>
        </w:rPr>
        <w:t>1,000 in revenue related to the license agreement for the year ended December 31, 2025. As of December 31, 2025 and 2024, the contract liability related to the Company’s deferred revenue were approximately $</w:t>
      </w:r>
      <w:bookmarkStart w:id="438" w:name="xdx_90E_eus-gaap--DeferredRevenue_iI_pn3"/>
      <w:bookmarkEnd w:id="438"/>
      <w:r>
        <w:rPr>
          <w:rFonts w:ascii="Times New Roman;Times;Serif" w:hAnsi="Times New Roman;Times;Serif"/>
          <w:b w:val="false"/>
          <w:i w:val="false"/>
          <w:caps w:val="false"/>
          <w:smallCaps w:val="false"/>
          <w:sz w:val="20"/>
        </w:rPr>
        <w:t>3,583 and $</w:t>
      </w:r>
      <w:bookmarkStart w:id="439" w:name="xdx_90B_eus-gaap--DeferredRevenue_iI_pn3"/>
      <w:bookmarkEnd w:id="439"/>
      <w:r>
        <w:rPr>
          <w:rFonts w:ascii="Times New Roman;Times;Serif" w:hAnsi="Times New Roman;Times;Serif"/>
          <w:b w:val="false"/>
          <w:i w:val="false"/>
          <w:caps w:val="false"/>
          <w:smallCaps w:val="false"/>
          <w:sz w:val="20"/>
        </w:rPr>
        <w:t>4,583,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40" w:name="xdx_86D_zywEJRGdH2S3"/>
      <w:bookmarkStart w:id="441" w:name="xdx_84F_ecustom--DisaggregationOfRevenue"/>
      <w:bookmarkEnd w:id="440"/>
      <w:bookmarkEnd w:id="441"/>
      <w:r>
        <w:rPr>
          <w:rFonts w:ascii="Times New Roman;Times;Serif" w:hAnsi="Times New Roman;Times;Serif"/>
          <w:b w:val="false"/>
          <w:i/>
          <w:caps w:val="false"/>
          <w:smallCaps w:val="false"/>
          <w:sz w:val="20"/>
          <w:u w:val="single"/>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2" w:name="xdx_890_eus-gaap--DisaggregationOfRevenu"/>
      <w:bookmarkEnd w:id="442"/>
      <w:r>
        <w:rPr>
          <w:rFonts w:ascii="Times New Roman;Times;Serif" w:hAnsi="Times New Roman;Times;Serif"/>
          <w:b w:val="false"/>
          <w:i w:val="false"/>
          <w:caps w:val="false"/>
          <w:smallCaps w:val="false"/>
          <w:sz w:val="20"/>
        </w:rPr>
        <w:t>The following table present our disaggregated revenues by distribution channel: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3" w:name="xdx_8BA_zvcUNMPJM5Ne"/>
      <w:bookmarkEnd w:id="443"/>
      <w:r>
        <w:rPr>
          <w:rFonts w:ascii="Times New Roman;Times;Serif" w:hAnsi="Times New Roman;Times;Serif"/>
          <w:b w:val="false"/>
          <w:i w:val="false"/>
          <w:caps w:val="false"/>
          <w:smallCaps w:val="false"/>
          <w:sz w:val="20"/>
        </w:rPr>
        <w:t>SCHEDULE OF DISAGGREGATED REVENUES BY DISTRIBUTION CHANNEL</w:t>
      </w:r>
    </w:p>
    <w:tbl>
      <w:tblPr>
        <w:tblW w:w="4990" w:type="dxa"/>
        <w:jc w:val="left"/>
        <w:tblInd w:w="0" w:type="dxa"/>
        <w:tblLayout w:type="fixed"/>
        <w:tblCellMar>
          <w:top w:w="0" w:type="dxa"/>
          <w:left w:w="0" w:type="dxa"/>
          <w:bottom w:w="0" w:type="dxa"/>
          <w:right w:w="0" w:type="dxa"/>
        </w:tblCellMar>
      </w:tblPr>
      <w:tblGrid>
        <w:gridCol w:w="3095"/>
        <w:gridCol w:w="60"/>
        <w:gridCol w:w="140"/>
        <w:gridCol w:w="680"/>
        <w:gridCol w:w="60"/>
        <w:gridCol w:w="60"/>
        <w:gridCol w:w="140"/>
        <w:gridCol w:w="680"/>
        <w:gridCol w:w="75"/>
      </w:tblGrid>
      <w:tr>
        <w:trPr/>
        <w:tc>
          <w:tcPr>
            <w:tcW w:w="3095" w:type="dxa"/>
            <w:tcBorders/>
            <w:vAlign w:val="center"/>
          </w:tcPr>
          <w:p>
            <w:pPr>
              <w:pStyle w:val="TableContents"/>
              <w:bidi w:val="0"/>
              <w:spacing w:before="0" w:after="283"/>
              <w:jc w:val="left"/>
              <w:rPr/>
            </w:pPr>
            <w:r>
              <w:rPr/>
              <w:t>Sales</w:t>
            </w:r>
          </w:p>
        </w:tc>
        <w:tc>
          <w:tcPr>
            <w:tcW w:w="60" w:type="dxa"/>
            <w:tcBorders/>
            <w:vAlign w:val="center"/>
          </w:tcPr>
          <w:p>
            <w:pPr>
              <w:pStyle w:val="TableContents"/>
              <w:bidi w:val="0"/>
              <w:spacing w:before="0" w:after="283"/>
              <w:jc w:val="left"/>
              <w:rPr/>
            </w:pPr>
            <w:r>
              <w:rPr/>
              <w:t> </w:t>
            </w:r>
            <w:bookmarkStart w:id="444" w:name="xdx_49B_20250101__20251231_z1GDmcKXguwh"/>
            <w:bookmarkEnd w:id="444"/>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5" w:name="xdx_49F_20240101__20241231_z3XwdgeN0YId"/>
            <w:bookmarkEnd w:id="445"/>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8" w:space="0" w:color="000000"/>
            </w:tcBorders>
            <w:tcMar>
              <w:bottom w:w="28" w:type="dxa"/>
            </w:tcMar>
            <w:vAlign w:val="center"/>
          </w:tcPr>
          <w:p>
            <w:pPr>
              <w:pStyle w:val="TableContents"/>
              <w:bidi w:val="0"/>
              <w:spacing w:before="0" w:after="283"/>
              <w:jc w:val="center"/>
              <w:rPr/>
            </w:pPr>
            <w:r>
              <w:rPr/>
              <w:t>December 31,</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Sales</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bookmarkStart w:id="446" w:name="xdx_400_eus-gaap--RevenueFromContractWit"/>
            <w:bookmarkEnd w:id="446"/>
          </w:p>
        </w:tc>
      </w:tr>
      <w:tr>
        <w:trPr/>
        <w:tc>
          <w:tcPr>
            <w:tcW w:w="3095" w:type="dxa"/>
            <w:tcBorders/>
            <w:shd w:fill="CCEEFF" w:val="clear"/>
            <w:vAlign w:val="center"/>
          </w:tcPr>
          <w:p>
            <w:pPr>
              <w:pStyle w:val="TableContents"/>
              <w:bidi w:val="0"/>
              <w:spacing w:before="0" w:after="283"/>
              <w:jc w:val="left"/>
              <w:rPr/>
            </w:pPr>
            <w:r>
              <w:rPr/>
              <w:t>Direct to customer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22,616</w:t>
            </w:r>
          </w:p>
        </w:tc>
        <w:tc>
          <w:tcPr>
            <w:tcW w:w="75" w:type="dxa"/>
            <w:tcBorders/>
            <w:shd w:fill="CCEEFF" w:val="clear"/>
            <w:vAlign w:val="center"/>
          </w:tcPr>
          <w:p>
            <w:pPr>
              <w:pStyle w:val="TableContents"/>
              <w:bidi w:val="0"/>
              <w:spacing w:before="0" w:after="283"/>
              <w:jc w:val="left"/>
              <w:rPr/>
            </w:pPr>
            <w:r>
              <w:rPr/>
              <w:t> </w:t>
            </w:r>
            <w:bookmarkStart w:id="447" w:name="xdx_405_eus-gaap--RevenueFromContractWit"/>
            <w:bookmarkEnd w:id="447"/>
          </w:p>
        </w:tc>
      </w:tr>
      <w:tr>
        <w:trPr/>
        <w:tc>
          <w:tcPr>
            <w:tcW w:w="3095" w:type="dxa"/>
            <w:tcBorders/>
            <w:shd w:fill="FFFFFF" w:val="clear"/>
            <w:vAlign w:val="center"/>
          </w:tcPr>
          <w:p>
            <w:pPr>
              <w:pStyle w:val="TableContents"/>
              <w:bidi w:val="0"/>
              <w:spacing w:before="0" w:after="283"/>
              <w:jc w:val="left"/>
              <w:rPr/>
            </w:pPr>
            <w:r>
              <w:rPr/>
              <w:t>Original equipment manufacture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36,934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27,612</w:t>
            </w:r>
          </w:p>
        </w:tc>
        <w:tc>
          <w:tcPr>
            <w:tcW w:w="75" w:type="dxa"/>
            <w:tcBorders/>
            <w:shd w:fill="FFFFFF" w:val="clear"/>
            <w:vAlign w:val="center"/>
          </w:tcPr>
          <w:p>
            <w:pPr>
              <w:pStyle w:val="TableContents"/>
              <w:bidi w:val="0"/>
              <w:spacing w:before="0" w:after="283"/>
              <w:jc w:val="left"/>
              <w:rPr/>
            </w:pPr>
            <w:r>
              <w:rPr/>
              <w:t> </w:t>
            </w:r>
            <w:bookmarkStart w:id="448" w:name="xdx_407_eus-gaap--RevenueFromContractWit"/>
            <w:bookmarkEnd w:id="448"/>
          </w:p>
        </w:tc>
      </w:tr>
      <w:tr>
        <w:trPr/>
        <w:tc>
          <w:tcPr>
            <w:tcW w:w="3095" w:type="dxa"/>
            <w:tcBorders/>
            <w:shd w:fill="CCEEFF" w:val="clear"/>
            <w:vAlign w:val="center"/>
          </w:tcPr>
          <w:p>
            <w:pPr>
              <w:pStyle w:val="TableContents"/>
              <w:bidi w:val="0"/>
              <w:spacing w:before="0" w:after="283"/>
              <w:jc w:val="left"/>
              <w:rPr/>
            </w:pPr>
            <w:r>
              <w:rPr/>
              <w:t>License fee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417</w:t>
            </w:r>
          </w:p>
        </w:tc>
        <w:tc>
          <w:tcPr>
            <w:tcW w:w="75" w:type="dxa"/>
            <w:tcBorders/>
            <w:shd w:fill="CCEEFF" w:val="clear"/>
            <w:vAlign w:val="center"/>
          </w:tcPr>
          <w:p>
            <w:pPr>
              <w:pStyle w:val="TableContents"/>
              <w:bidi w:val="0"/>
              <w:spacing w:before="0" w:after="283"/>
              <w:jc w:val="left"/>
              <w:rPr/>
            </w:pPr>
            <w:r>
              <w:rPr/>
              <w:t> </w:t>
            </w:r>
            <w:bookmarkStart w:id="449" w:name="xdx_402_eus-gaap--RevenueFromContractWit"/>
            <w:bookmarkEnd w:id="449"/>
          </w:p>
        </w:tc>
      </w:tr>
      <w:tr>
        <w:trPr/>
        <w:tc>
          <w:tcPr>
            <w:tcW w:w="309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58,630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50,645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0" w:name="xdx_8A9_zz3ehlClvB3e"/>
      <w:bookmarkEnd w:id="450"/>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51" w:name="xdx_86F_zdG3sbW24jQe"/>
      <w:bookmarkStart w:id="452" w:name="xdx_84A_ecustom--ShippingAndHandlingCost"/>
      <w:bookmarkEnd w:id="451"/>
      <w:bookmarkEnd w:id="452"/>
      <w:r>
        <w:rPr>
          <w:rFonts w:ascii="Times New Roman;Times;Serif" w:hAnsi="Times New Roman;Times;Serif"/>
          <w:b w:val="false"/>
          <w:i/>
          <w:caps w:val="false"/>
          <w:smallCaps w:val="false"/>
          <w:sz w:val="20"/>
          <w:u w:val="single"/>
        </w:rPr>
        <w:t>Shipping and Handling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w:t>
      </w:r>
      <w:bookmarkStart w:id="453" w:name="xdx_90F_ecustom--ShippingAndHandlingCost"/>
      <w:bookmarkEnd w:id="453"/>
      <w:r>
        <w:rPr>
          <w:rFonts w:ascii="Times New Roman;Times;Serif" w:hAnsi="Times New Roman;Times;Serif"/>
          <w:b w:val="false"/>
          <w:i w:val="false"/>
          <w:caps w:val="false"/>
          <w:smallCaps w:val="false"/>
          <w:sz w:val="20"/>
        </w:rPr>
        <w:t>2,766 and $</w:t>
      </w:r>
      <w:bookmarkStart w:id="454" w:name="xdx_909_ecustom--ShippingAndHandlingCost"/>
      <w:bookmarkEnd w:id="454"/>
      <w:r>
        <w:rPr>
          <w:rFonts w:ascii="Times New Roman;Times;Serif" w:hAnsi="Times New Roman;Times;Serif"/>
          <w:b w:val="false"/>
          <w:i w:val="false"/>
          <w:caps w:val="false"/>
          <w:smallCaps w:val="false"/>
          <w:sz w:val="20"/>
        </w:rPr>
        <w:t>2,530 for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55" w:name="xdx_869_zZfzLSXa1bib"/>
      <w:bookmarkStart w:id="456" w:name="xdx_846_eus-gaap--StandardProductWarrant"/>
      <w:bookmarkEnd w:id="455"/>
      <w:bookmarkEnd w:id="456"/>
      <w:r>
        <w:rPr>
          <w:rFonts w:ascii="Times New Roman;Times;Serif" w:hAnsi="Times New Roman;Times;Serif"/>
          <w:b w:val="false"/>
          <w:i/>
          <w:caps w:val="false"/>
          <w:smallCaps w:val="false"/>
          <w:sz w:val="20"/>
          <w:u w:val="single"/>
        </w:rPr>
        <w:t>Product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offers assurance type warranties from </w:t>
      </w:r>
      <w:bookmarkStart w:id="457" w:name="xdx_90A_ecustom--ProductWarrantyTermProv"/>
      <w:bookmarkEnd w:id="457"/>
      <w:r>
        <w:rPr>
          <w:rFonts w:ascii="Times New Roman;Times;Serif" w:hAnsi="Times New Roman;Times;Serif"/>
          <w:b w:val="false"/>
          <w:i w:val="false"/>
          <w:caps w:val="false"/>
          <w:smallCaps w:val="false"/>
          <w:sz w:val="20"/>
        </w:rPr>
        <w:t xml:space="preserve">5 to </w:t>
      </w:r>
      <w:bookmarkStart w:id="458" w:name="xdx_908_ecustom--ProductWarrantyTermProv"/>
      <w:bookmarkEnd w:id="458"/>
      <w:r>
        <w:rPr>
          <w:rFonts w:ascii="Times New Roman;Times;Serif" w:hAnsi="Times New Roman;Times;Serif"/>
          <w:b w:val="false"/>
          <w:i w:val="false"/>
          <w:caps w:val="false"/>
          <w:smallCaps w:val="false"/>
          <w:sz w:val="20"/>
        </w:rPr>
        <w:t>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its warranties and record a liability in the amount of such estimate at the time a product is sold. Factors that affect our warranty liability include the number of units sold, historical and anticipated rates of warranty claims, and cost per claim. The Company periodically assesses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at December 31, 2025 and 2024 to be $</w:t>
      </w:r>
      <w:bookmarkStart w:id="459" w:name="xdx_900_eus-gaap--ProductWarrantyAccrual"/>
      <w:bookmarkEnd w:id="459"/>
      <w:r>
        <w:rPr>
          <w:rFonts w:ascii="Times New Roman;Times;Serif" w:hAnsi="Times New Roman;Times;Serif"/>
          <w:b w:val="false"/>
          <w:i w:val="false"/>
          <w:caps w:val="false"/>
          <w:smallCaps w:val="false"/>
          <w:sz w:val="20"/>
        </w:rPr>
        <w:t>867 and $</w:t>
      </w:r>
      <w:bookmarkStart w:id="460" w:name="xdx_905_eus-gaap--ProductWarrantyAccrual"/>
      <w:bookmarkEnd w:id="460"/>
      <w:r>
        <w:rPr>
          <w:rFonts w:ascii="Times New Roman;Times;Serif" w:hAnsi="Times New Roman;Times;Serif"/>
          <w:b w:val="false"/>
          <w:i w:val="false"/>
          <w:caps w:val="false"/>
          <w:smallCaps w:val="false"/>
          <w:sz w:val="20"/>
        </w:rPr>
        <w:t>514,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1" w:name="xdx_8BB_zqAQG6JJ5NDb"/>
      <w:bookmarkStart w:id="462" w:name="xdx_895_eus-gaap--ScheduleOfProductWarra"/>
      <w:bookmarkEnd w:id="461"/>
      <w:bookmarkEnd w:id="462"/>
      <w:r>
        <w:rPr>
          <w:rFonts w:ascii="Times New Roman;Times;Serif" w:hAnsi="Times New Roman;Times;Serif"/>
          <w:b w:val="false"/>
          <w:i w:val="false"/>
          <w:caps w:val="false"/>
          <w:smallCaps w:val="false"/>
          <w:sz w:val="20"/>
        </w:rPr>
        <w:t>SCHEDULE OF WARRANTY OBLIGATION</w:t>
      </w:r>
    </w:p>
    <w:tbl>
      <w:tblPr>
        <w:tblW w:w="4453" w:type="dxa"/>
        <w:jc w:val="left"/>
        <w:tblInd w:w="0" w:type="dxa"/>
        <w:tblLayout w:type="fixed"/>
        <w:tblCellMar>
          <w:top w:w="0" w:type="dxa"/>
          <w:left w:w="0" w:type="dxa"/>
          <w:bottom w:w="0" w:type="dxa"/>
          <w:right w:w="0" w:type="dxa"/>
        </w:tblCellMar>
      </w:tblPr>
      <w:tblGrid>
        <w:gridCol w:w="2930"/>
        <w:gridCol w:w="60"/>
        <w:gridCol w:w="141"/>
        <w:gridCol w:w="458"/>
        <w:gridCol w:w="95"/>
        <w:gridCol w:w="60"/>
        <w:gridCol w:w="141"/>
        <w:gridCol w:w="458"/>
        <w:gridCol w:w="110"/>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3" w:name="xdx_493_20250101__20251231_zwDH8jyWHyv6"/>
            <w:bookmarkEnd w:id="463"/>
          </w:p>
        </w:tc>
        <w:tc>
          <w:tcPr>
            <w:tcW w:w="599"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4" w:name="xdx_49A_20240101__20241231_zOyCATVPXJ69"/>
            <w:bookmarkEnd w:id="464"/>
          </w:p>
        </w:tc>
        <w:tc>
          <w:tcPr>
            <w:tcW w:w="599"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3" w:type="dxa"/>
            <w:gridSpan w:val="6"/>
            <w:tcBorders>
              <w:bottom w:val="single" w:sz="8" w:space="0" w:color="000000"/>
            </w:tcBorders>
            <w:tcMar>
              <w:bottom w:w="28" w:type="dxa"/>
            </w:tcMar>
            <w:vAlign w:val="center"/>
          </w:tcPr>
          <w:p>
            <w:pPr>
              <w:pStyle w:val="TableContents"/>
              <w:bidi w:val="0"/>
              <w:spacing w:before="0" w:after="283"/>
              <w:jc w:val="center"/>
              <w:rPr/>
            </w:pPr>
            <w:r>
              <w:rPr/>
              <w:t>December 31,</w:t>
            </w:r>
          </w:p>
        </w:tc>
        <w:tc>
          <w:tcPr>
            <w:tcW w:w="11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bookmarkStart w:id="465" w:name="xdx_400_eus-gaap--ProductWarrantyAccrual"/>
            <w:bookmarkEnd w:id="465"/>
          </w:p>
        </w:tc>
      </w:tr>
      <w:tr>
        <w:trPr/>
        <w:tc>
          <w:tcPr>
            <w:tcW w:w="2930" w:type="dxa"/>
            <w:tcBorders/>
            <w:shd w:fill="CCEEFF" w:val="clear"/>
            <w:vAlign w:val="center"/>
          </w:tcPr>
          <w:p>
            <w:pPr>
              <w:pStyle w:val="TableContents"/>
              <w:bidi w:val="0"/>
              <w:spacing w:before="0" w:after="283"/>
              <w:jc w:val="left"/>
              <w:rPr/>
            </w:pPr>
            <w:r>
              <w:rPr/>
              <w:t>Beginning warranty obligation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307</w:t>
            </w:r>
          </w:p>
        </w:tc>
        <w:tc>
          <w:tcPr>
            <w:tcW w:w="110" w:type="dxa"/>
            <w:tcBorders/>
            <w:shd w:fill="CCEEFF" w:val="clear"/>
            <w:vAlign w:val="center"/>
          </w:tcPr>
          <w:p>
            <w:pPr>
              <w:pStyle w:val="TableContents"/>
              <w:bidi w:val="0"/>
              <w:spacing w:before="0" w:after="283"/>
              <w:jc w:val="left"/>
              <w:rPr/>
            </w:pPr>
            <w:r>
              <w:rPr/>
              <w:t> </w:t>
            </w:r>
            <w:bookmarkStart w:id="466" w:name="xdx_403_eus-gaap--ProductWarrantyAccrual"/>
            <w:bookmarkEnd w:id="466"/>
          </w:p>
        </w:tc>
      </w:tr>
      <w:tr>
        <w:trPr/>
        <w:tc>
          <w:tcPr>
            <w:tcW w:w="2930" w:type="dxa"/>
            <w:tcBorders/>
            <w:shd w:fill="FFFFFF" w:val="clear"/>
            <w:vAlign w:val="center"/>
          </w:tcPr>
          <w:p>
            <w:pPr>
              <w:pStyle w:val="TableContents"/>
              <w:bidi w:val="0"/>
              <w:spacing w:before="0" w:after="283"/>
              <w:jc w:val="left"/>
              <w:rPr/>
            </w:pPr>
            <w:r>
              <w:rPr/>
              <w:t>Provision of warranty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pPr>
            <w:r>
              <w:rPr/>
              <w:t>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pPr>
            <w:r>
              <w:rPr/>
              <w:t>541</w:t>
            </w:r>
          </w:p>
        </w:tc>
        <w:tc>
          <w:tcPr>
            <w:tcW w:w="110" w:type="dxa"/>
            <w:tcBorders/>
            <w:shd w:fill="FFFFFF" w:val="clear"/>
            <w:vAlign w:val="center"/>
          </w:tcPr>
          <w:p>
            <w:pPr>
              <w:pStyle w:val="TableContents"/>
              <w:bidi w:val="0"/>
              <w:spacing w:before="0" w:after="283"/>
              <w:jc w:val="left"/>
              <w:rPr/>
            </w:pPr>
            <w:r>
              <w:rPr/>
              <w:t> </w:t>
            </w:r>
            <w:bookmarkStart w:id="467" w:name="xdx_40D_eus-gaap--ProductWarrantyAccrual"/>
            <w:bookmarkEnd w:id="467"/>
          </w:p>
        </w:tc>
      </w:tr>
      <w:tr>
        <w:trPr/>
        <w:tc>
          <w:tcPr>
            <w:tcW w:w="2930" w:type="dxa"/>
            <w:tcBorders/>
            <w:shd w:fill="CCEEFF" w:val="clear"/>
            <w:vAlign w:val="center"/>
          </w:tcPr>
          <w:p>
            <w:pPr>
              <w:pStyle w:val="TableContents"/>
              <w:bidi w:val="0"/>
              <w:spacing w:before="0" w:after="283"/>
              <w:jc w:val="left"/>
              <w:rPr/>
            </w:pPr>
            <w:r>
              <w:rPr/>
              <w:t>Settlement of warranty claims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right"/>
              <w:rPr/>
            </w:pPr>
            <w:r>
              <w:rPr/>
              <w:t>(185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right"/>
              <w:rPr/>
            </w:pPr>
            <w:r>
              <w:rPr/>
              <w:t>(334</w:t>
            </w:r>
          </w:p>
        </w:tc>
        <w:tc>
          <w:tcPr>
            <w:tcW w:w="110" w:type="dxa"/>
            <w:tcBorders/>
            <w:shd w:fill="CCEEFF" w:val="clear"/>
            <w:vAlign w:val="center"/>
          </w:tcPr>
          <w:p>
            <w:pPr>
              <w:pStyle w:val="TableContents"/>
              <w:bidi w:val="0"/>
              <w:spacing w:before="0" w:after="283"/>
              <w:jc w:val="left"/>
              <w:rPr/>
            </w:pPr>
            <w:r>
              <w:rPr/>
              <w:t>)</w:t>
            </w:r>
            <w:bookmarkStart w:id="468" w:name="xdx_406_eus-gaap--ProductWarrantyAccrual"/>
            <w:bookmarkEnd w:id="468"/>
          </w:p>
        </w:tc>
      </w:tr>
      <w:tr>
        <w:trPr/>
        <w:tc>
          <w:tcPr>
            <w:tcW w:w="2930" w:type="dxa"/>
            <w:tcBorders/>
            <w:shd w:fill="FFFFFF" w:val="clear"/>
            <w:vAlign w:val="center"/>
          </w:tcPr>
          <w:p>
            <w:pPr>
              <w:pStyle w:val="TableContents"/>
              <w:bidi w:val="0"/>
              <w:spacing w:before="0" w:after="283"/>
              <w:jc w:val="left"/>
              <w:rPr/>
            </w:pPr>
            <w:r>
              <w:rPr/>
              <w:t>Ending warranty obligation</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8" w:type="dxa"/>
            <w:tcBorders>
              <w:bottom w:val="double" w:sz="6" w:space="0" w:color="000000"/>
            </w:tcBorders>
            <w:shd w:fill="FFFFFF" w:val="clear"/>
            <w:tcMar>
              <w:bottom w:w="28" w:type="dxa"/>
            </w:tcMar>
            <w:vAlign w:val="center"/>
          </w:tcPr>
          <w:p>
            <w:pPr>
              <w:pStyle w:val="TableContents"/>
              <w:bidi w:val="0"/>
              <w:spacing w:before="0" w:after="283"/>
              <w:jc w:val="right"/>
              <w:rPr/>
            </w:pPr>
            <w:r>
              <w:rPr/>
              <w:t>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8" w:type="dxa"/>
            <w:tcBorders>
              <w:bottom w:val="double" w:sz="6" w:space="0" w:color="000000"/>
            </w:tcBorders>
            <w:shd w:fill="FFFFFF" w:val="clear"/>
            <w:tcMar>
              <w:bottom w:w="28" w:type="dxa"/>
            </w:tcMar>
            <w:vAlign w:val="center"/>
          </w:tcPr>
          <w:p>
            <w:pPr>
              <w:pStyle w:val="TableContents"/>
              <w:bidi w:val="0"/>
              <w:spacing w:before="0" w:after="283"/>
              <w:jc w:val="right"/>
              <w:rPr/>
            </w:pPr>
            <w:r>
              <w:rPr/>
              <w:t>514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69" w:name="xdx_8AA_z5Bha5qdKXei"/>
      <w:bookmarkEnd w:id="469"/>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70" w:name="xdx_86A_zUg61PDUSURd"/>
      <w:bookmarkStart w:id="471" w:name="xdx_84C_eus-gaap--ConcentrationRiskCredi"/>
      <w:bookmarkEnd w:id="470"/>
      <w:bookmarkEnd w:id="471"/>
      <w:r>
        <w:rPr>
          <w:rFonts w:ascii="Times New Roman;Times;Serif" w:hAnsi="Times New Roman;Times;Serif"/>
          <w:b w:val="false"/>
          <w:i/>
          <w:caps w:val="false"/>
          <w:smallCaps w:val="false"/>
          <w:sz w:val="20"/>
          <w:u w:val="single"/>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receivables from Customer A comprised approximately </w:t>
      </w:r>
      <w:bookmarkStart w:id="472" w:name="xdx_90C_eus-gaap--ConcentrationRiskPerce"/>
      <w:bookmarkEnd w:id="472"/>
      <w:r>
        <w:rPr>
          <w:rFonts w:ascii="Times New Roman;Times;Serif" w:hAnsi="Times New Roman;Times;Serif"/>
          <w:b w:val="false"/>
          <w:i w:val="false"/>
          <w:caps w:val="false"/>
          <w:smallCaps w:val="false"/>
          <w:sz w:val="20"/>
        </w:rPr>
        <w:t xml:space="preserve">31% of accounts receivable. As of December 31, 2024, receivables from Customer A and B comprised approximately </w:t>
      </w:r>
      <w:bookmarkStart w:id="473" w:name="xdx_901_eus-gaap--ConcentrationRiskPerce"/>
      <w:bookmarkEnd w:id="473"/>
      <w:r>
        <w:rPr>
          <w:rFonts w:ascii="Times New Roman;Times;Serif" w:hAnsi="Times New Roman;Times;Serif"/>
          <w:b w:val="false"/>
          <w:i w:val="false"/>
          <w:caps w:val="false"/>
          <w:smallCaps w:val="false"/>
          <w:sz w:val="20"/>
        </w:rPr>
        <w:t xml:space="preserve">15% and </w:t>
      </w:r>
      <w:bookmarkStart w:id="474" w:name="xdx_90A_eus-gaap--ConcentrationRiskPerce"/>
      <w:bookmarkEnd w:id="474"/>
      <w:r>
        <w:rPr>
          <w:rFonts w:ascii="Times New Roman;Times;Serif" w:hAnsi="Times New Roman;Times;Serif"/>
          <w:b w:val="false"/>
          <w:i w:val="false"/>
          <w:caps w:val="false"/>
          <w:smallCaps w:val="false"/>
          <w:sz w:val="20"/>
        </w:rPr>
        <w:t>21%, respectively, of accounts receivable. There are no other significant accounts receivable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from Customer A comprised approximately </w:t>
      </w:r>
      <w:bookmarkStart w:id="475" w:name="xdx_90F_eus-gaap--ConcentrationRiskPerce"/>
      <w:bookmarkEnd w:id="475"/>
      <w:r>
        <w:rPr>
          <w:rFonts w:ascii="Times New Roman;Times;Serif" w:hAnsi="Times New Roman;Times;Serif"/>
          <w:b w:val="false"/>
          <w:i w:val="false"/>
          <w:caps w:val="false"/>
          <w:smallCaps w:val="false"/>
          <w:sz w:val="20"/>
        </w:rPr>
        <w:t xml:space="preserve">27% of the Company’s total revenue for the year ended December 31, 2025. Sales from Customer A comprised approximately </w:t>
      </w:r>
      <w:bookmarkStart w:id="476" w:name="xdx_903_eus-gaap--ConcentrationRiskPerce"/>
      <w:bookmarkEnd w:id="476"/>
      <w:r>
        <w:rPr>
          <w:rFonts w:ascii="Times New Roman;Times;Serif" w:hAnsi="Times New Roman;Times;Serif"/>
          <w:b w:val="false"/>
          <w:i w:val="false"/>
          <w:caps w:val="false"/>
          <w:smallCaps w:val="false"/>
          <w:sz w:val="20"/>
        </w:rPr>
        <w:t>14% of the Company’s total revenue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Concentrations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payables to Vendor A, Vendor B, and Vendor C comprised approximately </w:t>
      </w:r>
      <w:bookmarkStart w:id="477" w:name="xdx_907_eus-gaap--ConcentrationRiskPerce"/>
      <w:bookmarkEnd w:id="477"/>
      <w:r>
        <w:rPr>
          <w:rFonts w:ascii="Times New Roman;Times;Serif" w:hAnsi="Times New Roman;Times;Serif"/>
          <w:b w:val="false"/>
          <w:i w:val="false"/>
          <w:caps w:val="false"/>
          <w:smallCaps w:val="false"/>
          <w:sz w:val="20"/>
        </w:rPr>
        <w:t xml:space="preserve">36%, </w:t>
      </w:r>
      <w:bookmarkStart w:id="478" w:name="xdx_90A_eus-gaap--ConcentrationRiskPerce"/>
      <w:bookmarkEnd w:id="478"/>
      <w:r>
        <w:rPr>
          <w:rFonts w:ascii="Times New Roman;Times;Serif" w:hAnsi="Times New Roman;Times;Serif"/>
          <w:b w:val="false"/>
          <w:i w:val="false"/>
          <w:caps w:val="false"/>
          <w:smallCaps w:val="false"/>
          <w:sz w:val="20"/>
        </w:rPr>
        <w:t xml:space="preserve">16%, and </w:t>
      </w:r>
      <w:bookmarkStart w:id="479" w:name="xdx_90E_eus-gaap--ConcentrationRiskPerce"/>
      <w:bookmarkEnd w:id="479"/>
      <w:r>
        <w:rPr>
          <w:rFonts w:ascii="Times New Roman;Times;Serif" w:hAnsi="Times New Roman;Times;Serif"/>
          <w:b w:val="false"/>
          <w:i w:val="false"/>
          <w:caps w:val="false"/>
          <w:smallCaps w:val="false"/>
          <w:sz w:val="20"/>
        </w:rPr>
        <w:t xml:space="preserve">12%, respectively, of accounts payables. As of December 31, 2024, payables to Vendor A, Vendor C, and Vendor D comprised approximately </w:t>
      </w:r>
      <w:bookmarkStart w:id="480" w:name="xdx_908_eus-gaap--ConcentrationRiskPerce"/>
      <w:bookmarkEnd w:id="480"/>
      <w:r>
        <w:rPr>
          <w:rFonts w:ascii="Times New Roman;Times;Serif" w:hAnsi="Times New Roman;Times;Serif"/>
          <w:b w:val="false"/>
          <w:i w:val="false"/>
          <w:caps w:val="false"/>
          <w:smallCaps w:val="false"/>
          <w:sz w:val="20"/>
        </w:rPr>
        <w:t xml:space="preserve">11%, </w:t>
      </w:r>
      <w:bookmarkStart w:id="481" w:name="xdx_901_eus-gaap--ConcentrationRiskPerce"/>
      <w:bookmarkEnd w:id="481"/>
      <w:r>
        <w:rPr>
          <w:rFonts w:ascii="Times New Roman;Times;Serif" w:hAnsi="Times New Roman;Times;Serif"/>
          <w:b w:val="false"/>
          <w:i w:val="false"/>
          <w:caps w:val="false"/>
          <w:smallCaps w:val="false"/>
          <w:sz w:val="20"/>
        </w:rPr>
        <w:t xml:space="preserve">33%, and </w:t>
      </w:r>
      <w:bookmarkStart w:id="482" w:name="xdx_903_eus-gaap--ConcentrationRiskPerce"/>
      <w:bookmarkEnd w:id="482"/>
      <w:r>
        <w:rPr>
          <w:rFonts w:ascii="Times New Roman;Times;Serif" w:hAnsi="Times New Roman;Times;Serif"/>
          <w:b w:val="false"/>
          <w:i w:val="false"/>
          <w:caps w:val="false"/>
          <w:smallCaps w:val="false"/>
          <w:sz w:val="20"/>
        </w:rPr>
        <w:t>12%, respectively, of accounts payables.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Vendor A, Vendor B, and Vendor E accounted for approximately </w:t>
      </w:r>
      <w:bookmarkStart w:id="483" w:name="xdx_90F_eus-gaap--ConcentrationRiskPerce"/>
      <w:bookmarkEnd w:id="483"/>
      <w:r>
        <w:rPr>
          <w:rFonts w:ascii="Times New Roman;Times;Serif" w:hAnsi="Times New Roman;Times;Serif"/>
          <w:b w:val="false"/>
          <w:i w:val="false"/>
          <w:caps w:val="false"/>
          <w:smallCaps w:val="false"/>
          <w:sz w:val="20"/>
        </w:rPr>
        <w:t>18%,</w:t>
      </w:r>
      <w:bookmarkStart w:id="484" w:name="xdx_904_eus-gaap--ConcentrationRiskPerce"/>
      <w:bookmarkEnd w:id="484"/>
      <w:r>
        <w:rPr>
          <w:rFonts w:ascii="Times New Roman;Times;Serif" w:hAnsi="Times New Roman;Times;Serif"/>
          <w:b w:val="false"/>
          <w:i w:val="false"/>
          <w:caps w:val="false"/>
          <w:smallCaps w:val="false"/>
          <w:sz w:val="20"/>
        </w:rPr>
        <w:t xml:space="preserve"> 11%, and </w:t>
      </w:r>
      <w:bookmarkStart w:id="485" w:name="xdx_904_eus-gaap--ConcentrationRiskPerce"/>
      <w:bookmarkEnd w:id="485"/>
      <w:r>
        <w:rPr>
          <w:rFonts w:ascii="Times New Roman;Times;Serif" w:hAnsi="Times New Roman;Times;Serif"/>
          <w:b w:val="false"/>
          <w:i w:val="false"/>
          <w:caps w:val="false"/>
          <w:smallCaps w:val="false"/>
          <w:sz w:val="20"/>
        </w:rPr>
        <w:t xml:space="preserve">10%, respectively, of the Company’s total purchases. For the year ended December 31, 2024, Vendor D accounted for approximately </w:t>
      </w:r>
      <w:bookmarkStart w:id="486" w:name="xdx_906_eus-gaap--ConcentrationRiskPerce"/>
      <w:bookmarkEnd w:id="486"/>
      <w:r>
        <w:rPr>
          <w:rFonts w:ascii="Times New Roman;Times;Serif" w:hAnsi="Times New Roman;Times;Serif"/>
          <w:b w:val="false"/>
          <w:i w:val="false"/>
          <w:caps w:val="false"/>
          <w:smallCaps w:val="false"/>
          <w:sz w:val="20"/>
        </w:rPr>
        <w:t>11% of the Company’s total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87" w:name="xdx_863_zrEV94dl2yF8"/>
      <w:bookmarkStart w:id="488" w:name="xdx_848_eus-gaap--DeferredChargesPolicyT"/>
      <w:bookmarkEnd w:id="487"/>
      <w:bookmarkEnd w:id="488"/>
      <w:r>
        <w:rPr>
          <w:rFonts w:ascii="Times New Roman;Times;Serif" w:hAnsi="Times New Roman;Times;Serif"/>
          <w:b w:val="false"/>
          <w:i/>
          <w:caps w:val="false"/>
          <w:smallCaps w:val="false"/>
          <w:sz w:val="20"/>
          <w:u w:val="single"/>
        </w:rPr>
        <w:t>Deferred Financing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89" w:name="xdx_869_zFA0vIlNyOXd"/>
      <w:bookmarkStart w:id="490" w:name="xdx_841_eus-gaap--ResearchAndDevelopment"/>
      <w:bookmarkEnd w:id="489"/>
      <w:bookmarkEnd w:id="490"/>
      <w:r>
        <w:rPr>
          <w:rFonts w:ascii="Times New Roman;Times;Serif" w:hAnsi="Times New Roman;Times;Serif"/>
          <w:b w:val="false"/>
          <w:i/>
          <w:caps w:val="false"/>
          <w:smallCaps w:val="false"/>
          <w:sz w:val="20"/>
          <w:u w:val="single"/>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Research and development expenses include salaries, contractor and consultant fees, supplies and materials, as well as costs related to overhead such as depreciation, facilities, utilities and other departmental expenses. Costs related to internally developed technology and engineering services are generally included in research and development expenses as incurred. However, internal engineering and other personnel costs that are directly attributable to the acquisition or construction of property and equipment or other assets with alternative future uses are capitalized as part of the cost of those assets and depreciated over their estimated useful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91" w:name="xdx_865_zG7MX2BHFUKl"/>
      <w:bookmarkStart w:id="492" w:name="xdx_84C_eus-gaap--AdvertisingCostsPolicy"/>
      <w:bookmarkEnd w:id="491"/>
      <w:bookmarkEnd w:id="492"/>
      <w:r>
        <w:rPr>
          <w:rFonts w:ascii="Times New Roman;Times;Serif" w:hAnsi="Times New Roman;Times;Serif"/>
          <w:b w:val="false"/>
          <w:i/>
          <w:caps w:val="false"/>
          <w:smallCaps w:val="false"/>
          <w:sz w:val="20"/>
          <w:u w:val="single"/>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costs as they are incurred and are included in selling and marketing expenses. Advertising expenses amounted to $</w:t>
      </w:r>
      <w:bookmarkStart w:id="493" w:name="xdx_907_eus-gaap--AdvertisingExpense_pn3"/>
      <w:bookmarkEnd w:id="493"/>
      <w:r>
        <w:rPr>
          <w:rFonts w:ascii="Times New Roman;Times;Serif" w:hAnsi="Times New Roman;Times;Serif"/>
          <w:b w:val="false"/>
          <w:i w:val="false"/>
          <w:caps w:val="false"/>
          <w:smallCaps w:val="false"/>
          <w:sz w:val="20"/>
        </w:rPr>
        <w:t>2,311 and $</w:t>
      </w:r>
      <w:bookmarkStart w:id="494" w:name="xdx_903_eus-gaap--AdvertisingExpense_pn3"/>
      <w:bookmarkEnd w:id="494"/>
      <w:r>
        <w:rPr>
          <w:rFonts w:ascii="Times New Roman;Times;Serif" w:hAnsi="Times New Roman;Times;Serif"/>
          <w:b w:val="false"/>
          <w:i w:val="false"/>
          <w:caps w:val="false"/>
          <w:smallCaps w:val="false"/>
          <w:sz w:val="20"/>
        </w:rPr>
        <w:t>2,257 for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95" w:name="xdx_86B_zbiGfhZc6GY2"/>
      <w:bookmarkStart w:id="496" w:name="xdx_84B_eus-gaap--ShareBasedCompensation"/>
      <w:bookmarkEnd w:id="495"/>
      <w:bookmarkEnd w:id="496"/>
      <w:r>
        <w:rPr>
          <w:rFonts w:ascii="Times New Roman;Times;Serif" w:hAnsi="Times New Roman;Times;Serif"/>
          <w:b w:val="false"/>
          <w:i/>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 based compensation arrangements with employees and non-employee consultants using a fair value method which requires the recognition of compensation expense for costs related to all stock based payments, including stock options (</w:t>
      </w:r>
      <w:r>
        <w:rPr>
          <w:rFonts w:ascii="Times New Roman;Times;Serif" w:hAnsi="Times New Roman;Times;Serif"/>
          <w:b/>
          <w:i w:val="false"/>
          <w:caps w:val="false"/>
          <w:smallCaps w:val="false"/>
          <w:sz w:val="20"/>
        </w:rPr>
        <w:t>Note 12</w:t>
      </w:r>
      <w:r>
        <w:rPr>
          <w:rFonts w:ascii="Times New Roman;Times;Serif" w:hAnsi="Times New Roman;Times;Serif"/>
          <w:b w:val="false"/>
          <w:i w:val="false"/>
          <w:caps w:val="false"/>
          <w:smallCaps w:val="false"/>
          <w:sz w:val="20"/>
        </w:rPr>
        <w:t>). The fair value method requires the Company to estimate the fair value of stock 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Stock-Based Compensation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497" w:name="xdx_865_zxNXrrRtLIq"/>
      <w:bookmarkStart w:id="498" w:name="xdx_840_eus-gaap--IncomeTaxPolicyTextBlo"/>
      <w:bookmarkEnd w:id="497"/>
      <w:bookmarkEnd w:id="498"/>
      <w:r>
        <w:rPr>
          <w:rFonts w:ascii="Times New Roman;Times;Serif" w:hAnsi="Times New Roman;Times;Serif"/>
          <w:b w:val="false"/>
          <w:i/>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w:t>
      </w:r>
      <w:r>
        <w:rPr>
          <w:rFonts w:ascii="Times New Roman;Times;Serif" w:hAnsi="Times New Roman;Times;Serif"/>
          <w:b/>
          <w:i w:val="false"/>
          <w:caps w:val="false"/>
          <w:smallCaps w:val="false"/>
          <w:sz w:val="20"/>
        </w:rPr>
        <w:t>Note 13</w:t>
      </w:r>
      <w:r>
        <w:rPr>
          <w:rFonts w:ascii="Times New Roman;Times;Serif" w:hAnsi="Times New Roman;Times;Serif"/>
          <w:b w:val="false"/>
          <w:i w:val="false"/>
          <w:caps w:val="false"/>
          <w:smallCaps w:val="false"/>
          <w:sz w:val="20"/>
        </w:rPr>
        <w:t>)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 tax benefit for an uncertain tax position only if it is more likely than not that the tax position will be sustained on examination by taxing authorities, based on the technical merits of the position. The Company had a liability of $</w:t>
      </w:r>
      <w:bookmarkStart w:id="499" w:name="xdx_907_eus-gaap--UnrecognizedTaxBenefit"/>
      <w:bookmarkEnd w:id="499"/>
      <w:r>
        <w:rPr>
          <w:rFonts w:ascii="Times New Roman;Times;Serif" w:hAnsi="Times New Roman;Times;Serif"/>
          <w:b w:val="false"/>
          <w:i w:val="false"/>
          <w:caps w:val="false"/>
          <w:smallCaps w:val="false"/>
          <w:sz w:val="20"/>
        </w:rPr>
        <w:t>0 and $</w:t>
      </w:r>
      <w:bookmarkStart w:id="500" w:name="xdx_909_eus-gaap--UnrecognizedTaxBenefit"/>
      <w:bookmarkEnd w:id="500"/>
      <w:r>
        <w:rPr>
          <w:rFonts w:ascii="Times New Roman;Times;Serif" w:hAnsi="Times New Roman;Times;Serif"/>
          <w:b w:val="false"/>
          <w:i w:val="false"/>
          <w:caps w:val="false"/>
          <w:smallCaps w:val="false"/>
          <w:sz w:val="20"/>
        </w:rPr>
        <w:t>55 as of December 31, 2025 and 2024, of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accounting policy is to include penalties and interest related to income taxes if any, in selling, general and administrative expenses. The Company regularly assesses the need to record a valuation allowance against net deferred tax assets if, based upon the available evidence, it is more likely than not that some or all of the deferred tax assets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(the “OBBB”) Act was signed into law in the United States. The OBBB Act includes significant provisions, such as the permanent extension and modification of certain provisions of the U.S. Tax Cuts and Jobs Act of 2017, modifications to the international tax framework and the restoration of favorable tax treatment for certain business provisions. The legislation has multiple effective dates, with certain provisions beginning in 2025 and others beginning at various dates through 2027. The Company does not expect the OBBB Act to materially impact the Company’s income tax position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501" w:name="xdx_864_zJDFPKr86Zf2"/>
      <w:bookmarkStart w:id="502" w:name="xdx_846_eus-gaap--EarningsPerSharePolicy"/>
      <w:bookmarkEnd w:id="501"/>
      <w:bookmarkEnd w:id="502"/>
      <w:r>
        <w:rPr>
          <w:rFonts w:ascii="Times New Roman;Times;Serif" w:hAnsi="Times New Roman;Times;Serif"/>
          <w:b w:val="false"/>
          <w:i/>
          <w:caps w:val="false"/>
          <w:smallCaps w:val="false"/>
          <w:sz w:val="20"/>
          <w:u w:val="single"/>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calculated by dividing net loss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number of common shares included in the computation of diluted net loss gives effect to all potentially dilutive common equivalent shares, including outstanding stock 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equivalent shares are excluded from the computation of diluted net loss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Net Loss per Common Share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3" w:name="xdx_89A_eus-gaap--ScheduleOfAntidilutive"/>
      <w:bookmarkEnd w:id="503"/>
      <w:r>
        <w:rPr>
          <w:rFonts w:ascii="Times New Roman;Times;Serif" w:hAnsi="Times New Roman;Times;Serif"/>
          <w:b w:val="false"/>
          <w:i w:val="false"/>
          <w:caps w:val="false"/>
          <w:smallCaps w:val="false"/>
          <w:sz w:val="20"/>
        </w:rPr>
        <w:t>The following table sets forth the number of potential shares of common stock that have been excluded from diluted net loss per share because their effect was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04" w:name="xdx_8B7_zA1pXb130Rbe"/>
      <w:bookmarkEnd w:id="504"/>
      <w:r>
        <w:rPr>
          <w:rFonts w:ascii="Times New Roman;Times;Serif" w:hAnsi="Times New Roman;Times;Serif"/>
          <w:b w:val="false"/>
          <w:i w:val="false"/>
          <w:caps w:val="false"/>
          <w:smallCaps w:val="false"/>
          <w:sz w:val="20"/>
        </w:rPr>
        <w:t>SCHEDULE OF POTENTIAL SHARES OF COMMON STOCK EXCLUDED FROM DILUTED NET LOSS PER SHARE</w:t>
      </w:r>
    </w:p>
    <w:tbl>
      <w:tblPr>
        <w:tblW w:w="6840" w:type="dxa"/>
        <w:jc w:val="left"/>
        <w:tblInd w:w="0" w:type="dxa"/>
        <w:tblLayout w:type="fixed"/>
        <w:tblCellMar>
          <w:top w:w="0" w:type="dxa"/>
          <w:left w:w="0" w:type="dxa"/>
          <w:bottom w:w="0" w:type="dxa"/>
          <w:right w:w="0" w:type="dxa"/>
        </w:tblCellMar>
      </w:tblPr>
      <w:tblGrid>
        <w:gridCol w:w="4865"/>
        <w:gridCol w:w="60"/>
        <w:gridCol w:w="60"/>
        <w:gridCol w:w="800"/>
        <w:gridCol w:w="60"/>
        <w:gridCol w:w="60"/>
        <w:gridCol w:w="60"/>
        <w:gridCol w:w="800"/>
        <w:gridCol w:w="75"/>
      </w:tblGrid>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5" w:name="xdx_490_20250101__20251231_zz7msSe0Wf82"/>
            <w:bookmarkEnd w:id="505"/>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6" w:name="xdx_495_20240101__20241231_zN4Ki4UCjkvj"/>
            <w:bookmarkEnd w:id="506"/>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pPr>
            <w:r>
              <w:rPr/>
              <w:t>December 31,</w:t>
            </w:r>
          </w:p>
        </w:tc>
        <w:tc>
          <w:tcPr>
            <w:tcW w:w="7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bookmarkStart w:id="507" w:name="xdx_401_eus-gaap--AntidilutiveSecurities"/>
            <w:bookmarkEnd w:id="507"/>
          </w:p>
        </w:tc>
      </w:tr>
      <w:tr>
        <w:trPr/>
        <w:tc>
          <w:tcPr>
            <w:tcW w:w="4865"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925,616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392,616</w:t>
            </w:r>
          </w:p>
        </w:tc>
        <w:tc>
          <w:tcPr>
            <w:tcW w:w="75" w:type="dxa"/>
            <w:tcBorders/>
            <w:shd w:fill="CCEEFF" w:val="clear"/>
            <w:vAlign w:val="center"/>
          </w:tcPr>
          <w:p>
            <w:pPr>
              <w:pStyle w:val="TableContents"/>
              <w:bidi w:val="0"/>
              <w:spacing w:before="0" w:after="283"/>
              <w:jc w:val="left"/>
              <w:rPr/>
            </w:pPr>
            <w:r>
              <w:rPr/>
              <w:t> </w:t>
            </w:r>
            <w:bookmarkStart w:id="508" w:name="xdx_407_eus-gaap--AntidilutiveSecurities"/>
            <w:bookmarkEnd w:id="508"/>
          </w:p>
        </w:tc>
      </w:tr>
      <w:tr>
        <w:trPr/>
        <w:tc>
          <w:tcPr>
            <w:tcW w:w="4865"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33,475</w:t>
            </w:r>
          </w:p>
        </w:tc>
        <w:tc>
          <w:tcPr>
            <w:tcW w:w="75" w:type="dxa"/>
            <w:tcBorders/>
            <w:shd w:fill="FFFFFF" w:val="clear"/>
            <w:vAlign w:val="center"/>
          </w:tcPr>
          <w:p>
            <w:pPr>
              <w:pStyle w:val="TableContents"/>
              <w:bidi w:val="0"/>
              <w:spacing w:before="0" w:after="283"/>
              <w:jc w:val="left"/>
              <w:rPr/>
            </w:pPr>
            <w:r>
              <w:rPr/>
              <w:t> </w:t>
            </w:r>
            <w:bookmarkStart w:id="509" w:name="xdx_407_eus-gaap--AntidilutiveSecurities"/>
            <w:bookmarkEnd w:id="509"/>
          </w:p>
        </w:tc>
      </w:tr>
      <w:tr>
        <w:trPr/>
        <w:tc>
          <w:tcPr>
            <w:tcW w:w="4865" w:type="dxa"/>
            <w:tcBorders/>
            <w:shd w:fill="CCEEFF" w:val="clear"/>
            <w:vAlign w:val="center"/>
          </w:tcPr>
          <w:p>
            <w:pPr>
              <w:pStyle w:val="TableContents"/>
              <w:bidi w:val="0"/>
              <w:spacing w:before="0" w:after="283"/>
              <w:jc w:val="left"/>
              <w:rPr/>
            </w:pPr>
            <w:r>
              <w:rPr/>
              <w:t>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13,407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16,881</w:t>
            </w:r>
          </w:p>
        </w:tc>
        <w:tc>
          <w:tcPr>
            <w:tcW w:w="75" w:type="dxa"/>
            <w:tcBorders/>
            <w:shd w:fill="CCEEFF" w:val="clear"/>
            <w:vAlign w:val="center"/>
          </w:tcPr>
          <w:p>
            <w:pPr>
              <w:pStyle w:val="TableContents"/>
              <w:bidi w:val="0"/>
              <w:spacing w:before="0" w:after="283"/>
              <w:jc w:val="left"/>
              <w:rPr/>
            </w:pPr>
            <w:r>
              <w:rPr/>
              <w:t> </w:t>
            </w:r>
            <w:bookmarkStart w:id="510" w:name="xdx_40D_eus-gaap--AntidilutiveSecurities"/>
            <w:bookmarkEnd w:id="510"/>
          </w:p>
        </w:tc>
      </w:tr>
      <w:tr>
        <w:trPr/>
        <w:tc>
          <w:tcPr>
            <w:tcW w:w="4865" w:type="dxa"/>
            <w:tcBorders/>
            <w:shd w:fill="FFFFFF" w:val="clear"/>
            <w:vAlign w:val="center"/>
          </w:tcPr>
          <w:p>
            <w:pPr>
              <w:pStyle w:val="TableContents"/>
              <w:bidi w:val="0"/>
              <w:spacing w:before="0" w:after="283"/>
              <w:jc w:val="left"/>
              <w:rPr/>
            </w:pPr>
            <w:r>
              <w:rPr/>
              <w:t>Weighted average number of common shares-basic</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955,810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442,972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11" w:name="xdx_8A2_z1kiEB7i5L0h"/>
      <w:bookmarkEnd w:id="511"/>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512" w:name="xdx_868_zNDbVxYV4Lne"/>
      <w:bookmarkStart w:id="513" w:name="xdx_844_eus-gaap--PriorPeriodReclassific"/>
      <w:bookmarkEnd w:id="512"/>
      <w:bookmarkEnd w:id="513"/>
      <w:r>
        <w:rPr>
          <w:rFonts w:ascii="Times New Roman;Times;Serif" w:hAnsi="Times New Roman;Times;Serif"/>
          <w:b w:val="false"/>
          <w:i/>
          <w:caps w:val="false"/>
          <w:smallCaps w:val="false"/>
          <w:sz w:val="20"/>
          <w:u w:val="single"/>
        </w:rPr>
        <w:t>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in the prior year’s consolidated financial statements have been reclassified to conform to the current year’s presentation. These reclassifications were immaterial to the financial statements and had no impact on previously reported net loss, total assets, total liabilities, stockholders’ equity, or the previously reported net decrease in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514" w:name="xdx_86E_zVr3tOaXFbN3"/>
      <w:bookmarkStart w:id="515" w:name="xdx_847_eus-gaap--LesseeLeasesPolicyText"/>
      <w:bookmarkEnd w:id="514"/>
      <w:bookmarkEnd w:id="515"/>
      <w:r>
        <w:rPr>
          <w:rFonts w:ascii="Times New Roman;Times;Serif" w:hAnsi="Times New Roman;Times;Serif"/>
          <w:b w:val="false"/>
          <w:i/>
          <w:caps w:val="false"/>
          <w:smallCaps w:val="false"/>
          <w:sz w:val="20"/>
          <w:u w:val="single"/>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FASB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516" w:name="xdx_860_zrmDJwFxk4H3"/>
      <w:bookmarkStart w:id="517" w:name="xdx_845_eus-gaap--SegmentReportingPolicy"/>
      <w:bookmarkEnd w:id="516"/>
      <w:bookmarkEnd w:id="517"/>
      <w:r>
        <w:rPr>
          <w:rFonts w:ascii="Times New Roman;Times;Serif" w:hAnsi="Times New Roman;Times;Serif"/>
          <w:b w:val="false"/>
          <w:i/>
          <w:caps w:val="false"/>
          <w:smallCaps w:val="false"/>
          <w:sz w:val="20"/>
          <w:u w:val="single"/>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w:t>
      </w:r>
      <w:r>
        <w:rPr>
          <w:rFonts w:ascii="Times New Roman;Times;Serif" w:hAnsi="Times New Roman;Times;Serif"/>
          <w:b/>
          <w:i w:val="false"/>
          <w:caps w:val="false"/>
          <w:smallCaps w:val="false"/>
          <w:sz w:val="20"/>
        </w:rPr>
        <w:t>Note 14</w:t>
      </w:r>
      <w:r>
        <w:rPr>
          <w:rFonts w:ascii="Times New Roman;Times;Serif" w:hAnsi="Times New Roman;Times;Serif"/>
          <w:b w:val="false"/>
          <w:i w:val="false"/>
          <w:caps w:val="false"/>
          <w:smallCaps w:val="false"/>
          <w:sz w:val="20"/>
        </w:rPr>
        <w:t>) as components of the Company for which separate discrete financial information is available and that are regularly reviewed by the Company’s Chief Executive Officer, the chief operating decision maker, to make decisions about resource allocation and assess performance. The Company currently manages its business through two operating and reportable segments. Beginning in 2024, the Company’s internal reporting structure and management’s decision-making processes evolved such that the Company now reports two operating segments. Prior-period segment information has been recast to conform to the current period presentation, where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518" w:name="xdx_864_zorymsr0xbp1"/>
      <w:bookmarkStart w:id="519" w:name="xdx_84C_eus-gaap--NewAccountingPronounce"/>
      <w:bookmarkEnd w:id="518"/>
      <w:bookmarkEnd w:id="519"/>
      <w:r>
        <w:rPr>
          <w:rFonts w:ascii="Times New Roman;Times;Serif" w:hAnsi="Times New Roman;Times;Serif"/>
          <w:b w:val="false"/>
          <w:i/>
          <w:caps w:val="false"/>
          <w:smallCaps w:val="false"/>
          <w:sz w:val="20"/>
          <w:u w:val="single"/>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Income Taxes (Topic 740): Improvements to Income Tax Disclosures (“ASU 2023-09”). The Company adopted Accounting Standards Update on a prospective basis. This standard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The adoption of this new standard did not have a material impact on our consolidated financial statements. For additional information, see </w:t>
      </w:r>
      <w:r>
        <w:rPr>
          <w:rFonts w:ascii="Times New Roman;Times;Serif" w:hAnsi="Times New Roman;Times;Serif"/>
          <w:b/>
          <w:i w:val="false"/>
          <w:caps w:val="false"/>
          <w:smallCaps w:val="false"/>
          <w:sz w:val="20"/>
        </w:rPr>
        <w:t>Note 13</w:t>
      </w:r>
      <w:r>
        <w:rPr>
          <w:rFonts w:ascii="Times New Roman;Times;Serif" w:hAnsi="Times New Roman;Times;Serif"/>
          <w:b w:val="false"/>
          <w:i w:val="false"/>
          <w:caps w:val="false"/>
          <w:smallCaps w:val="false"/>
          <w:sz w:val="20"/>
        </w:rPr>
        <w:t xml:space="preserve"> — Income Taxes.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520" w:name="xdx_860_zTG1Zt2hzSQj"/>
      <w:bookmarkStart w:id="521" w:name="xdx_84C_ecustom--RecentlyIssuedAccountin"/>
      <w:bookmarkEnd w:id="520"/>
      <w:bookmarkEnd w:id="521"/>
      <w:r>
        <w:rPr>
          <w:rFonts w:ascii="Times New Roman;Times;Serif" w:hAnsi="Times New Roman;Times;Serif"/>
          <w:b w:val="false"/>
          <w:i/>
          <w:caps w:val="false"/>
          <w:smallCaps w:val="false"/>
          <w:sz w:val="20"/>
          <w:u w:val="single"/>
        </w:rPr>
        <w:t>Recently issued accounting pronouncements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(Subtopic 220-40): Disaggregation of Income Statement Expenses, which requires a public entity to disclose additional information about specific expense categories in the notes to the financial statements on an annual and interim basis. It is effective for fiscal years beginning after December 15, 2026, and interim periods within fiscal years beginning after December 15, 2027. In January 2025, the FASB issued ASU 2025-01 to clarify that all public entities, including non-calendar year-end entities, should adopt the disclosure requirements of ASU 2024-03. The Company is currently evaluating the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which provides a practical expedient related to the estimation of expected credit losses for certain financial assets measured on an amortized cost basis, including current accounts receivable and current contract assets under FASB Accounting Standards Codification 606 - Revenues from Contracts with Customers. Under the practical expedient, a public entity may assume that current conditions as of the balance sheet date remain unchanged over the remaining life of the financial asset when developing reasonable and supportable forecasts used to estimate expected credit losses. This ASU is effective for the Company on January 1, 2026, with early adoption permitted. The Company is currently evaluating the potential impact on its consolidated financial statements upon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which clarifies interim disclosure requirements and the applicability of Topic 270. This ASU is effective for the Company on January 1, 2028, with early adoption permitted. The Company does not expect the adoption of this ASU to have a material impact on its consolidated financial statements.</w:t>
      </w:r>
    </w:p>
    <w:p>
      <w:pPr>
        <w:pStyle w:val="TextBody"/>
        <w:bidi w:val="0"/>
        <w:spacing w:before="0" w:after="0"/>
        <w:ind w:left="0" w:right="0" w:hanging="0"/>
        <w:jc w:val="both"/>
        <w:rPr>
          <w:caps w:val="false"/>
          <w:smallCaps w:val="false"/>
        </w:rPr>
      </w:pPr>
      <w:bookmarkStart w:id="522" w:name="xdx_855_zWwIP2r50GI2"/>
      <w:bookmarkEnd w:id="522"/>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523" w:name="xdx_807_eus-gaap--FairValueDisclosuresTe"/>
      <w:bookmarkEnd w:id="523"/>
      <w:r>
        <w:rPr>
          <w:rFonts w:ascii="Times New Roman;Times;Serif" w:hAnsi="Times New Roman;Times;Serif"/>
          <w:b/>
          <w:i w:val="false"/>
          <w:caps/>
          <w:sz w:val="20"/>
        </w:rPr>
        <w:t xml:space="preserve">Note 3 - </w:t>
      </w:r>
      <w:bookmarkStart w:id="524" w:name="xdx_828_z29xO3EBTK54"/>
      <w:bookmarkEnd w:id="524"/>
      <w:r>
        <w:rPr>
          <w:rFonts w:ascii="Times New Roman;Times;Serif" w:hAnsi="Times New Roman;Times;Serif"/>
          <w:b/>
          <w:i w:val="false"/>
          <w:caps/>
          <w:sz w:val="20"/>
        </w:rPr>
        <w:t>Fair Value Measurements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inputs are quoted prices (unadjusted) in active markets for identical assets or liabilities.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are inputs other than quoted prices included within Level 1 that are observable for a similar asset or liability, either directly or indirectly.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are unobservable inputs that reflect the Company’s own assumptions about the inputs that market participants would use in pricing the asset or liability.</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3 - Fair Value Measurements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5" w:name="xdx_893_eus-gaap--ScheduleOfFairValueAss"/>
      <w:bookmarkEnd w:id="525"/>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6" w:name="xdx_8B8_zJEULg5L8UPg"/>
      <w:bookmarkEnd w:id="526"/>
      <w:r>
        <w:rPr>
          <w:rFonts w:ascii="Times New Roman;Times;Serif" w:hAnsi="Times New Roman;Times;Serif"/>
          <w:b w:val="false"/>
          <w:i w:val="false"/>
          <w:caps w:val="false"/>
          <w:smallCaps w:val="false"/>
          <w:sz w:val="20"/>
        </w:rPr>
        <w:t>SCHEDULE OF FAIR VALUE OF ASSETS AND LIABILITIES</w:t>
      </w:r>
    </w:p>
    <w:tbl>
      <w:tblPr>
        <w:tblW w:w="9025" w:type="dxa"/>
        <w:jc w:val="left"/>
        <w:tblInd w:w="0" w:type="dxa"/>
        <w:tblLayout w:type="fixed"/>
        <w:tblCellMar>
          <w:top w:w="0" w:type="dxa"/>
          <w:left w:w="0" w:type="dxa"/>
          <w:bottom w:w="0" w:type="dxa"/>
          <w:right w:w="0" w:type="dxa"/>
        </w:tblCellMar>
      </w:tblPr>
      <w:tblGrid>
        <w:gridCol w:w="3665"/>
        <w:gridCol w:w="60"/>
        <w:gridCol w:w="388"/>
        <w:gridCol w:w="1056"/>
        <w:gridCol w:w="60"/>
        <w:gridCol w:w="60"/>
        <w:gridCol w:w="243"/>
        <w:gridCol w:w="661"/>
        <w:gridCol w:w="60"/>
        <w:gridCol w:w="60"/>
        <w:gridCol w:w="475"/>
        <w:gridCol w:w="324"/>
        <w:gridCol w:w="60"/>
        <w:gridCol w:w="60"/>
        <w:gridCol w:w="214"/>
        <w:gridCol w:w="585"/>
        <w:gridCol w:w="60"/>
        <w:gridCol w:w="60"/>
        <w:gridCol w:w="475"/>
        <w:gridCol w:w="324"/>
        <w:gridCol w:w="7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Carrying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Fair Value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3) </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25" w:type="dxa"/>
            <w:gridSpan w:val="18"/>
            <w:tcBorders>
              <w:bottom w:val="single" w:sz="8" w:space="0" w:color="000000"/>
            </w:tcBorders>
            <w:tcMar>
              <w:bottom w:w="28" w:type="dxa"/>
            </w:tcMar>
            <w:vAlign w:val="center"/>
          </w:tcPr>
          <w:p>
            <w:pPr>
              <w:pStyle w:val="TableContents"/>
              <w:bidi w:val="0"/>
              <w:spacing w:before="0" w:after="283"/>
              <w:jc w:val="center"/>
              <w:rPr/>
            </w:pPr>
            <w:r>
              <w:rPr/>
              <w:t>As of December 31, 2025</w:t>
            </w:r>
          </w:p>
        </w:tc>
        <w:tc>
          <w:tcPr>
            <w:tcW w:w="7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u w:val="single"/>
              </w:rPr>
            </w:pPr>
            <w:r>
              <w:rPr>
                <w:u w:val="single"/>
              </w:rPr>
              <w:t>Liabilities</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Warrant liability- Term Loan</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w:t>
            </w:r>
            <w:bookmarkStart w:id="527" w:name="xdx_98B_eus-gaap--DerivativeLiabilitiesN"/>
            <w:bookmarkEnd w:id="527"/>
          </w:p>
        </w:tc>
        <w:tc>
          <w:tcPr>
            <w:tcW w:w="1056" w:type="dxa"/>
            <w:tcBorders/>
            <w:shd w:fill="FFFFFF" w:val="clear"/>
            <w:vAlign w:val="center"/>
          </w:tcPr>
          <w:p>
            <w:pPr>
              <w:pStyle w:val="TableContents"/>
              <w:bidi w:val="0"/>
              <w:spacing w:before="0" w:after="283"/>
              <w:jc w:val="right"/>
              <w:rPr/>
            </w:pPr>
            <w:r>
              <w:rPr/>
              <w:t>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w:t>
            </w:r>
            <w:bookmarkStart w:id="528" w:name="xdx_98E_eus-gaap--LiabilitiesFairValueDi"/>
            <w:bookmarkEnd w:id="528"/>
          </w:p>
        </w:tc>
        <w:tc>
          <w:tcPr>
            <w:tcW w:w="661" w:type="dxa"/>
            <w:tcBorders/>
            <w:shd w:fill="FFFFFF" w:val="clear"/>
            <w:vAlign w:val="center"/>
          </w:tcPr>
          <w:p>
            <w:pPr>
              <w:pStyle w:val="TableContents"/>
              <w:bidi w:val="0"/>
              <w:spacing w:before="0" w:after="283"/>
              <w:jc w:val="right"/>
              <w:rPr/>
            </w:pPr>
            <w:r>
              <w:rPr/>
              <w:t>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w:t>
            </w:r>
            <w:bookmarkStart w:id="529" w:name="xdx_989_eus-gaap--LiabilitiesFairValueDi"/>
            <w:bookmarkEnd w:id="529"/>
          </w:p>
        </w:tc>
        <w:tc>
          <w:tcPr>
            <w:tcW w:w="3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bookmarkStart w:id="530" w:name="xdx_98D_eus-gaap--LiabilitiesFairValueDi"/>
            <w:bookmarkEnd w:id="530"/>
          </w:p>
        </w:tc>
        <w:tc>
          <w:tcPr>
            <w:tcW w:w="585" w:type="dxa"/>
            <w:tcBorders/>
            <w:shd w:fill="FFFFFF" w:val="clear"/>
            <w:vAlign w:val="center"/>
          </w:tcPr>
          <w:p>
            <w:pPr>
              <w:pStyle w:val="TableContents"/>
              <w:bidi w:val="0"/>
              <w:spacing w:before="0" w:after="283"/>
              <w:jc w:val="right"/>
              <w:rPr/>
            </w:pPr>
            <w:r>
              <w:rPr/>
              <w:t>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w:t>
            </w:r>
            <w:bookmarkStart w:id="531" w:name="xdx_98F_eus-gaap--LiabilitiesFairValueDi"/>
            <w:bookmarkEnd w:id="531"/>
          </w:p>
        </w:tc>
        <w:tc>
          <w:tcPr>
            <w:tcW w:w="32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Warrant liability- June Public Offering</w:t>
            </w:r>
          </w:p>
        </w:tc>
        <w:tc>
          <w:tcPr>
            <w:tcW w:w="60" w:type="dxa"/>
            <w:tcBorders/>
            <w:shd w:fill="CCEEFF" w:val="clear"/>
            <w:vAlign w:val="center"/>
          </w:tcPr>
          <w:p>
            <w:pPr>
              <w:pStyle w:val="TableContents"/>
              <w:bidi w:val="0"/>
              <w:spacing w:before="0" w:after="283"/>
              <w:jc w:val="left"/>
              <w:rPr/>
            </w:pPr>
            <w:r>
              <w:rPr/>
              <w:t> </w:t>
            </w:r>
          </w:p>
        </w:tc>
        <w:tc>
          <w:tcPr>
            <w:tcW w:w="3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2" w:name="xdx_984_eus-gaap--DerivativeLiabilitiesN"/>
            <w:bookmarkEnd w:id="532"/>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3" w:name="xdx_98D_eus-gaap--LiabilitiesFairValueDi"/>
            <w:bookmarkEnd w:id="533"/>
          </w:p>
        </w:tc>
        <w:tc>
          <w:tcPr>
            <w:tcW w:w="661" w:type="dxa"/>
            <w:tcBorders>
              <w:bottom w:val="single" w:sz="8" w:space="0" w:color="000000"/>
            </w:tcBorders>
            <w:shd w:fill="CCEEFF" w:val="clear"/>
            <w:tcMar>
              <w:bottom w:w="28" w:type="dxa"/>
            </w:tcMar>
            <w:vAlign w:val="center"/>
          </w:tcPr>
          <w:p>
            <w:pPr>
              <w:pStyle w:val="TableContents"/>
              <w:bidi w:val="0"/>
              <w:spacing w:before="0" w:after="283"/>
              <w:jc w:val="right"/>
              <w:rPr/>
            </w:pPr>
            <w:r>
              <w:rPr/>
              <w:t>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4" w:name="xdx_980_eus-gaap--LiabilitiesFairValueDi"/>
            <w:bookmarkEnd w:id="534"/>
          </w:p>
        </w:tc>
        <w:tc>
          <w:tcPr>
            <w:tcW w:w="32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5" w:name="xdx_98F_eus-gaap--LiabilitiesFairValueDi"/>
            <w:bookmarkEnd w:id="535"/>
          </w:p>
        </w:tc>
        <w:tc>
          <w:tcPr>
            <w:tcW w:w="585" w:type="dxa"/>
            <w:tcBorders>
              <w:bottom w:val="single" w:sz="8" w:space="0" w:color="000000"/>
            </w:tcBorders>
            <w:shd w:fill="CCEEFF" w:val="clear"/>
            <w:tcMar>
              <w:bottom w:w="28" w:type="dxa"/>
            </w:tcMar>
            <w:vAlign w:val="center"/>
          </w:tcPr>
          <w:p>
            <w:pPr>
              <w:pStyle w:val="TableContents"/>
              <w:bidi w:val="0"/>
              <w:spacing w:before="0" w:after="283"/>
              <w:jc w:val="right"/>
              <w:rPr/>
            </w:pPr>
            <w:r>
              <w:rPr/>
              <w:t>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6" w:name="xdx_98A_eus-gaap--LiabilitiesFairValueDi"/>
            <w:bookmarkEnd w:id="536"/>
          </w:p>
        </w:tc>
        <w:tc>
          <w:tcPr>
            <w:tcW w:w="32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37" w:name="xdx_98B_eus-gaap--DerivativeLiabilitiesN"/>
            <w:bookmarkEnd w:id="537"/>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pPr>
            <w:r>
              <w:rPr/>
              <w:t>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38" w:name="xdx_98A_eus-gaap--LiabilitiesFairValueDi"/>
            <w:bookmarkEnd w:id="538"/>
          </w:p>
        </w:tc>
        <w:tc>
          <w:tcPr>
            <w:tcW w:w="661" w:type="dxa"/>
            <w:tcBorders>
              <w:bottom w:val="double" w:sz="6" w:space="0" w:color="000000"/>
            </w:tcBorders>
            <w:shd w:fill="FFFFFF" w:val="clear"/>
            <w:tcMar>
              <w:bottom w:w="28" w:type="dxa"/>
            </w:tcMar>
            <w:vAlign w:val="center"/>
          </w:tcPr>
          <w:p>
            <w:pPr>
              <w:pStyle w:val="TableContents"/>
              <w:bidi w:val="0"/>
              <w:spacing w:before="0" w:after="283"/>
              <w:jc w:val="right"/>
              <w:rPr/>
            </w:pPr>
            <w:r>
              <w:rPr/>
              <w:t>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39" w:name="xdx_98D_eus-gaap--LiabilitiesFairValueDi"/>
            <w:bookmarkEnd w:id="539"/>
          </w:p>
        </w:tc>
        <w:tc>
          <w:tcPr>
            <w:tcW w:w="32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40" w:name="xdx_988_eus-gaap--LiabilitiesFairValueDi"/>
            <w:bookmarkEnd w:id="540"/>
          </w:p>
        </w:tc>
        <w:tc>
          <w:tcPr>
            <w:tcW w:w="585" w:type="dxa"/>
            <w:tcBorders>
              <w:bottom w:val="double" w:sz="6" w:space="0" w:color="000000"/>
            </w:tcBorders>
            <w:shd w:fill="FFFFFF" w:val="clear"/>
            <w:tcMar>
              <w:bottom w:w="28" w:type="dxa"/>
            </w:tcMar>
            <w:vAlign w:val="center"/>
          </w:tcPr>
          <w:p>
            <w:pPr>
              <w:pStyle w:val="TableContents"/>
              <w:bidi w:val="0"/>
              <w:spacing w:before="0" w:after="283"/>
              <w:jc w:val="right"/>
              <w:rPr/>
            </w:pPr>
            <w:r>
              <w:rPr/>
              <w:t>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41" w:name="xdx_98E_eus-gaap--LiabilitiesFairValueDi"/>
            <w:bookmarkEnd w:id="541"/>
          </w:p>
        </w:tc>
        <w:tc>
          <w:tcPr>
            <w:tcW w:w="32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December 31, 2024:</w:t>
      </w:r>
    </w:p>
    <w:p>
      <w:pPr>
        <w:pStyle w:val="TextBody"/>
        <w:bidi w:val="0"/>
        <w:spacing w:before="0" w:after="0"/>
        <w:ind w:left="0" w:right="0" w:hanging="0"/>
        <w:jc w:val="left"/>
        <w:rPr>
          <w:caps w:val="false"/>
          <w:smallCaps w:val="false"/>
        </w:rPr>
      </w:pPr>
      <w:r>
        <w:rPr>
          <w:caps w:val="false"/>
          <w:smallCaps w:val="false"/>
        </w:rPr>
        <w:t> </w:t>
      </w:r>
    </w:p>
    <w:tbl>
      <w:tblPr>
        <w:tblW w:w="9673" w:type="dxa"/>
        <w:jc w:val="left"/>
        <w:tblInd w:w="0" w:type="dxa"/>
        <w:tblLayout w:type="fixed"/>
        <w:tblCellMar>
          <w:top w:w="0" w:type="dxa"/>
          <w:left w:w="0" w:type="dxa"/>
          <w:bottom w:w="0" w:type="dxa"/>
          <w:right w:w="0" w:type="dxa"/>
        </w:tblCellMar>
      </w:tblPr>
      <w:tblGrid>
        <w:gridCol w:w="3665"/>
        <w:gridCol w:w="60"/>
        <w:gridCol w:w="340"/>
        <w:gridCol w:w="1360"/>
        <w:gridCol w:w="60"/>
        <w:gridCol w:w="60"/>
        <w:gridCol w:w="205"/>
        <w:gridCol w:w="820"/>
        <w:gridCol w:w="60"/>
        <w:gridCol w:w="60"/>
        <w:gridCol w:w="529"/>
        <w:gridCol w:w="360"/>
        <w:gridCol w:w="60"/>
        <w:gridCol w:w="60"/>
        <w:gridCol w:w="178"/>
        <w:gridCol w:w="712"/>
        <w:gridCol w:w="60"/>
        <w:gridCol w:w="60"/>
        <w:gridCol w:w="529"/>
        <w:gridCol w:w="360"/>
        <w:gridCol w:w="7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center"/>
              <w:rPr/>
            </w:pPr>
            <w:r>
              <w:rPr/>
              <w:t>Carrying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both"/>
              <w:rPr/>
            </w:pPr>
            <w:r>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pPr>
            <w:r>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pPr>
            <w:r>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pPr>
            <w:r>
              <w:rPr/>
              <w:t>(Level 3)</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3" w:type="dxa"/>
            <w:gridSpan w:val="18"/>
            <w:tcBorders>
              <w:bottom w:val="single" w:sz="8" w:space="0" w:color="000000"/>
            </w:tcBorders>
            <w:tcMar>
              <w:bottom w:w="28" w:type="dxa"/>
            </w:tcMar>
            <w:vAlign w:val="center"/>
          </w:tcPr>
          <w:p>
            <w:pPr>
              <w:pStyle w:val="TableContents"/>
              <w:bidi w:val="0"/>
              <w:spacing w:before="0" w:after="283"/>
              <w:jc w:val="center"/>
              <w:rPr/>
            </w:pPr>
            <w:r>
              <w:rPr/>
              <w:t>As of December 31, 2024</w:t>
            </w:r>
          </w:p>
        </w:tc>
        <w:tc>
          <w:tcPr>
            <w:tcW w:w="7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u w:val="single"/>
              </w:rPr>
            </w:pPr>
            <w:r>
              <w:rPr>
                <w:u w:val="single"/>
              </w:rPr>
              <w:t>Liabilities</w:t>
            </w:r>
          </w:p>
        </w:tc>
        <w:tc>
          <w:tcPr>
            <w:tcW w:w="6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Warrant liability- Term Loan</w:t>
            </w:r>
          </w:p>
        </w:tc>
        <w:tc>
          <w:tcPr>
            <w:tcW w:w="60"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w:t>
            </w:r>
            <w:bookmarkStart w:id="542" w:name="xdx_985_eus-gaap--DerivativeLiabilitiesN"/>
            <w:bookmarkEnd w:id="542"/>
          </w:p>
        </w:tc>
        <w:tc>
          <w:tcPr>
            <w:tcW w:w="1360" w:type="dxa"/>
            <w:tcBorders/>
            <w:shd w:fill="FFFFFF" w:val="clear"/>
            <w:vAlign w:val="center"/>
          </w:tcPr>
          <w:p>
            <w:pPr>
              <w:pStyle w:val="TableContents"/>
              <w:bidi w:val="0"/>
              <w:spacing w:before="0" w:after="283"/>
              <w:jc w:val="right"/>
              <w:rPr/>
            </w:pPr>
            <w:r>
              <w:rPr/>
              <w:t>3,883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w:t>
            </w:r>
            <w:bookmarkStart w:id="543" w:name="xdx_985_eus-gaap--LiabilitiesFairValueDi"/>
            <w:bookmarkEnd w:id="543"/>
          </w:p>
        </w:tc>
        <w:tc>
          <w:tcPr>
            <w:tcW w:w="820" w:type="dxa"/>
            <w:tcBorders/>
            <w:shd w:fill="FFFFFF" w:val="clear"/>
            <w:vAlign w:val="center"/>
          </w:tcPr>
          <w:p>
            <w:pPr>
              <w:pStyle w:val="TableContents"/>
              <w:bidi w:val="0"/>
              <w:spacing w:before="0" w:after="283"/>
              <w:jc w:val="right"/>
              <w:rPr/>
            </w:pPr>
            <w:r>
              <w:rPr/>
              <w:t>3,883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w:t>
            </w:r>
            <w:bookmarkStart w:id="544" w:name="xdx_98B_eus-gaap--LiabilitiesFairValueDi"/>
            <w:bookmarkEnd w:id="544"/>
          </w:p>
        </w:tc>
        <w:tc>
          <w:tcPr>
            <w:tcW w:w="3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bookmarkStart w:id="545" w:name="xdx_98D_eus-gaap--LiabilitiesFairValueDi"/>
            <w:bookmarkEnd w:id="545"/>
          </w:p>
        </w:tc>
        <w:tc>
          <w:tcPr>
            <w:tcW w:w="712" w:type="dxa"/>
            <w:tcBorders/>
            <w:shd w:fill="FFFFFF" w:val="clear"/>
            <w:vAlign w:val="center"/>
          </w:tcPr>
          <w:p>
            <w:pPr>
              <w:pStyle w:val="TableContents"/>
              <w:bidi w:val="0"/>
              <w:spacing w:before="0" w:after="283"/>
              <w:jc w:val="right"/>
              <w:rPr/>
            </w:pPr>
            <w:r>
              <w:rPr/>
              <w:t>3,883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w:t>
            </w:r>
            <w:bookmarkStart w:id="546" w:name="xdx_98F_eus-gaap--LiabilitiesFairValueDi"/>
            <w:bookmarkEnd w:id="546"/>
          </w:p>
        </w:tc>
        <w:tc>
          <w:tcPr>
            <w:tcW w:w="3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Warrant liability- June Public Offering</w:t>
            </w:r>
          </w:p>
        </w:tc>
        <w:tc>
          <w:tcPr>
            <w:tcW w:w="60" w:type="dxa"/>
            <w:tcBorders/>
            <w:shd w:fill="CCEEFF" w:val="clear"/>
            <w:vAlign w:val="center"/>
          </w:tcPr>
          <w:p>
            <w:pPr>
              <w:pStyle w:val="TableContents"/>
              <w:bidi w:val="0"/>
              <w:spacing w:before="0" w:after="283"/>
              <w:jc w:val="left"/>
              <w:rPr/>
            </w:pPr>
            <w:r>
              <w:rPr/>
              <w:t> </w:t>
            </w:r>
          </w:p>
        </w:tc>
        <w:tc>
          <w:tcPr>
            <w:tcW w:w="3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47" w:name="xdx_985_eus-gaap--DerivativeLiabilitiesN"/>
            <w:bookmarkEnd w:id="547"/>
          </w:p>
        </w:tc>
        <w:tc>
          <w:tcPr>
            <w:tcW w:w="1360" w:type="dxa"/>
            <w:tcBorders>
              <w:bottom w:val="single" w:sz="8" w:space="0" w:color="000000"/>
            </w:tcBorders>
            <w:shd w:fill="CCEEFF" w:val="clear"/>
            <w:tcMar>
              <w:bottom w:w="28" w:type="dxa"/>
            </w:tcMar>
            <w:vAlign w:val="center"/>
          </w:tcPr>
          <w:p>
            <w:pPr>
              <w:pStyle w:val="TableContents"/>
              <w:bidi w:val="0"/>
              <w:spacing w:before="0" w:after="283"/>
              <w:jc w:val="right"/>
              <w:rPr/>
            </w:pPr>
            <w:r>
              <w:rPr/>
              <w:t>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48" w:name="xdx_98B_eus-gaap--LiabilitiesFairValueDi"/>
            <w:bookmarkEnd w:id="548"/>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49" w:name="xdx_987_eus-gaap--LiabilitiesFairValueDi"/>
            <w:bookmarkEnd w:id="549"/>
          </w:p>
        </w:tc>
        <w:tc>
          <w:tcPr>
            <w:tcW w:w="3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50" w:name="xdx_986_eus-gaap--LiabilitiesFairValueDi"/>
            <w:bookmarkEnd w:id="550"/>
          </w:p>
        </w:tc>
        <w:tc>
          <w:tcPr>
            <w:tcW w:w="712" w:type="dxa"/>
            <w:tcBorders>
              <w:bottom w:val="single" w:sz="8" w:space="0" w:color="000000"/>
            </w:tcBorders>
            <w:shd w:fill="CCEEFF" w:val="clear"/>
            <w:tcMar>
              <w:bottom w:w="28" w:type="dxa"/>
            </w:tcMar>
            <w:vAlign w:val="center"/>
          </w:tcPr>
          <w:p>
            <w:pPr>
              <w:pStyle w:val="TableContents"/>
              <w:bidi w:val="0"/>
              <w:spacing w:before="0" w:after="283"/>
              <w:jc w:val="right"/>
              <w:rPr/>
            </w:pPr>
            <w:r>
              <w:rPr/>
              <w:t>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51" w:name="xdx_98A_eus-gaap--LiabilitiesFairValueDi"/>
            <w:bookmarkEnd w:id="551"/>
          </w:p>
        </w:tc>
        <w:tc>
          <w:tcPr>
            <w:tcW w:w="3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52" w:name="xdx_98B_eus-gaap--DerivativeLiabilitiesN"/>
            <w:bookmarkEnd w:id="552"/>
          </w:p>
        </w:tc>
        <w:tc>
          <w:tcPr>
            <w:tcW w:w="1360" w:type="dxa"/>
            <w:tcBorders>
              <w:bottom w:val="double" w:sz="6" w:space="0" w:color="000000"/>
            </w:tcBorders>
            <w:shd w:fill="FFFFFF" w:val="clear"/>
            <w:tcMar>
              <w:bottom w:w="28" w:type="dxa"/>
            </w:tcMar>
            <w:vAlign w:val="center"/>
          </w:tcPr>
          <w:p>
            <w:pPr>
              <w:pStyle w:val="TableContents"/>
              <w:bidi w:val="0"/>
              <w:spacing w:before="0" w:after="283"/>
              <w:jc w:val="right"/>
              <w:rPr/>
            </w:pPr>
            <w:r>
              <w:rPr/>
              <w:t>5,133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53" w:name="xdx_988_eus-gaap--LiabilitiesFairValueDi"/>
            <w:bookmarkEnd w:id="553"/>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pPr>
            <w:r>
              <w:rPr/>
              <w:t>5,133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54" w:name="xdx_98C_eus-gaap--LiabilitiesFairValueDi"/>
            <w:bookmarkEnd w:id="554"/>
          </w:p>
        </w:tc>
        <w:tc>
          <w:tcPr>
            <w:tcW w:w="36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55" w:name="xdx_987_eus-gaap--LiabilitiesFairValueDi"/>
            <w:bookmarkEnd w:id="555"/>
          </w:p>
        </w:tc>
        <w:tc>
          <w:tcPr>
            <w:tcW w:w="712" w:type="dxa"/>
            <w:tcBorders>
              <w:bottom w:val="double" w:sz="6" w:space="0" w:color="000000"/>
            </w:tcBorders>
            <w:shd w:fill="FFFFFF" w:val="clear"/>
            <w:tcMar>
              <w:bottom w:w="28" w:type="dxa"/>
            </w:tcMar>
            <w:vAlign w:val="center"/>
          </w:tcPr>
          <w:p>
            <w:pPr>
              <w:pStyle w:val="TableContents"/>
              <w:bidi w:val="0"/>
              <w:spacing w:before="0" w:after="283"/>
              <w:jc w:val="right"/>
              <w:rPr/>
            </w:pPr>
            <w:r>
              <w:rPr/>
              <w:t>5,133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56" w:name="xdx_98C_eus-gaap--LiabilitiesFairValueDi"/>
            <w:bookmarkEnd w:id="556"/>
          </w:p>
        </w:tc>
        <w:tc>
          <w:tcPr>
            <w:tcW w:w="36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57" w:name="xdx_8AF_zxrlnRxshRr6"/>
      <w:bookmarkEnd w:id="55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Black Scholes calculation being utilized on all fair value measurement of warrant liabilities as of December 31, 2025 and 2024, the fair value warrant liabilities were transferred from Level 3 to Level 2 as of December 31, 2024. This is due to the observable inputs (such as the Company’s stock price and comparable company volatility calculations) included in the Black Scholes calculation, which makes the fair value measurement of the warrant liabilities more closely aligned with Level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accounts receivable and accounts payable are considered level 1 and approximate fair value as of December 31, 2025 and 2024 because of the relatively short maturity of these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term loan as of December 31, 2025 and 2024 approximates fair value as the interest rate does not differ significantly from the current market rates available to the Company for similar debt and is considered Level 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3 - Fair Value Measurements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loss on impairment of right-of-use assets recognized during the year ended December 31, 2025 and the loss on impairment of assets recognized during the year ended December 31, 2024 were measured at fair value on a nonrecurring basis and are classified within Level 3 of the fair value hierarchy, as they were based on unobservable inputs, as further described in </w:t>
      </w:r>
      <w:r>
        <w:rPr>
          <w:rFonts w:ascii="Times New Roman;Times;Serif" w:hAnsi="Times New Roman;Times;Serif"/>
          <w:b/>
          <w:i w:val="false"/>
          <w:caps w:val="false"/>
          <w:smallCaps w:val="false"/>
          <w:sz w:val="20"/>
        </w:rPr>
        <w:t>Note 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 Roll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categorized within Level 3 are sensitive to changes in assumptions or methodology used to determine fair value, and such changes could result in a significant increase or decrease in the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Level 3 activity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8" w:name="xdx_890_eus-gaap--FairValueLiabilitiesMe"/>
      <w:bookmarkEnd w:id="558"/>
      <w:r>
        <w:rPr>
          <w:rFonts w:ascii="Times New Roman;Times;Serif" w:hAnsi="Times New Roman;Times;Serif"/>
          <w:b w:val="false"/>
          <w:i w:val="false"/>
          <w:caps w:val="false"/>
          <w:smallCaps w:val="false"/>
          <w:sz w:val="20"/>
        </w:rPr>
        <w:t>The changes for Level 3 items measured at fair value on recurring basis using significant unobservable inputs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9" w:name="xdx_8B9_zO9xZ0WInLV2"/>
      <w:bookmarkEnd w:id="559"/>
      <w:r>
        <w:rPr>
          <w:rFonts w:ascii="Times New Roman;Times;Serif" w:hAnsi="Times New Roman;Times;Serif"/>
          <w:b w:val="false"/>
          <w:i w:val="false"/>
          <w:caps w:val="false"/>
          <w:smallCaps w:val="false"/>
          <w:sz w:val="20"/>
        </w:rPr>
        <w:t>SCHEDULE OF FAIR VALUE ON RECURRING BASIS USING SIGNIFICANT UNOBSERVABLE INPUTS</w:t>
      </w:r>
    </w:p>
    <w:tbl>
      <w:tblPr>
        <w:tblW w:w="9743" w:type="dxa"/>
        <w:jc w:val="left"/>
        <w:tblInd w:w="0" w:type="dxa"/>
        <w:tblLayout w:type="fixed"/>
        <w:tblCellMar>
          <w:top w:w="0" w:type="dxa"/>
          <w:left w:w="0" w:type="dxa"/>
          <w:bottom w:w="0" w:type="dxa"/>
          <w:right w:w="0" w:type="dxa"/>
        </w:tblCellMar>
      </w:tblPr>
      <w:tblGrid>
        <w:gridCol w:w="3995"/>
        <w:gridCol w:w="60"/>
        <w:gridCol w:w="320"/>
        <w:gridCol w:w="1454"/>
        <w:gridCol w:w="95"/>
        <w:gridCol w:w="60"/>
        <w:gridCol w:w="655"/>
        <w:gridCol w:w="2994"/>
        <w:gridCol w:w="110"/>
      </w:tblGrid>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0" w:name="xdx_497_20250101__20251231__us-gaap--Fin"/>
            <w:bookmarkEnd w:id="560"/>
          </w:p>
        </w:tc>
        <w:tc>
          <w:tcPr>
            <w:tcW w:w="1774" w:type="dxa"/>
            <w:gridSpan w:val="2"/>
            <w:tcBorders>
              <w:bottom w:val="single" w:sz="8" w:space="0" w:color="000000"/>
            </w:tcBorders>
            <w:tcMar>
              <w:bottom w:w="28" w:type="dxa"/>
            </w:tcMar>
            <w:vAlign w:val="center"/>
          </w:tcPr>
          <w:p>
            <w:pPr>
              <w:pStyle w:val="TableContents"/>
              <w:bidi w:val="0"/>
              <w:jc w:val="center"/>
              <w:rPr/>
            </w:pPr>
            <w:r>
              <w:rPr/>
              <w:t>Warrant Liability -</w:t>
            </w:r>
          </w:p>
          <w:p>
            <w:pPr>
              <w:pStyle w:val="TableContents"/>
              <w:bidi w:val="0"/>
              <w:spacing w:before="0" w:after="283"/>
              <w:jc w:val="center"/>
              <w:rPr/>
            </w:pPr>
            <w:r>
              <w:rPr/>
              <w:t>Term Loan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1" w:name="xdx_492_20250101__20251231__us-gaap--Fin"/>
            <w:bookmarkEnd w:id="561"/>
          </w:p>
        </w:tc>
        <w:tc>
          <w:tcPr>
            <w:tcW w:w="3649" w:type="dxa"/>
            <w:gridSpan w:val="2"/>
            <w:tcBorders>
              <w:bottom w:val="single" w:sz="8" w:space="0" w:color="000000"/>
            </w:tcBorders>
            <w:tcMar>
              <w:bottom w:w="28" w:type="dxa"/>
            </w:tcMar>
            <w:vAlign w:val="center"/>
          </w:tcPr>
          <w:p>
            <w:pPr>
              <w:pStyle w:val="TableContents"/>
              <w:bidi w:val="0"/>
              <w:spacing w:before="0" w:after="283"/>
              <w:jc w:val="center"/>
              <w:rPr/>
            </w:pPr>
            <w:r>
              <w:rPr/>
              <w:t>Warrant liability- June Public Offering</w:t>
            </w:r>
          </w:p>
        </w:tc>
        <w:tc>
          <w:tcPr>
            <w:tcW w:w="110" w:type="dxa"/>
            <w:tcBorders/>
            <w:vAlign w:val="center"/>
          </w:tcPr>
          <w:p>
            <w:pPr>
              <w:pStyle w:val="TableContents"/>
              <w:bidi w:val="0"/>
              <w:spacing w:before="0" w:after="283"/>
              <w:jc w:val="left"/>
              <w:rPr/>
            </w:pPr>
            <w:r>
              <w:rPr/>
              <w:t> </w:t>
            </w:r>
            <w:bookmarkStart w:id="562" w:name="xdx_403_eus-gaap--FairValueMeasurementWi"/>
            <w:bookmarkEnd w:id="562"/>
          </w:p>
        </w:tc>
      </w:tr>
      <w:tr>
        <w:trPr/>
        <w:tc>
          <w:tcPr>
            <w:tcW w:w="3995" w:type="dxa"/>
            <w:tcBorders/>
            <w:shd w:fill="CCEEFF" w:val="clear"/>
            <w:vAlign w:val="center"/>
          </w:tcPr>
          <w:p>
            <w:pPr>
              <w:pStyle w:val="TableContents"/>
              <w:bidi w:val="0"/>
              <w:spacing w:before="0" w:after="283"/>
              <w:jc w:val="left"/>
              <w:rPr>
                <w:b/>
              </w:rPr>
            </w:pPr>
            <w:r>
              <w:rPr>
                <w:b/>
              </w:rPr>
              <w:t>Fair value as of January 1, 2024</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454" w:type="dxa"/>
            <w:tcBorders/>
            <w:shd w:fill="CCEEFF" w:val="clear"/>
            <w:vAlign w:val="center"/>
          </w:tcPr>
          <w:p>
            <w:pPr>
              <w:pStyle w:val="TableContents"/>
              <w:bidi w:val="0"/>
              <w:spacing w:before="0" w:after="283"/>
              <w:jc w:val="right"/>
              <w:rPr/>
            </w:pPr>
            <w:r>
              <w:rPr/>
              <w:t>1,014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left"/>
              <w:rPr/>
            </w:pPr>
            <w:r>
              <w:rPr/>
              <w:t>$</w:t>
            </w:r>
          </w:p>
        </w:tc>
        <w:tc>
          <w:tcPr>
            <w:tcW w:w="2994" w:type="dxa"/>
            <w:tcBorders/>
            <w:shd w:fill="CCEEFF" w:val="clear"/>
            <w:vAlign w:val="center"/>
          </w:tcPr>
          <w:p>
            <w:pPr>
              <w:pStyle w:val="TableContents"/>
              <w:bidi w:val="0"/>
              <w:spacing w:before="0" w:after="283"/>
              <w:jc w:val="right"/>
              <w:rPr/>
            </w:pPr>
            <w:r>
              <w:rPr/>
              <w:t>3,434</w:t>
            </w:r>
          </w:p>
        </w:tc>
        <w:tc>
          <w:tcPr>
            <w:tcW w:w="110" w:type="dxa"/>
            <w:tcBorders/>
            <w:shd w:fill="CCEEFF" w:val="clear"/>
            <w:vAlign w:val="center"/>
          </w:tcPr>
          <w:p>
            <w:pPr>
              <w:pStyle w:val="TableContents"/>
              <w:bidi w:val="0"/>
              <w:spacing w:before="0" w:after="283"/>
              <w:jc w:val="left"/>
              <w:rPr/>
            </w:pPr>
            <w:r>
              <w:rPr/>
              <w:t> </w:t>
            </w:r>
            <w:bookmarkStart w:id="563" w:name="xdx_403_eus-gaap--FairValueMeasurementWi"/>
            <w:bookmarkEnd w:id="563"/>
          </w:p>
        </w:tc>
      </w:tr>
      <w:tr>
        <w:trPr/>
        <w:tc>
          <w:tcPr>
            <w:tcW w:w="3995" w:type="dxa"/>
            <w:tcBorders/>
            <w:shd w:fill="FFFFFF" w:val="clear"/>
            <w:vAlign w:val="center"/>
          </w:tcPr>
          <w:p>
            <w:pPr>
              <w:pStyle w:val="TableContents"/>
              <w:bidi w:val="0"/>
              <w:spacing w:before="0" w:after="283"/>
              <w:jc w:val="left"/>
              <w:rPr/>
            </w:pPr>
            <w:r>
              <w:rPr/>
              <w:t>Warrants Issued</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54" w:type="dxa"/>
            <w:tcBorders/>
            <w:shd w:fill="FFFFFF" w:val="clear"/>
            <w:vAlign w:val="center"/>
          </w:tcPr>
          <w:p>
            <w:pPr>
              <w:pStyle w:val="TableContents"/>
              <w:bidi w:val="0"/>
              <w:spacing w:before="0" w:after="283"/>
              <w:jc w:val="right"/>
              <w:rPr/>
            </w:pPr>
            <w:r>
              <w:rPr/>
              <w:t>7,353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left"/>
              <w:rPr/>
            </w:pPr>
            <w:r>
              <w:rPr/>
              <w:t> </w:t>
            </w:r>
          </w:p>
        </w:tc>
        <w:tc>
          <w:tcPr>
            <w:tcW w:w="29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64" w:name="xdx_407_eus-gaap--FairValueMeasurementWi"/>
            <w:bookmarkEnd w:id="564"/>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gain included in net loss</w:t>
            </w:r>
            <w:bookmarkStart w:id="565" w:name="xdx_F48_z5Wl1eIdCVS5"/>
            <w:bookmarkEnd w:id="565"/>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(4,484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left"/>
              <w:rPr/>
            </w:pPr>
            <w:r>
              <w:rPr/>
              <w:t> </w:t>
            </w:r>
          </w:p>
        </w:tc>
        <w:tc>
          <w:tcPr>
            <w:tcW w:w="2994" w:type="dxa"/>
            <w:tcBorders/>
            <w:shd w:fill="CCEEFF" w:val="clear"/>
            <w:vAlign w:val="center"/>
          </w:tcPr>
          <w:p>
            <w:pPr>
              <w:pStyle w:val="TableContents"/>
              <w:bidi w:val="0"/>
              <w:spacing w:before="0" w:after="283"/>
              <w:jc w:val="right"/>
              <w:rPr/>
            </w:pPr>
            <w:r>
              <w:rPr/>
              <w:t>(2,184</w:t>
            </w:r>
          </w:p>
        </w:tc>
        <w:tc>
          <w:tcPr>
            <w:tcW w:w="110" w:type="dxa"/>
            <w:tcBorders/>
            <w:shd w:fill="CCEEFF" w:val="clear"/>
            <w:vAlign w:val="center"/>
          </w:tcPr>
          <w:p>
            <w:pPr>
              <w:pStyle w:val="TableContents"/>
              <w:bidi w:val="0"/>
              <w:spacing w:before="0" w:after="283"/>
              <w:jc w:val="left"/>
              <w:rPr/>
            </w:pPr>
            <w:r>
              <w:rPr/>
              <w:t>)</w:t>
            </w:r>
            <w:bookmarkStart w:id="566" w:name="xdx_405_eus-gaap--FairValueMeasurementWi"/>
            <w:bookmarkEnd w:id="566"/>
          </w:p>
        </w:tc>
      </w:tr>
      <w:tr>
        <w:trPr/>
        <w:tc>
          <w:tcPr>
            <w:tcW w:w="39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Transfers from Level 3 to Level 2</w:t>
            </w:r>
            <w:bookmarkStart w:id="567" w:name="xdx_F41_zUeD9Msm2dkj"/>
            <w:bookmarkEnd w:id="567"/>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4" w:type="dxa"/>
            <w:tcBorders>
              <w:bottom w:val="single" w:sz="8" w:space="0" w:color="000000"/>
            </w:tcBorders>
            <w:shd w:fill="FFFFFF" w:val="clear"/>
            <w:tcMar>
              <w:bottom w:w="28" w:type="dxa"/>
            </w:tcMar>
            <w:vAlign w:val="center"/>
          </w:tcPr>
          <w:p>
            <w:pPr>
              <w:pStyle w:val="TableContents"/>
              <w:bidi w:val="0"/>
              <w:spacing w:before="0" w:after="283"/>
              <w:jc w:val="right"/>
              <w:rPr/>
            </w:pPr>
            <w:r>
              <w:rPr/>
              <w:t>(3,883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994" w:type="dxa"/>
            <w:tcBorders>
              <w:bottom w:val="single" w:sz="8" w:space="0" w:color="000000"/>
            </w:tcBorders>
            <w:shd w:fill="FFFFFF" w:val="clear"/>
            <w:tcMar>
              <w:bottom w:w="28" w:type="dxa"/>
            </w:tcMar>
            <w:vAlign w:val="center"/>
          </w:tcPr>
          <w:p>
            <w:pPr>
              <w:pStyle w:val="TableContents"/>
              <w:bidi w:val="0"/>
              <w:spacing w:before="0" w:after="283"/>
              <w:jc w:val="right"/>
              <w:rPr/>
            </w:pPr>
            <w:r>
              <w:rPr/>
              <w:t>(1,250</w:t>
            </w:r>
          </w:p>
        </w:tc>
        <w:tc>
          <w:tcPr>
            <w:tcW w:w="110" w:type="dxa"/>
            <w:tcBorders/>
            <w:shd w:fill="FFFFFF" w:val="clear"/>
            <w:vAlign w:val="center"/>
          </w:tcPr>
          <w:p>
            <w:pPr>
              <w:pStyle w:val="TableContents"/>
              <w:bidi w:val="0"/>
              <w:spacing w:before="0" w:after="283"/>
              <w:jc w:val="left"/>
              <w:rPr/>
            </w:pPr>
            <w:r>
              <w:rPr/>
              <w:t>)</w:t>
            </w:r>
            <w:bookmarkStart w:id="568" w:name="xdx_400_eus-gaap--FairValueMeasurementWi"/>
            <w:bookmarkEnd w:id="568"/>
          </w:p>
        </w:tc>
      </w:tr>
      <w:tr>
        <w:trPr/>
        <w:tc>
          <w:tcPr>
            <w:tcW w:w="3995" w:type="dxa"/>
            <w:tcBorders/>
            <w:shd w:fill="CCEEFF" w:val="clear"/>
            <w:vAlign w:val="center"/>
          </w:tcPr>
          <w:p>
            <w:pPr>
              <w:pStyle w:val="TableContents"/>
              <w:bidi w:val="0"/>
              <w:spacing w:before="0" w:after="283"/>
              <w:jc w:val="left"/>
              <w:rPr>
                <w:b/>
              </w:rPr>
            </w:pPr>
            <w:r>
              <w:rPr>
                <w:b/>
              </w:rPr>
              <w:t>Fair value as of December 31, 2024</w:t>
            </w:r>
          </w:p>
        </w:tc>
        <w:tc>
          <w:tcPr>
            <w:tcW w:w="60" w:type="dxa"/>
            <w:tcBorders/>
            <w:shd w:fill="CCEEFF" w:val="clear"/>
            <w:vAlign w:val="center"/>
          </w:tcPr>
          <w:p>
            <w:pPr>
              <w:pStyle w:val="TableContents"/>
              <w:bidi w:val="0"/>
              <w:spacing w:before="0" w:after="283"/>
              <w:jc w:val="left"/>
              <w:rPr/>
            </w:pPr>
            <w:r>
              <w:rPr/>
              <w:t> </w:t>
            </w:r>
          </w:p>
        </w:tc>
        <w:tc>
          <w:tcPr>
            <w:tcW w:w="3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5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99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260"/>
        <w:gridCol w:w="935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569" w:name="xdx_F03_zZEIxMLIwUHa"/>
            <w:bookmarkEnd w:id="569"/>
            <w:r>
              <w:rPr>
                <w:rFonts w:ascii="Times New Roman;Times;Serif" w:hAnsi="Times New Roman;Times;Serif"/>
                <w:sz w:val="20"/>
              </w:rPr>
              <w:t>(1)</w:t>
            </w:r>
          </w:p>
        </w:tc>
        <w:tc>
          <w:tcPr>
            <w:tcW w:w="9350" w:type="dxa"/>
            <w:tcBorders/>
            <w:vAlign w:val="center"/>
          </w:tcPr>
          <w:p>
            <w:pPr>
              <w:pStyle w:val="TableContents"/>
              <w:bidi w:val="0"/>
              <w:spacing w:before="0" w:after="283"/>
              <w:jc w:val="both"/>
              <w:rPr>
                <w:rFonts w:ascii="Times New Roman;Times;Serif" w:hAnsi="Times New Roman;Times;Serif"/>
                <w:i/>
                <w:sz w:val="20"/>
              </w:rPr>
            </w:pPr>
            <w:bookmarkStart w:id="570" w:name="xdx_F1C_zw3ZOqNewpYi"/>
            <w:bookmarkEnd w:id="570"/>
            <w:r>
              <w:rPr>
                <w:rFonts w:ascii="Times New Roman;Times;Serif" w:hAnsi="Times New Roman;Times;Serif"/>
                <w:i/>
                <w:sz w:val="20"/>
              </w:rPr>
              <w:t>Changes in fair value of warrant liabilities are disclosed separately in the Consolidated Statements of Operations</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right"/>
              <w:rPr>
                <w:rFonts w:ascii="Times New Roman;Times;Serif" w:hAnsi="Times New Roman;Times;Serif"/>
                <w:sz w:val="20"/>
              </w:rPr>
            </w:pPr>
            <w:bookmarkStart w:id="571" w:name="xdx_F0E_z90bVdURE8Xe"/>
            <w:bookmarkEnd w:id="571"/>
            <w:r>
              <w:rPr>
                <w:rFonts w:ascii="Times New Roman;Times;Serif" w:hAnsi="Times New Roman;Times;Serif"/>
                <w:sz w:val="20"/>
              </w:rPr>
              <w:t>(2)</w:t>
            </w:r>
          </w:p>
        </w:tc>
        <w:tc>
          <w:tcPr>
            <w:tcW w:w="9985" w:type="dxa"/>
            <w:tcBorders/>
            <w:vAlign w:val="center"/>
          </w:tcPr>
          <w:p>
            <w:pPr>
              <w:pStyle w:val="TableContents"/>
              <w:bidi w:val="0"/>
              <w:spacing w:before="0" w:after="283"/>
              <w:jc w:val="both"/>
              <w:rPr>
                <w:rFonts w:ascii="Times New Roman;Times;Serif" w:hAnsi="Times New Roman;Times;Serif"/>
                <w:i/>
                <w:sz w:val="20"/>
              </w:rPr>
            </w:pPr>
            <w:bookmarkStart w:id="572" w:name="xdx_F18_zFJ0iy95XFA4"/>
            <w:bookmarkEnd w:id="572"/>
            <w:r>
              <w:rPr>
                <w:rFonts w:ascii="Times New Roman;Times;Serif" w:hAnsi="Times New Roman;Times;Serif"/>
                <w:i/>
                <w:sz w:val="20"/>
              </w:rPr>
              <w:t>Transfers of warrant liability fair market value reclassified from Level 3 to Level 2 due to utilizing Black Scholes calculation for fair value measurement across all warrant liabilities, which includes observable inputs (such as company stock price and comparable company volatility calculations) and more closely aligns with Level 2.</w:t>
            </w:r>
          </w:p>
        </w:tc>
      </w:tr>
    </w:tbl>
    <w:p>
      <w:pPr>
        <w:pStyle w:val="TextBody"/>
        <w:bidi w:val="0"/>
        <w:spacing w:before="0" w:after="0"/>
        <w:ind w:left="0" w:right="0" w:hanging="0"/>
        <w:jc w:val="both"/>
        <w:rPr>
          <w:caps w:val="false"/>
          <w:smallCaps w:val="false"/>
        </w:rPr>
      </w:pPr>
      <w:bookmarkStart w:id="573" w:name="xdx_8AC_zutOgHpxmCE5"/>
      <w:bookmarkEnd w:id="57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574" w:name="xdx_805_eus-gaap--InventoryDisclosureTex"/>
      <w:bookmarkEnd w:id="574"/>
      <w:r>
        <w:rPr>
          <w:rFonts w:ascii="Times New Roman;Times;Serif" w:hAnsi="Times New Roman;Times;Serif"/>
          <w:b/>
          <w:i w:val="false"/>
          <w:caps/>
          <w:sz w:val="20"/>
        </w:rPr>
        <w:t xml:space="preserve">Note 4 - </w:t>
      </w:r>
      <w:bookmarkStart w:id="575" w:name="xdx_827_zhx1yf8KKa92"/>
      <w:bookmarkEnd w:id="575"/>
      <w:r>
        <w:rPr>
          <w:rFonts w:ascii="Times New Roman;Times;Serif" w:hAnsi="Times New Roman;Times;Serif"/>
          <w:b/>
          <w:i w:val="false"/>
          <w:caps/>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76" w:name="xdx_892_eus-gaap--ScheduleOfInventoryCur"/>
      <w:bookmarkEnd w:id="576"/>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77" w:name="xdx_8BF_zHCyEZFFLd89"/>
      <w:bookmarkEnd w:id="577"/>
      <w:r>
        <w:rPr>
          <w:rFonts w:ascii="Times New Roman;Times;Serif" w:hAnsi="Times New Roman;Times;Serif"/>
          <w:b w:val="false"/>
          <w:i w:val="false"/>
          <w:caps w:val="false"/>
          <w:smallCaps w:val="false"/>
          <w:sz w:val="20"/>
        </w:rPr>
        <w:t>SCHEDULE OF INVENTORY</w:t>
      </w:r>
    </w:p>
    <w:tbl>
      <w:tblPr>
        <w:tblW w:w="5533" w:type="dxa"/>
        <w:jc w:val="left"/>
        <w:tblInd w:w="0" w:type="dxa"/>
        <w:tblLayout w:type="fixed"/>
        <w:tblCellMar>
          <w:top w:w="0" w:type="dxa"/>
          <w:left w:w="0" w:type="dxa"/>
          <w:bottom w:w="0" w:type="dxa"/>
          <w:right w:w="0" w:type="dxa"/>
        </w:tblCellMar>
      </w:tblPr>
      <w:tblGrid>
        <w:gridCol w:w="1490"/>
        <w:gridCol w:w="60"/>
        <w:gridCol w:w="321"/>
        <w:gridCol w:w="1573"/>
        <w:gridCol w:w="60"/>
        <w:gridCol w:w="60"/>
        <w:gridCol w:w="321"/>
        <w:gridCol w:w="1573"/>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8" w:name="xdx_49B_20251231_zps5vGDmtNvf"/>
            <w:bookmarkEnd w:id="578"/>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9" w:name="xdx_493_20241231_zLMsCxiMIdni"/>
            <w:bookmarkEnd w:id="579"/>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2024</w:t>
            </w:r>
          </w:p>
        </w:tc>
        <w:tc>
          <w:tcPr>
            <w:tcW w:w="75" w:type="dxa"/>
            <w:tcBorders/>
            <w:vAlign w:val="center"/>
          </w:tcPr>
          <w:p>
            <w:pPr>
              <w:pStyle w:val="TableContents"/>
              <w:bidi w:val="0"/>
              <w:spacing w:before="0" w:after="283"/>
              <w:jc w:val="left"/>
              <w:rPr/>
            </w:pPr>
            <w:r>
              <w:rPr/>
              <w:t> </w:t>
            </w:r>
            <w:bookmarkStart w:id="580" w:name="xdx_404_eus-gaap--InventoryRawMaterials_"/>
            <w:bookmarkEnd w:id="580"/>
          </w:p>
        </w:tc>
      </w:tr>
      <w:tr>
        <w:trPr/>
        <w:tc>
          <w:tcPr>
            <w:tcW w:w="1490" w:type="dxa"/>
            <w:tcBorders/>
            <w:shd w:fill="CCEEFF" w:val="clear"/>
            <w:vAlign w:val="center"/>
          </w:tcPr>
          <w:p>
            <w:pPr>
              <w:pStyle w:val="TableContents"/>
              <w:bidi w:val="0"/>
              <w:spacing w:before="0" w:after="283"/>
              <w:jc w:val="left"/>
              <w:rPr/>
            </w:pPr>
            <w:r>
              <w:rPr/>
              <w:t>Raw material</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1573" w:type="dxa"/>
            <w:tcBorders/>
            <w:shd w:fill="CCEEFF" w:val="clear"/>
            <w:vAlign w:val="center"/>
          </w:tcPr>
          <w:p>
            <w:pPr>
              <w:pStyle w:val="TableContents"/>
              <w:bidi w:val="0"/>
              <w:spacing w:before="0" w:after="283"/>
              <w:jc w:val="right"/>
              <w:rPr/>
            </w:pPr>
            <w:r>
              <w:rPr/>
              <w:t>20,933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1573" w:type="dxa"/>
            <w:tcBorders/>
            <w:shd w:fill="CCEEFF" w:val="clear"/>
            <w:vAlign w:val="center"/>
          </w:tcPr>
          <w:p>
            <w:pPr>
              <w:pStyle w:val="TableContents"/>
              <w:bidi w:val="0"/>
              <w:spacing w:before="0" w:after="283"/>
              <w:jc w:val="right"/>
              <w:rPr/>
            </w:pPr>
            <w:r>
              <w:rPr/>
              <w:t>18,776</w:t>
            </w:r>
          </w:p>
        </w:tc>
        <w:tc>
          <w:tcPr>
            <w:tcW w:w="75" w:type="dxa"/>
            <w:tcBorders/>
            <w:shd w:fill="CCEEFF" w:val="clear"/>
            <w:vAlign w:val="center"/>
          </w:tcPr>
          <w:p>
            <w:pPr>
              <w:pStyle w:val="TableContents"/>
              <w:bidi w:val="0"/>
              <w:spacing w:before="0" w:after="283"/>
              <w:jc w:val="left"/>
              <w:rPr/>
            </w:pPr>
            <w:r>
              <w:rPr/>
              <w:t> </w:t>
            </w:r>
            <w:bookmarkStart w:id="581" w:name="xdx_401_eus-gaap--InventoryFinishedGoods"/>
            <w:bookmarkEnd w:id="581"/>
          </w:p>
        </w:tc>
      </w:tr>
      <w:tr>
        <w:trPr/>
        <w:tc>
          <w:tcPr>
            <w:tcW w:w="149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3" w:type="dxa"/>
            <w:tcBorders>
              <w:bottom w:val="single" w:sz="8" w:space="0" w:color="000000"/>
            </w:tcBorders>
            <w:shd w:fill="FFFFFF" w:val="clear"/>
            <w:tcMar>
              <w:bottom w:w="28" w:type="dxa"/>
            </w:tcMar>
            <w:vAlign w:val="center"/>
          </w:tcPr>
          <w:p>
            <w:pPr>
              <w:pStyle w:val="TableContents"/>
              <w:bidi w:val="0"/>
              <w:spacing w:before="0" w:after="283"/>
              <w:jc w:val="right"/>
              <w:rPr/>
            </w:pPr>
            <w:r>
              <w:rPr/>
              <w:t>3,301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3" w:type="dxa"/>
            <w:tcBorders>
              <w:bottom w:val="single" w:sz="8" w:space="0" w:color="000000"/>
            </w:tcBorders>
            <w:shd w:fill="FFFFFF" w:val="clear"/>
            <w:tcMar>
              <w:bottom w:w="28" w:type="dxa"/>
            </w:tcMar>
            <w:vAlign w:val="center"/>
          </w:tcPr>
          <w:p>
            <w:pPr>
              <w:pStyle w:val="TableContents"/>
              <w:bidi w:val="0"/>
              <w:spacing w:before="0" w:after="283"/>
              <w:jc w:val="right"/>
              <w:rPr/>
            </w:pPr>
            <w:r>
              <w:rPr/>
              <w:t>2,940</w:t>
            </w:r>
          </w:p>
        </w:tc>
        <w:tc>
          <w:tcPr>
            <w:tcW w:w="75" w:type="dxa"/>
            <w:tcBorders/>
            <w:shd w:fill="FFFFFF" w:val="clear"/>
            <w:vAlign w:val="center"/>
          </w:tcPr>
          <w:p>
            <w:pPr>
              <w:pStyle w:val="TableContents"/>
              <w:bidi w:val="0"/>
              <w:spacing w:before="0" w:after="283"/>
              <w:jc w:val="left"/>
              <w:rPr/>
            </w:pPr>
            <w:r>
              <w:rPr/>
              <w:t> </w:t>
            </w:r>
            <w:bookmarkStart w:id="582" w:name="xdx_40B_eus-gaap--InventoryNet_iTI_pn3n3"/>
            <w:bookmarkEnd w:id="582"/>
          </w:p>
        </w:tc>
      </w:tr>
      <w:tr>
        <w:trPr/>
        <w:tc>
          <w:tcPr>
            <w:tcW w:w="1490" w:type="dxa"/>
            <w:tcBorders/>
            <w:shd w:fill="CCEEFF" w:val="clear"/>
            <w:vAlign w:val="center"/>
          </w:tcPr>
          <w:p>
            <w:pPr>
              <w:pStyle w:val="TableContents"/>
              <w:bidi w:val="0"/>
              <w:spacing w:before="0" w:after="283"/>
              <w:jc w:val="left"/>
              <w:rPr/>
            </w:pPr>
            <w:r>
              <w:rPr/>
              <w:t>Total inventory</w:t>
            </w:r>
          </w:p>
        </w:tc>
        <w:tc>
          <w:tcPr>
            <w:tcW w:w="60" w:type="dxa"/>
            <w:tcBorders/>
            <w:shd w:fill="CCEEFF" w:val="clear"/>
            <w:vAlign w:val="center"/>
          </w:tcPr>
          <w:p>
            <w:pPr>
              <w:pStyle w:val="TableContents"/>
              <w:bidi w:val="0"/>
              <w:spacing w:before="0" w:after="283"/>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73" w:type="dxa"/>
            <w:tcBorders>
              <w:bottom w:val="double" w:sz="6" w:space="0" w:color="000000"/>
            </w:tcBorders>
            <w:shd w:fill="CCEEFF" w:val="clear"/>
            <w:tcMar>
              <w:bottom w:w="28" w:type="dxa"/>
            </w:tcMar>
            <w:vAlign w:val="center"/>
          </w:tcPr>
          <w:p>
            <w:pPr>
              <w:pStyle w:val="TableContents"/>
              <w:bidi w:val="0"/>
              <w:spacing w:before="0" w:after="283"/>
              <w:jc w:val="right"/>
              <w:rPr/>
            </w:pPr>
            <w:r>
              <w:rPr/>
              <w:t>24,234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73" w:type="dxa"/>
            <w:tcBorders>
              <w:bottom w:val="double" w:sz="6" w:space="0" w:color="000000"/>
            </w:tcBorders>
            <w:shd w:fill="CCEEFF" w:val="clear"/>
            <w:tcMar>
              <w:bottom w:w="28" w:type="dxa"/>
            </w:tcMar>
            <w:vAlign w:val="center"/>
          </w:tcPr>
          <w:p>
            <w:pPr>
              <w:pStyle w:val="TableContents"/>
              <w:bidi w:val="0"/>
              <w:spacing w:before="0" w:after="283"/>
              <w:jc w:val="right"/>
              <w:rPr/>
            </w:pPr>
            <w:r>
              <w:rPr/>
              <w:t>21,716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83" w:name="xdx_8A3_zRNYBHgcEMta"/>
      <w:bookmarkEnd w:id="583"/>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584" w:name="xdx_806_eus-gaap--CommitmentsAndContinge"/>
      <w:bookmarkEnd w:id="584"/>
      <w:r>
        <w:rPr>
          <w:rFonts w:ascii="Times New Roman;Times;Serif" w:hAnsi="Times New Roman;Times;Serif"/>
          <w:b/>
          <w:i w:val="false"/>
          <w:caps/>
          <w:sz w:val="20"/>
        </w:rPr>
        <w:t xml:space="preserve">Note 5 - </w:t>
      </w:r>
      <w:bookmarkStart w:id="585" w:name="xdx_826_z5NEcb1vZlQd"/>
      <w:bookmarkEnd w:id="585"/>
      <w:r>
        <w:rPr>
          <w:rFonts w:ascii="Times New Roman;Times;Serif" w:hAnsi="Times New Roman;Times;Serif"/>
          <w:b/>
          <w:i w:val="false"/>
          <w:caps/>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leases related to the main office, warehouse space, research and development lab, engineering office, and sales office, all located in Reno, Nevada. The leases require annual escalating monthly payments ranging from $</w:t>
      </w:r>
      <w:bookmarkStart w:id="586" w:name="xdx_90E_eus-gaap--OperatingLeasePayments"/>
      <w:bookmarkEnd w:id="586"/>
      <w:r>
        <w:rPr>
          <w:rFonts w:ascii="Times New Roman;Times;Serif" w:hAnsi="Times New Roman;Times;Serif"/>
          <w:b w:val="false"/>
          <w:i w:val="false"/>
          <w:caps w:val="false"/>
          <w:smallCaps w:val="false"/>
          <w:sz w:val="20"/>
        </w:rPr>
        <w:t>111 to $</w:t>
      </w:r>
      <w:bookmarkStart w:id="587" w:name="xdx_909_eus-gaap--OperatingLeasePayments"/>
      <w:bookmarkEnd w:id="587"/>
      <w:r>
        <w:rPr>
          <w:rFonts w:ascii="Times New Roman;Times;Serif" w:hAnsi="Times New Roman;Times;Serif"/>
          <w:b w:val="false"/>
          <w:i w:val="false"/>
          <w:caps w:val="false"/>
          <w:smallCaps w:val="false"/>
          <w:sz w:val="20"/>
        </w:rPr>
        <w:t>309. On February 2, 2022, the Company entered into a 124-month lease agreement in Reno, Nevada. The lease calls for monthly base rent of $</w:t>
      </w:r>
      <w:bookmarkStart w:id="588" w:name="xdx_903_ecustom--LesseeOperatingLeaseMon"/>
      <w:bookmarkEnd w:id="588"/>
      <w:r>
        <w:rPr>
          <w:rFonts w:ascii="Times New Roman;Times;Serif" w:hAnsi="Times New Roman;Times;Serif"/>
          <w:b w:val="false"/>
          <w:i w:val="false"/>
          <w:caps w:val="false"/>
          <w:smallCaps w:val="false"/>
          <w:sz w:val="20"/>
        </w:rPr>
        <w:t>230, $</w:t>
      </w:r>
      <w:bookmarkStart w:id="589" w:name="xdx_90F_eus-gaap--OperatingLeaseCost_pn3"/>
      <w:bookmarkEnd w:id="589"/>
      <w:r>
        <w:rPr>
          <w:rFonts w:ascii="Times New Roman;Times;Serif" w:hAnsi="Times New Roman;Times;Serif"/>
          <w:b w:val="false"/>
          <w:i w:val="false"/>
          <w:caps w:val="false"/>
          <w:smallCaps w:val="false"/>
          <w:sz w:val="20"/>
        </w:rPr>
        <w:t>23 of fixed operating expense costs, and estimated monthly property taxes of $</w:t>
      </w:r>
      <w:bookmarkStart w:id="590" w:name="xdx_901_ecustom--LesseeOperatingLeaseEst"/>
      <w:bookmarkEnd w:id="590"/>
      <w:r>
        <w:rPr>
          <w:rFonts w:ascii="Times New Roman;Times;Serif" w:hAnsi="Times New Roman;Times;Serif"/>
          <w:b w:val="false"/>
          <w:i w:val="false"/>
          <w:caps w:val="false"/>
          <w:smallCaps w:val="false"/>
          <w:sz w:val="20"/>
        </w:rPr>
        <w:t xml:space="preserve">21. The monthly base rent and fixed operating expense costs are subject to escalation of </w:t>
      </w:r>
      <w:bookmarkStart w:id="591" w:name="xdx_90E_ecustom--LesseeOperatingLeasePer"/>
      <w:bookmarkEnd w:id="591"/>
      <w:r>
        <w:rPr>
          <w:rFonts w:ascii="Times New Roman;Times;Serif" w:hAnsi="Times New Roman;Times;Serif"/>
          <w:b w:val="false"/>
          <w:i w:val="false"/>
          <w:caps w:val="false"/>
          <w:smallCaps w:val="false"/>
          <w:sz w:val="20"/>
        </w:rPr>
        <w:t xml:space="preserve">3% and </w:t>
      </w:r>
      <w:bookmarkStart w:id="592" w:name="xdx_90B_ecustom--LesseeOperatingLeasePer"/>
      <w:bookmarkEnd w:id="592"/>
      <w:r>
        <w:rPr>
          <w:rFonts w:ascii="Times New Roman;Times;Serif" w:hAnsi="Times New Roman;Times;Serif"/>
          <w:b w:val="false"/>
          <w:i w:val="false"/>
          <w:caps w:val="false"/>
          <w:smallCaps w:val="false"/>
          <w:sz w:val="20"/>
        </w:rPr>
        <w:t>2.4%, respectively, on an annual basis. A certificate of substantial completion has been issued and the lease commencement date was March 25, 2024. The Company began paying monthly rent under the lease on July 24,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2024 the Company entered into a lease agreement, pursuant to which the Company agreed to lease an approximately </w:t>
      </w:r>
      <w:bookmarkStart w:id="593" w:name="xdx_90C_eus-gaap--AreaOfLand_iI_usqft_c2"/>
      <w:bookmarkEnd w:id="593"/>
      <w:r>
        <w:rPr>
          <w:rFonts w:ascii="Times New Roman;Times;Serif" w:hAnsi="Times New Roman;Times;Serif"/>
          <w:b w:val="false"/>
          <w:i w:val="false"/>
          <w:caps w:val="false"/>
          <w:smallCaps w:val="false"/>
          <w:sz w:val="20"/>
        </w:rPr>
        <w:t>64,000 square foot facility (the “Premises”) located in Fernley, Nevada, to be used for general, warehousing, assembly/light manufacturing, painting of products, storage fulfillment, distribution of the Company’s products, and other uses as permitted under the Fernley Lease Agreement (the “Fernley Lease Agreement”). The effective date of the lease is April 1, 2024 (the “Lease Commencement Date”). However, the initial term of the Fernley Lease Agreement (the “Term”) is for a period of sixty (60) months, effective June 1, 2024 (the “Rent Commencement Date”). The base rent for the Premises, payable monthly, is $</w:t>
      </w:r>
      <w:bookmarkStart w:id="594" w:name="xdx_90A_eus-gaap--PaymentsForRent_pn3n3_"/>
      <w:bookmarkEnd w:id="594"/>
      <w:r>
        <w:rPr>
          <w:rFonts w:ascii="Times New Roman;Times;Serif" w:hAnsi="Times New Roman;Times;Serif"/>
          <w:b w:val="false"/>
          <w:i w:val="false"/>
          <w:caps w:val="false"/>
          <w:smallCaps w:val="false"/>
          <w:sz w:val="20"/>
        </w:rPr>
        <w:t>45 for the first ten months, starting June 1, 2024, and is subject to a three percent (</w:t>
      </w:r>
      <w:bookmarkStart w:id="595" w:name="xdx_90E_ecustom--LeaseTermPercentage_pid"/>
      <w:bookmarkEnd w:id="595"/>
      <w:r>
        <w:rPr>
          <w:rFonts w:ascii="Times New Roman;Times;Serif" w:hAnsi="Times New Roman;Times;Serif"/>
          <w:b w:val="false"/>
          <w:i w:val="false"/>
          <w:caps w:val="false"/>
          <w:smallCaps w:val="false"/>
          <w:sz w:val="20"/>
        </w:rPr>
        <w:t>3.0%) increase on the anniversary of the Lease Commencement Date each year. The Company also will be responsible for twenty-five percent (</w:t>
      </w:r>
      <w:bookmarkStart w:id="596" w:name="xdx_908_ecustom--OperatingExpensesTaxesA"/>
      <w:bookmarkEnd w:id="596"/>
      <w:r>
        <w:rPr>
          <w:rFonts w:ascii="Times New Roman;Times;Serif" w:hAnsi="Times New Roman;Times;Serif"/>
          <w:b w:val="false"/>
          <w:i w:val="false"/>
          <w:caps w:val="false"/>
          <w:smallCaps w:val="false"/>
          <w:sz w:val="20"/>
        </w:rPr>
        <w:t>25%) of any operating expenses, taxes and insurance expenses incurred by the Landlord in connection with the building in which the Premises are located (the “Expenses”) as well as utility expenses. The Expenses are subject to recalculation and increase upon the completion of the Initial Improvements (as defined in the Fernley Lease Agreement). The Landlord is responsible for completing the Initial Improvements. The Fernley Lease Agreement also contains customary default provisions allowing the Landlord to terminate the Fernley Lease Agreement if the Company fails to cure certain breaches of its obligations under the Fernley Lease Agreement within a specified period of time upon written notice to the Company. Concurrent with the execution of the Fernley Lease Agreement, the Company paid the Landlord a security deposit of $</w:t>
      </w:r>
      <w:bookmarkStart w:id="597" w:name="xdx_90B_eus-gaap--SecurityDeposit_iI_pn3"/>
      <w:bookmarkEnd w:id="597"/>
      <w:r>
        <w:rPr>
          <w:rFonts w:ascii="Times New Roman;Times;Serif" w:hAnsi="Times New Roman;Times;Serif"/>
          <w:b w:val="false"/>
          <w:i w:val="false"/>
          <w:caps w:val="false"/>
          <w:smallCaps w:val="false"/>
          <w:sz w:val="20"/>
        </w:rPr>
        <w:t>50.</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5 - Commitments and Contingencies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2025, the Company entered into a sixth lease amendment with its landlord to extend the lease term for an additional sixty-four (64) month period for the research and development lab in Sparks, Nevada. Under the terms of the amended lease, the base rent due shall be fully abated for the four (4) month period commencing on August 1, 2025, and ending on November 30, 2025. The lease is set to expire on November 30,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8" w:name="xdx_890_ecustom--ScheduleOfBreakoutOfOpe"/>
      <w:bookmarkEnd w:id="598"/>
      <w:r>
        <w:rPr>
          <w:rFonts w:ascii="Times New Roman;Times;Serif" w:hAnsi="Times New Roman;Times;Serif"/>
          <w:b w:val="false"/>
          <w:i w:val="false"/>
          <w:caps w:val="false"/>
          <w:smallCaps w:val="false"/>
          <w:sz w:val="20"/>
        </w:rPr>
        <w:t>The following table presents the breakout of the operating leases as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9" w:name="xdx_8B2_zOn8eKkOYNFf"/>
      <w:bookmarkEnd w:id="599"/>
      <w:r>
        <w:rPr>
          <w:rFonts w:ascii="Times New Roman;Times;Serif" w:hAnsi="Times New Roman;Times;Serif"/>
          <w:b w:val="false"/>
          <w:i w:val="false"/>
          <w:caps w:val="false"/>
          <w:smallCaps w:val="false"/>
          <w:sz w:val="20"/>
        </w:rPr>
        <w:t>SCHEDULE OF BREAKOUT OF OPERATING LEASES</w:t>
      </w:r>
    </w:p>
    <w:tbl>
      <w:tblPr>
        <w:tblW w:w="8108" w:type="dxa"/>
        <w:jc w:val="left"/>
        <w:tblInd w:w="0" w:type="dxa"/>
        <w:tblLayout w:type="fixed"/>
        <w:tblCellMar>
          <w:top w:w="0" w:type="dxa"/>
          <w:left w:w="0" w:type="dxa"/>
          <w:bottom w:w="0" w:type="dxa"/>
          <w:right w:w="0" w:type="dxa"/>
        </w:tblCellMar>
      </w:tblPr>
      <w:tblGrid>
        <w:gridCol w:w="3755"/>
        <w:gridCol w:w="60"/>
        <w:gridCol w:w="315"/>
        <w:gridCol w:w="1579"/>
        <w:gridCol w:w="215"/>
        <w:gridCol w:w="60"/>
        <w:gridCol w:w="315"/>
        <w:gridCol w:w="1579"/>
        <w:gridCol w:w="23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00" w:name="xdx_49F_20251231_zsaGyt4hAuF"/>
            <w:bookmarkEnd w:id="600"/>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1" w:name="xdx_490_20241231_z7kWJuSbJpcd"/>
            <w:bookmarkEnd w:id="601"/>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2024</w:t>
            </w:r>
          </w:p>
        </w:tc>
        <w:tc>
          <w:tcPr>
            <w:tcW w:w="230" w:type="dxa"/>
            <w:tcBorders/>
            <w:vAlign w:val="center"/>
          </w:tcPr>
          <w:p>
            <w:pPr>
              <w:pStyle w:val="TableContents"/>
              <w:bidi w:val="0"/>
              <w:spacing w:before="0" w:after="283"/>
              <w:jc w:val="left"/>
              <w:rPr/>
            </w:pPr>
            <w:r>
              <w:rPr/>
              <w:t> </w:t>
            </w:r>
            <w:bookmarkStart w:id="602" w:name="xdx_40E_eus-gaap--OperatingLeaseRightOfU"/>
            <w:bookmarkEnd w:id="602"/>
          </w:p>
        </w:tc>
      </w:tr>
      <w:tr>
        <w:trPr/>
        <w:tc>
          <w:tcPr>
            <w:tcW w:w="375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79" w:type="dxa"/>
            <w:tcBorders>
              <w:bottom w:val="single" w:sz="8" w:space="0" w:color="000000"/>
            </w:tcBorders>
            <w:shd w:fill="CCEEFF" w:val="clear"/>
            <w:tcMar>
              <w:bottom w:w="28" w:type="dxa"/>
            </w:tcMar>
            <w:vAlign w:val="center"/>
          </w:tcPr>
          <w:p>
            <w:pPr>
              <w:pStyle w:val="TableContents"/>
              <w:bidi w:val="0"/>
              <w:spacing w:before="0" w:after="283"/>
              <w:jc w:val="right"/>
              <w:rPr/>
            </w:pPr>
            <w:r>
              <w:rPr/>
              <w:t>15,240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79" w:type="dxa"/>
            <w:tcBorders>
              <w:bottom w:val="single" w:sz="8" w:space="0" w:color="000000"/>
            </w:tcBorders>
            <w:shd w:fill="CCEEFF" w:val="clear"/>
            <w:tcMar>
              <w:bottom w:w="28" w:type="dxa"/>
            </w:tcMar>
            <w:vAlign w:val="center"/>
          </w:tcPr>
          <w:p>
            <w:pPr>
              <w:pStyle w:val="TableContents"/>
              <w:bidi w:val="0"/>
              <w:spacing w:before="0" w:after="283"/>
              <w:jc w:val="right"/>
              <w:rPr/>
            </w:pPr>
            <w:r>
              <w:rPr/>
              <w:t>19,737</w:t>
            </w:r>
          </w:p>
        </w:tc>
        <w:tc>
          <w:tcPr>
            <w:tcW w:w="230" w:type="dxa"/>
            <w:tcBorders/>
            <w:shd w:fill="CCEEFF" w:val="clear"/>
            <w:vAlign w:val="center"/>
          </w:tcPr>
          <w:p>
            <w:pPr>
              <w:pStyle w:val="TableContents"/>
              <w:bidi w:val="0"/>
              <w:spacing w:before="0" w:after="283"/>
              <w:jc w:val="left"/>
              <w:rPr/>
            </w:pPr>
            <w:r>
              <w:rPr/>
              <w:t> </w:t>
            </w:r>
            <w:bookmarkStart w:id="603" w:name="xdx_402_eus-gaap--OperatingLeaseLiabilit"/>
            <w:bookmarkEnd w:id="603"/>
          </w:p>
        </w:tc>
      </w:tr>
      <w:tr>
        <w:trPr/>
        <w:tc>
          <w:tcPr>
            <w:tcW w:w="3755" w:type="dxa"/>
            <w:tcBorders/>
            <w:shd w:fill="FFFFFF" w:val="clear"/>
            <w:vAlign w:val="center"/>
          </w:tcPr>
          <w:p>
            <w:pPr>
              <w:pStyle w:val="TableContents"/>
              <w:bidi w:val="0"/>
              <w:spacing w:before="0" w:after="283"/>
              <w:jc w:val="left"/>
              <w:rPr/>
            </w:pPr>
            <w:r>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2,533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2,926</w:t>
            </w:r>
          </w:p>
        </w:tc>
        <w:tc>
          <w:tcPr>
            <w:tcW w:w="230" w:type="dxa"/>
            <w:tcBorders/>
            <w:shd w:fill="FFFFFF" w:val="clear"/>
            <w:vAlign w:val="center"/>
          </w:tcPr>
          <w:p>
            <w:pPr>
              <w:pStyle w:val="TableContents"/>
              <w:bidi w:val="0"/>
              <w:spacing w:before="0" w:after="283"/>
              <w:jc w:val="left"/>
              <w:rPr/>
            </w:pPr>
            <w:r>
              <w:rPr/>
              <w:t> </w:t>
            </w:r>
            <w:bookmarkStart w:id="604" w:name="xdx_401_eus-gaap--OperatingLeaseLiabilit"/>
            <w:bookmarkEnd w:id="604"/>
          </w:p>
        </w:tc>
      </w:tr>
      <w:tr>
        <w:trPr/>
        <w:tc>
          <w:tcPr>
            <w:tcW w:w="3755" w:type="dxa"/>
            <w:tcBorders/>
            <w:shd w:fill="CCEEFF" w:val="clear"/>
            <w:vAlign w:val="center"/>
          </w:tcPr>
          <w:p>
            <w:pPr>
              <w:pStyle w:val="TableContents"/>
              <w:bidi w:val="0"/>
              <w:spacing w:before="0" w:after="283"/>
              <w:jc w:val="left"/>
              <w:rPr/>
            </w:pPr>
            <w:r>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shd w:fill="CCEEFF" w:val="clear"/>
            <w:tcMar>
              <w:bottom w:w="28" w:type="dxa"/>
            </w:tcMar>
            <w:vAlign w:val="center"/>
          </w:tcPr>
          <w:p>
            <w:pPr>
              <w:pStyle w:val="TableContents"/>
              <w:bidi w:val="0"/>
              <w:spacing w:before="0" w:after="283"/>
              <w:jc w:val="right"/>
              <w:rPr/>
            </w:pPr>
            <w:r>
              <w:rPr/>
              <w:t>20,470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shd w:fill="CCEEFF" w:val="clear"/>
            <w:tcMar>
              <w:bottom w:w="28" w:type="dxa"/>
            </w:tcMar>
            <w:vAlign w:val="center"/>
          </w:tcPr>
          <w:p>
            <w:pPr>
              <w:pStyle w:val="TableContents"/>
              <w:bidi w:val="0"/>
              <w:spacing w:before="0" w:after="283"/>
              <w:jc w:val="right"/>
              <w:rPr/>
            </w:pPr>
            <w:r>
              <w:rPr/>
              <w:t>22,588</w:t>
            </w:r>
          </w:p>
        </w:tc>
        <w:tc>
          <w:tcPr>
            <w:tcW w:w="230" w:type="dxa"/>
            <w:tcBorders/>
            <w:shd w:fill="CCEEFF" w:val="clear"/>
            <w:vAlign w:val="center"/>
          </w:tcPr>
          <w:p>
            <w:pPr>
              <w:pStyle w:val="TableContents"/>
              <w:bidi w:val="0"/>
              <w:spacing w:before="0" w:after="283"/>
              <w:jc w:val="left"/>
              <w:rPr/>
            </w:pPr>
            <w:r>
              <w:rPr/>
              <w:t> </w:t>
            </w:r>
            <w:bookmarkStart w:id="605" w:name="xdx_409_eus-gaap--OperatingLeaseLiabilit"/>
            <w:bookmarkEnd w:id="605"/>
          </w:p>
        </w:tc>
      </w:tr>
      <w:tr>
        <w:trPr/>
        <w:tc>
          <w:tcPr>
            <w:tcW w:w="3755" w:type="dxa"/>
            <w:tcBorders/>
            <w:shd w:fill="FFFFFF" w:val="clear"/>
            <w:vAlign w:val="center"/>
          </w:tcPr>
          <w:p>
            <w:pPr>
              <w:pStyle w:val="TableContents"/>
              <w:bidi w:val="0"/>
              <w:spacing w:before="0" w:after="283"/>
              <w:jc w:val="left"/>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79" w:type="dxa"/>
            <w:tcBorders>
              <w:bottom w:val="double" w:sz="6" w:space="0" w:color="000000"/>
            </w:tcBorders>
            <w:shd w:fill="FFFFFF" w:val="clear"/>
            <w:tcMar>
              <w:bottom w:w="28" w:type="dxa"/>
            </w:tcMar>
            <w:vAlign w:val="center"/>
          </w:tcPr>
          <w:p>
            <w:pPr>
              <w:pStyle w:val="TableContents"/>
              <w:bidi w:val="0"/>
              <w:spacing w:before="0" w:after="283"/>
              <w:jc w:val="right"/>
              <w:rPr/>
            </w:pPr>
            <w:r>
              <w:rPr/>
              <w:t>23,003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79" w:type="dxa"/>
            <w:tcBorders>
              <w:bottom w:val="double" w:sz="6" w:space="0" w:color="000000"/>
            </w:tcBorders>
            <w:shd w:fill="FFFFFF" w:val="clear"/>
            <w:tcMar>
              <w:bottom w:w="28" w:type="dxa"/>
            </w:tcMar>
            <w:vAlign w:val="center"/>
          </w:tcPr>
          <w:p>
            <w:pPr>
              <w:pStyle w:val="TableContents"/>
              <w:bidi w:val="0"/>
              <w:spacing w:before="0" w:after="283"/>
              <w:jc w:val="right"/>
              <w:rPr/>
            </w:pPr>
            <w:r>
              <w:rPr/>
              <w:t>25,514</w:t>
            </w:r>
          </w:p>
        </w:tc>
        <w:tc>
          <w:tcPr>
            <w:tcW w:w="23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rFonts w:ascii="Times New Roman;Times;Serif" w:hAnsi="Times New Roman;Times;Serif"/>
                <w:sz w:val="20"/>
              </w:rPr>
            </w:pPr>
            <w:bookmarkStart w:id="606" w:name="xdx_902_eus-gaap--OperatingLeaseWeighted"/>
            <w:bookmarkEnd w:id="606"/>
            <w:r>
              <w:rPr>
                <w:rFonts w:ascii="Times New Roman;Times;Serif" w:hAnsi="Times New Roman;Times;Serif"/>
                <w:sz w:val="20"/>
              </w:rPr>
              <w:t>7.88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rFonts w:ascii="Times New Roman;Times;Serif" w:hAnsi="Times New Roman;Times;Serif"/>
                <w:sz w:val="20"/>
              </w:rPr>
            </w:pPr>
            <w:bookmarkStart w:id="607" w:name="xdx_906_eus-gaap--OperatingLeaseWeighted"/>
            <w:bookmarkEnd w:id="607"/>
            <w:r>
              <w:rPr>
                <w:rFonts w:ascii="Times New Roman;Times;Serif" w:hAnsi="Times New Roman;Times;Serif"/>
                <w:sz w:val="20"/>
              </w:rPr>
              <w:t>8.46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bookmarkStart w:id="608" w:name="xdx_90E_eus-gaap--OperatingLeaseWeighted"/>
            <w:bookmarkEnd w:id="608"/>
            <w:r>
              <w:rPr/>
              <w:t>7.99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bookmarkStart w:id="609" w:name="xdx_90A_eus-gaap--OperatingLeaseWeighted"/>
            <w:bookmarkEnd w:id="609"/>
            <w:r>
              <w:rPr/>
              <w:t>7.86</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610" w:name="xdx_8AE_zKC6uuk47oca"/>
      <w:bookmarkEnd w:id="61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our incremental borrowing rate include our implied credit rating and an estimate of secured borrowing rates based on comparable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1" w:name="xdx_89A_eus-gaap--LesseeOperatingLeaseLi"/>
      <w:bookmarkEnd w:id="611"/>
      <w:r>
        <w:rPr>
          <w:rFonts w:ascii="Times New Roman;Times;Serif" w:hAnsi="Times New Roman;Times;Serif"/>
          <w:b w:val="false"/>
          <w:i w:val="false"/>
          <w:caps w:val="false"/>
          <w:smallCaps w:val="false"/>
          <w:sz w:val="20"/>
        </w:rPr>
        <w:t>At December 31, 2025, the future minimum lease payments under these operating leases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2" w:name="xdx_8B8_zLGVYE26NHj1"/>
      <w:bookmarkEnd w:id="612"/>
      <w:r>
        <w:rPr>
          <w:rFonts w:ascii="Times New Roman;Times;Serif" w:hAnsi="Times New Roman;Times;Serif"/>
          <w:b w:val="false"/>
          <w:i w:val="false"/>
          <w:caps w:val="false"/>
          <w:smallCaps w:val="false"/>
          <w:sz w:val="20"/>
        </w:rPr>
        <w:t>SCHEDULE OF FUTURE MINIMUM LEASE PAYMENTS UNDER OPERATING LEASES</w:t>
      </w:r>
    </w:p>
    <w:tbl>
      <w:tblPr>
        <w:tblW w:w="3855" w:type="dxa"/>
        <w:jc w:val="left"/>
        <w:tblInd w:w="0" w:type="dxa"/>
        <w:tblLayout w:type="fixed"/>
        <w:tblCellMar>
          <w:top w:w="0" w:type="dxa"/>
          <w:left w:w="0" w:type="dxa"/>
          <w:bottom w:w="0" w:type="dxa"/>
          <w:right w:w="0" w:type="dxa"/>
        </w:tblCellMar>
      </w:tblPr>
      <w:tblGrid>
        <w:gridCol w:w="2900"/>
        <w:gridCol w:w="60"/>
        <w:gridCol w:w="140"/>
        <w:gridCol w:w="680"/>
        <w:gridCol w:w="75"/>
      </w:tblGrid>
      <w:tr>
        <w:trPr/>
        <w:tc>
          <w:tcPr>
            <w:tcW w:w="2900" w:type="dxa"/>
            <w:tcBorders/>
            <w:shd w:fill="CCEEFF" w:val="clear"/>
            <w:vAlign w:val="center"/>
          </w:tcPr>
          <w:p>
            <w:pPr>
              <w:pStyle w:val="TableContents"/>
              <w:bidi w:val="0"/>
              <w:spacing w:before="0" w:after="283"/>
              <w:jc w:val="left"/>
              <w:rPr/>
            </w:pPr>
            <w:r>
              <w:rPr/>
              <w:t>Fiscal Years Ending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13" w:name="xdx_499_20251231_zRe0bNNl5Raa"/>
            <w:bookmarkEnd w:id="613"/>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14" w:name="xdx_40F_eus-gaap--LesseeOperatingLeaseLi"/>
            <w:bookmarkEnd w:id="614"/>
          </w:p>
        </w:tc>
      </w:tr>
      <w:tr>
        <w:trPr/>
        <w:tc>
          <w:tcPr>
            <w:tcW w:w="2900" w:type="dxa"/>
            <w:tcBorders/>
            <w:shd w:fill="FFFFFF" w:val="clear"/>
            <w:vAlign w:val="center"/>
          </w:tcPr>
          <w:p>
            <w:pPr>
              <w:pStyle w:val="TableContents"/>
              <w:bidi w:val="0"/>
              <w:spacing w:before="0" w:after="283"/>
              <w:jc w:val="left"/>
              <w:rPr/>
            </w:pPr>
            <w:r>
              <w:rPr/>
              <w:t>December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4,275</w:t>
            </w:r>
          </w:p>
        </w:tc>
        <w:tc>
          <w:tcPr>
            <w:tcW w:w="75" w:type="dxa"/>
            <w:tcBorders/>
            <w:shd w:fill="FFFFFF" w:val="clear"/>
            <w:vAlign w:val="center"/>
          </w:tcPr>
          <w:p>
            <w:pPr>
              <w:pStyle w:val="TableContents"/>
              <w:bidi w:val="0"/>
              <w:spacing w:before="0" w:after="283"/>
              <w:jc w:val="left"/>
              <w:rPr/>
            </w:pPr>
            <w:r>
              <w:rPr/>
              <w:t> </w:t>
            </w:r>
            <w:bookmarkStart w:id="615" w:name="xdx_401_eus-gaap--LesseeOperatingLeaseLi"/>
            <w:bookmarkEnd w:id="615"/>
          </w:p>
        </w:tc>
      </w:tr>
      <w:tr>
        <w:trPr/>
        <w:tc>
          <w:tcPr>
            <w:tcW w:w="2900" w:type="dxa"/>
            <w:tcBorders/>
            <w:shd w:fill="CCEEFF" w:val="clear"/>
            <w:vAlign w:val="center"/>
          </w:tcPr>
          <w:p>
            <w:pPr>
              <w:pStyle w:val="TableContents"/>
              <w:bidi w:val="0"/>
              <w:spacing w:before="0" w:after="283"/>
              <w:jc w:val="left"/>
              <w:rPr/>
            </w:pPr>
            <w:r>
              <w:rPr/>
              <w:t>December 31, 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3,746</w:t>
            </w:r>
          </w:p>
        </w:tc>
        <w:tc>
          <w:tcPr>
            <w:tcW w:w="75" w:type="dxa"/>
            <w:tcBorders/>
            <w:shd w:fill="CCEEFF" w:val="clear"/>
            <w:vAlign w:val="center"/>
          </w:tcPr>
          <w:p>
            <w:pPr>
              <w:pStyle w:val="TableContents"/>
              <w:bidi w:val="0"/>
              <w:spacing w:before="0" w:after="283"/>
              <w:jc w:val="left"/>
              <w:rPr/>
            </w:pPr>
            <w:r>
              <w:rPr/>
              <w:t> </w:t>
            </w:r>
            <w:bookmarkStart w:id="616" w:name="xdx_408_eus-gaap--LesseeOperatingLeaseLi"/>
            <w:bookmarkEnd w:id="616"/>
          </w:p>
        </w:tc>
      </w:tr>
      <w:tr>
        <w:trPr/>
        <w:tc>
          <w:tcPr>
            <w:tcW w:w="2900" w:type="dxa"/>
            <w:tcBorders/>
            <w:shd w:fill="FFFFFF" w:val="clear"/>
            <w:vAlign w:val="center"/>
          </w:tcPr>
          <w:p>
            <w:pPr>
              <w:pStyle w:val="TableContents"/>
              <w:bidi w:val="0"/>
              <w:spacing w:before="0" w:after="283"/>
              <w:jc w:val="left"/>
              <w:rPr/>
            </w:pPr>
            <w:r>
              <w:rPr/>
              <w:t>December 31, 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3,860</w:t>
            </w:r>
          </w:p>
        </w:tc>
        <w:tc>
          <w:tcPr>
            <w:tcW w:w="75" w:type="dxa"/>
            <w:tcBorders/>
            <w:shd w:fill="FFFFFF" w:val="clear"/>
            <w:vAlign w:val="center"/>
          </w:tcPr>
          <w:p>
            <w:pPr>
              <w:pStyle w:val="TableContents"/>
              <w:bidi w:val="0"/>
              <w:spacing w:before="0" w:after="283"/>
              <w:jc w:val="left"/>
              <w:rPr/>
            </w:pPr>
            <w:r>
              <w:rPr/>
              <w:t> </w:t>
            </w:r>
            <w:bookmarkStart w:id="617" w:name="xdx_40A_eus-gaap--LesseeOperatingLeaseLi"/>
            <w:bookmarkEnd w:id="617"/>
          </w:p>
        </w:tc>
      </w:tr>
      <w:tr>
        <w:trPr/>
        <w:tc>
          <w:tcPr>
            <w:tcW w:w="2900" w:type="dxa"/>
            <w:tcBorders/>
            <w:shd w:fill="CCEEFF" w:val="clear"/>
            <w:vAlign w:val="center"/>
          </w:tcPr>
          <w:p>
            <w:pPr>
              <w:pStyle w:val="TableContents"/>
              <w:bidi w:val="0"/>
              <w:spacing w:before="0" w:after="283"/>
              <w:jc w:val="left"/>
              <w:rPr/>
            </w:pPr>
            <w:r>
              <w:rPr/>
              <w:t>December 31, 2029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3,614</w:t>
            </w:r>
          </w:p>
        </w:tc>
        <w:tc>
          <w:tcPr>
            <w:tcW w:w="75" w:type="dxa"/>
            <w:tcBorders/>
            <w:shd w:fill="CCEEFF" w:val="clear"/>
            <w:vAlign w:val="center"/>
          </w:tcPr>
          <w:p>
            <w:pPr>
              <w:pStyle w:val="TableContents"/>
              <w:bidi w:val="0"/>
              <w:spacing w:before="0" w:after="283"/>
              <w:jc w:val="left"/>
              <w:rPr/>
            </w:pPr>
            <w:r>
              <w:rPr/>
              <w:t> </w:t>
            </w:r>
            <w:bookmarkStart w:id="618" w:name="xdx_404_eus-gaap--LesseeOperatingLeaseLi"/>
            <w:bookmarkEnd w:id="618"/>
          </w:p>
        </w:tc>
      </w:tr>
      <w:tr>
        <w:trPr/>
        <w:tc>
          <w:tcPr>
            <w:tcW w:w="2900" w:type="dxa"/>
            <w:tcBorders/>
            <w:shd w:fill="FFFFFF" w:val="clear"/>
            <w:vAlign w:val="center"/>
          </w:tcPr>
          <w:p>
            <w:pPr>
              <w:pStyle w:val="TableContents"/>
              <w:bidi w:val="0"/>
              <w:spacing w:before="0" w:after="283"/>
              <w:jc w:val="left"/>
              <w:rPr/>
            </w:pPr>
            <w:r>
              <w:rPr/>
              <w:t>December 31, 2030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3,446</w:t>
            </w:r>
          </w:p>
        </w:tc>
        <w:tc>
          <w:tcPr>
            <w:tcW w:w="75" w:type="dxa"/>
            <w:tcBorders/>
            <w:shd w:fill="FFFFFF" w:val="clear"/>
            <w:vAlign w:val="center"/>
          </w:tcPr>
          <w:p>
            <w:pPr>
              <w:pStyle w:val="TableContents"/>
              <w:bidi w:val="0"/>
              <w:spacing w:before="0" w:after="283"/>
              <w:jc w:val="left"/>
              <w:rPr/>
            </w:pPr>
            <w:r>
              <w:rPr/>
              <w:t> </w:t>
            </w:r>
            <w:bookmarkStart w:id="619" w:name="xdx_405_eus-gaap--LesseeOperatingLeaseLi"/>
            <w:bookmarkEnd w:id="619"/>
          </w:p>
        </w:tc>
      </w:tr>
      <w:tr>
        <w:trPr/>
        <w:tc>
          <w:tcPr>
            <w:tcW w:w="2900"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12,600</w:t>
            </w:r>
          </w:p>
        </w:tc>
        <w:tc>
          <w:tcPr>
            <w:tcW w:w="75" w:type="dxa"/>
            <w:tcBorders/>
            <w:shd w:fill="CCEEFF" w:val="clear"/>
            <w:vAlign w:val="center"/>
          </w:tcPr>
          <w:p>
            <w:pPr>
              <w:pStyle w:val="TableContents"/>
              <w:bidi w:val="0"/>
              <w:spacing w:before="0" w:after="283"/>
              <w:jc w:val="left"/>
              <w:rPr/>
            </w:pPr>
            <w:r>
              <w:rPr/>
              <w:t> </w:t>
            </w:r>
            <w:bookmarkStart w:id="620" w:name="xdx_40F_eus-gaap--LesseeOperatingLeaseLi"/>
            <w:bookmarkEnd w:id="620"/>
          </w:p>
        </w:tc>
      </w:tr>
      <w:tr>
        <w:trPr/>
        <w:tc>
          <w:tcPr>
            <w:tcW w:w="2900" w:type="dxa"/>
            <w:tcBorders/>
            <w:shd w:fill="FFFFFF" w:val="clear"/>
            <w:vAlign w:val="center"/>
          </w:tcPr>
          <w:p>
            <w:pPr>
              <w:pStyle w:val="TableContents"/>
              <w:bidi w:val="0"/>
              <w:spacing w:before="0" w:after="283"/>
              <w:jc w:val="left"/>
              <w:rPr/>
            </w:pPr>
            <w:r>
              <w:rPr/>
              <w:t>Total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31,541</w:t>
            </w:r>
          </w:p>
        </w:tc>
        <w:tc>
          <w:tcPr>
            <w:tcW w:w="75" w:type="dxa"/>
            <w:tcBorders/>
            <w:shd w:fill="FFFFFF" w:val="clear"/>
            <w:vAlign w:val="center"/>
          </w:tcPr>
          <w:p>
            <w:pPr>
              <w:pStyle w:val="TableContents"/>
              <w:bidi w:val="0"/>
              <w:spacing w:before="0" w:after="283"/>
              <w:jc w:val="left"/>
              <w:rPr/>
            </w:pPr>
            <w:r>
              <w:rPr/>
              <w:t> </w:t>
            </w:r>
            <w:bookmarkStart w:id="621" w:name="xdx_40E_eus-gaap--LesseeOperatingLeaseLi"/>
            <w:bookmarkEnd w:id="621"/>
          </w:p>
        </w:tc>
      </w:tr>
      <w:tr>
        <w:trPr/>
        <w:tc>
          <w:tcPr>
            <w:tcW w:w="2900"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8,538</w:t>
            </w:r>
          </w:p>
        </w:tc>
        <w:tc>
          <w:tcPr>
            <w:tcW w:w="75" w:type="dxa"/>
            <w:tcBorders/>
            <w:shd w:fill="CCEEFF" w:val="clear"/>
            <w:vAlign w:val="center"/>
          </w:tcPr>
          <w:p>
            <w:pPr>
              <w:pStyle w:val="TableContents"/>
              <w:bidi w:val="0"/>
              <w:spacing w:before="0" w:after="283"/>
              <w:jc w:val="left"/>
              <w:rPr/>
            </w:pPr>
            <w:r>
              <w:rPr/>
              <w:t> </w:t>
            </w:r>
            <w:bookmarkStart w:id="622" w:name="xdx_40A_eus-gaap--OperatingLeaseLiabilit"/>
            <w:bookmarkEnd w:id="622"/>
          </w:p>
        </w:tc>
      </w:tr>
      <w:tr>
        <w:trPr/>
        <w:tc>
          <w:tcPr>
            <w:tcW w:w="2900" w:type="dxa"/>
            <w:tcBorders/>
            <w:shd w:fill="FFFFFF" w:val="clear"/>
            <w:vAlign w:val="center"/>
          </w:tcPr>
          <w:p>
            <w:pPr>
              <w:pStyle w:val="TableContents"/>
              <w:bidi w:val="0"/>
              <w:spacing w:before="0" w:after="283"/>
              <w:jc w:val="left"/>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23,003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23" w:name="xdx_8A4_z5Es9utfHI4d"/>
      <w:bookmarkEnd w:id="62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identified indicators of impairment related to certain right-of-use assets. As a result, the Company recognized aggregate impairment charges of $</w:t>
      </w:r>
      <w:bookmarkStart w:id="624" w:name="xdx_90D_eus-gaap--OperatingLeaseImpairme"/>
      <w:bookmarkEnd w:id="624"/>
      <w:r>
        <w:rPr>
          <w:rFonts w:ascii="Times New Roman;Times;Serif" w:hAnsi="Times New Roman;Times;Serif"/>
          <w:b w:val="false"/>
          <w:i w:val="false"/>
          <w:caps w:val="false"/>
          <w:smallCaps w:val="false"/>
          <w:sz w:val="20"/>
        </w:rPr>
        <w:t>2,667 related to three leases. These impairment charges are included in operating expenses in the accompanying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25" w:name="xdx_8B3_zJdme0oe0y9g"/>
      <w:bookmarkStart w:id="626" w:name="xdx_896_eus-gaap--LeaseCostTableTextBloc"/>
      <w:bookmarkEnd w:id="625"/>
      <w:bookmarkEnd w:id="626"/>
      <w:r>
        <w:rPr>
          <w:rFonts w:ascii="Times New Roman;Times;Serif" w:hAnsi="Times New Roman;Times;Serif"/>
          <w:b w:val="false"/>
          <w:i w:val="false"/>
          <w:caps w:val="false"/>
          <w:smallCaps w:val="false"/>
          <w:sz w:val="20"/>
        </w:rPr>
        <w:t>SCHEDULE OF LEASE COST</w:t>
      </w:r>
    </w:p>
    <w:tbl>
      <w:tblPr>
        <w:tblW w:w="8171" w:type="dxa"/>
        <w:jc w:val="left"/>
        <w:tblInd w:w="0" w:type="dxa"/>
        <w:tblLayout w:type="fixed"/>
        <w:tblCellMar>
          <w:top w:w="0" w:type="dxa"/>
          <w:left w:w="0" w:type="dxa"/>
          <w:bottom w:w="0" w:type="dxa"/>
          <w:right w:w="0" w:type="dxa"/>
        </w:tblCellMar>
      </w:tblPr>
      <w:tblGrid>
        <w:gridCol w:w="1940"/>
        <w:gridCol w:w="60"/>
        <w:gridCol w:w="2570"/>
        <w:gridCol w:w="60"/>
        <w:gridCol w:w="319"/>
        <w:gridCol w:w="1278"/>
        <w:gridCol w:w="136"/>
        <w:gridCol w:w="136"/>
        <w:gridCol w:w="319"/>
        <w:gridCol w:w="1278"/>
        <w:gridCol w:w="75"/>
      </w:tblGrid>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6" w:type="dxa"/>
            <w:gridSpan w:val="6"/>
            <w:tcBorders>
              <w:bottom w:val="single" w:sz="8" w:space="0" w:color="000000"/>
            </w:tcBorders>
            <w:tcMar>
              <w:bottom w:w="28" w:type="dxa"/>
            </w:tcMar>
            <w:vAlign w:val="center"/>
          </w:tcPr>
          <w:p>
            <w:pPr>
              <w:pStyle w:val="TableContents"/>
              <w:bidi w:val="0"/>
              <w:spacing w:before="0" w:after="283"/>
              <w:jc w:val="center"/>
              <w:rPr/>
            </w:pPr>
            <w:r>
              <w:rPr/>
              <w:t>For The Years Ended December 31,</w:t>
            </w:r>
          </w:p>
        </w:tc>
        <w:tc>
          <w:tcPr>
            <w:tcW w:w="75" w:type="dxa"/>
            <w:tcBorders/>
            <w:vAlign w:val="center"/>
          </w:tcPr>
          <w:p>
            <w:pPr>
              <w:pStyle w:val="TableContents"/>
              <w:bidi w:val="0"/>
              <w:spacing w:before="0" w:after="283"/>
              <w:jc w:val="left"/>
              <w:rPr/>
            </w:pPr>
            <w:r>
              <w:rPr/>
              <w:t> </w:t>
            </w:r>
          </w:p>
        </w:tc>
      </w:tr>
      <w:tr>
        <w:trPr/>
        <w:tc>
          <w:tcPr>
            <w:tcW w:w="1940" w:type="dxa"/>
            <w:tcBorders>
              <w:bottom w:val="single" w:sz="8" w:space="0" w:color="000000"/>
            </w:tcBorders>
            <w:tcMar>
              <w:bottom w:w="28" w:type="dxa"/>
            </w:tcMar>
            <w:vAlign w:val="center"/>
          </w:tcPr>
          <w:p>
            <w:pPr>
              <w:pStyle w:val="TableContents"/>
              <w:bidi w:val="0"/>
              <w:spacing w:before="0" w:after="283"/>
              <w:jc w:val="left"/>
              <w:rPr/>
            </w:pPr>
            <w:r>
              <w:rPr/>
              <w:t>Lease cost</w:t>
            </w:r>
          </w:p>
        </w:tc>
        <w:tc>
          <w:tcPr>
            <w:tcW w:w="60" w:type="dxa"/>
            <w:tcBorders/>
            <w:vAlign w:val="center"/>
          </w:tcPr>
          <w:p>
            <w:pPr>
              <w:pStyle w:val="TableContents"/>
              <w:bidi w:val="0"/>
              <w:spacing w:before="0" w:after="283"/>
              <w:jc w:val="left"/>
              <w:rPr/>
            </w:pPr>
            <w:r>
              <w:rPr/>
              <w:t> </w:t>
            </w:r>
          </w:p>
        </w:tc>
        <w:tc>
          <w:tcPr>
            <w:tcW w:w="2570" w:type="dxa"/>
            <w:tcBorders>
              <w:bottom w:val="single" w:sz="8" w:space="0" w:color="000000"/>
            </w:tcBorders>
            <w:tcMar>
              <w:bottom w:w="28" w:type="dxa"/>
            </w:tcMar>
            <w:vAlign w:val="center"/>
          </w:tcPr>
          <w:p>
            <w:pPr>
              <w:pStyle w:val="TableContents"/>
              <w:bidi w:val="0"/>
              <w:spacing w:before="0" w:after="283"/>
              <w:jc w:val="left"/>
              <w:rPr/>
            </w:pPr>
            <w:r>
              <w:rPr/>
              <w:t>Classification</w:t>
            </w:r>
          </w:p>
        </w:tc>
        <w:tc>
          <w:tcPr>
            <w:tcW w:w="60" w:type="dxa"/>
            <w:tcBorders/>
            <w:vAlign w:val="center"/>
          </w:tcPr>
          <w:p>
            <w:pPr>
              <w:pStyle w:val="TableContents"/>
              <w:bidi w:val="0"/>
              <w:spacing w:before="0" w:after="283"/>
              <w:jc w:val="left"/>
              <w:rPr/>
            </w:pPr>
            <w:r>
              <w:rPr/>
              <w:t> </w:t>
            </w:r>
          </w:p>
        </w:tc>
        <w:tc>
          <w:tcPr>
            <w:tcW w:w="1597"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36" w:type="dxa"/>
            <w:tcBorders/>
            <w:vAlign w:val="center"/>
          </w:tcPr>
          <w:p>
            <w:pPr>
              <w:pStyle w:val="TableContents"/>
              <w:bidi w:val="0"/>
              <w:spacing w:before="0" w:after="283"/>
              <w:jc w:val="center"/>
              <w:rPr/>
            </w:pPr>
            <w:r>
              <w:rPr/>
              <w:t> </w:t>
            </w:r>
          </w:p>
        </w:tc>
        <w:tc>
          <w:tcPr>
            <w:tcW w:w="136" w:type="dxa"/>
            <w:tcBorders/>
            <w:vAlign w:val="center"/>
          </w:tcPr>
          <w:p>
            <w:pPr>
              <w:pStyle w:val="TableContents"/>
              <w:bidi w:val="0"/>
              <w:spacing w:before="0" w:after="283"/>
              <w:jc w:val="center"/>
              <w:rPr/>
            </w:pPr>
            <w:r>
              <w:rPr/>
              <w:t> </w:t>
            </w:r>
          </w:p>
        </w:tc>
        <w:tc>
          <w:tcPr>
            <w:tcW w:w="1597"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w:t>
            </w:r>
            <w:bookmarkStart w:id="627" w:name="xdx_982_eus-gaap--OperatingLeaseCost_pn3"/>
            <w:bookmarkEnd w:id="627"/>
          </w:p>
        </w:tc>
        <w:tc>
          <w:tcPr>
            <w:tcW w:w="1278" w:type="dxa"/>
            <w:tcBorders/>
            <w:shd w:fill="CCEEFF" w:val="clear"/>
            <w:vAlign w:val="center"/>
          </w:tcPr>
          <w:p>
            <w:pPr>
              <w:pStyle w:val="TableContents"/>
              <w:bidi w:val="0"/>
              <w:spacing w:before="0" w:after="283"/>
              <w:jc w:val="right"/>
              <w:rPr/>
            </w:pPr>
            <w:r>
              <w:rPr/>
              <w:t>2,461</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w:t>
            </w:r>
            <w:bookmarkStart w:id="628" w:name="xdx_989_eus-gaap--OperatingLeaseCost_pn3"/>
            <w:bookmarkEnd w:id="628"/>
          </w:p>
        </w:tc>
        <w:tc>
          <w:tcPr>
            <w:tcW w:w="1278" w:type="dxa"/>
            <w:tcBorders/>
            <w:shd w:fill="CCEEFF" w:val="clear"/>
            <w:vAlign w:val="center"/>
          </w:tcPr>
          <w:p>
            <w:pPr>
              <w:pStyle w:val="TableContents"/>
              <w:bidi w:val="0"/>
              <w:spacing w:before="0" w:after="283"/>
              <w:jc w:val="right"/>
              <w:rPr/>
            </w:pPr>
            <w:r>
              <w:rPr/>
              <w:t>1,579</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Operating lease cost</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bookmarkStart w:id="629" w:name="xdx_98A_eus-gaap--OperatingLeaseCost_pn3"/>
            <w:bookmarkEnd w:id="629"/>
          </w:p>
        </w:tc>
        <w:tc>
          <w:tcPr>
            <w:tcW w:w="1278" w:type="dxa"/>
            <w:tcBorders/>
            <w:shd w:fill="FFFFFF" w:val="clear"/>
            <w:vAlign w:val="center"/>
          </w:tcPr>
          <w:p>
            <w:pPr>
              <w:pStyle w:val="TableContents"/>
              <w:bidi w:val="0"/>
              <w:spacing w:before="0" w:after="283"/>
              <w:jc w:val="right"/>
              <w:rPr/>
            </w:pPr>
            <w:r>
              <w:rPr/>
              <w:t>122</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bookmarkStart w:id="630" w:name="xdx_981_eus-gaap--OperatingLeaseCost_pn3"/>
            <w:bookmarkEnd w:id="630"/>
          </w:p>
        </w:tc>
        <w:tc>
          <w:tcPr>
            <w:tcW w:w="1278" w:type="dxa"/>
            <w:tcBorders/>
            <w:shd w:fill="FFFFFF" w:val="clear"/>
            <w:vAlign w:val="center"/>
          </w:tcPr>
          <w:p>
            <w:pPr>
              <w:pStyle w:val="TableContents"/>
              <w:bidi w:val="0"/>
              <w:spacing w:before="0" w:after="283"/>
              <w:jc w:val="right"/>
              <w:rPr/>
            </w:pPr>
            <w:r>
              <w:rPr/>
              <w:t>520</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pPr>
            <w:r>
              <w:rPr/>
              <w:t>General and administration</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bookmarkStart w:id="631" w:name="xdx_980_eus-gaap--OperatingLeaseCost_pn3"/>
            <w:bookmarkEnd w:id="631"/>
          </w:p>
        </w:tc>
        <w:tc>
          <w:tcPr>
            <w:tcW w:w="1278" w:type="dxa"/>
            <w:tcBorders/>
            <w:shd w:fill="CCEEFF" w:val="clear"/>
            <w:vAlign w:val="center"/>
          </w:tcPr>
          <w:p>
            <w:pPr>
              <w:pStyle w:val="TableContents"/>
              <w:bidi w:val="0"/>
              <w:spacing w:before="0" w:after="283"/>
              <w:jc w:val="right"/>
              <w:rPr/>
            </w:pPr>
            <w:r>
              <w:rPr/>
              <w:t>2,858</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bookmarkStart w:id="632" w:name="xdx_988_eus-gaap--OperatingLeaseCost_pn3"/>
            <w:bookmarkEnd w:id="632"/>
          </w:p>
        </w:tc>
        <w:tc>
          <w:tcPr>
            <w:tcW w:w="1278" w:type="dxa"/>
            <w:tcBorders/>
            <w:shd w:fill="CCEEFF" w:val="clear"/>
            <w:vAlign w:val="center"/>
          </w:tcPr>
          <w:p>
            <w:pPr>
              <w:pStyle w:val="TableContents"/>
              <w:bidi w:val="0"/>
              <w:spacing w:before="0" w:after="283"/>
              <w:jc w:val="right"/>
              <w:rPr/>
            </w:pPr>
            <w:r>
              <w:rPr/>
              <w:t>2,291</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Operating lease cost</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33" w:name="xdx_986_eus-gaap--OperatingLeaseCost_pn3"/>
            <w:bookmarkEnd w:id="633"/>
          </w:p>
        </w:tc>
        <w:tc>
          <w:tcPr>
            <w:tcW w:w="1278" w:type="dxa"/>
            <w:tcBorders>
              <w:bottom w:val="double" w:sz="6" w:space="0" w:color="000000"/>
            </w:tcBorders>
            <w:shd w:fill="FFFFFF" w:val="clear"/>
            <w:tcMar>
              <w:bottom w:w="28" w:type="dxa"/>
            </w:tcMar>
            <w:vAlign w:val="center"/>
          </w:tcPr>
          <w:p>
            <w:pPr>
              <w:pStyle w:val="TableContents"/>
              <w:bidi w:val="0"/>
              <w:spacing w:before="0" w:after="283"/>
              <w:jc w:val="right"/>
              <w:rPr/>
            </w:pPr>
            <w:r>
              <w:rPr/>
              <w:t>52</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34" w:name="xdx_985_eus-gaap--OperatingLeaseCost_pn3"/>
            <w:bookmarkEnd w:id="634"/>
          </w:p>
        </w:tc>
        <w:tc>
          <w:tcPr>
            <w:tcW w:w="1278" w:type="dxa"/>
            <w:tcBorders>
              <w:bottom w:val="double" w:sz="6" w:space="0" w:color="000000"/>
            </w:tcBorders>
            <w:shd w:fill="FFFFFF" w:val="clear"/>
            <w:tcMar>
              <w:bottom w:w="28" w:type="dxa"/>
            </w:tcMar>
            <w:vAlign w:val="center"/>
          </w:tcPr>
          <w:p>
            <w:pPr>
              <w:pStyle w:val="TableContents"/>
              <w:bidi w:val="0"/>
              <w:spacing w:before="0" w:after="283"/>
              <w:jc w:val="right"/>
              <w:rPr/>
            </w:pPr>
            <w:r>
              <w:rPr/>
              <w:t>47</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35" w:name="xdx_98B_eus-gaap--OperatingLeaseCost_pn3"/>
            <w:bookmarkEnd w:id="635"/>
          </w:p>
        </w:tc>
        <w:tc>
          <w:tcPr>
            <w:tcW w:w="1278" w:type="dxa"/>
            <w:tcBorders>
              <w:bottom w:val="double" w:sz="6" w:space="0" w:color="000000"/>
            </w:tcBorders>
            <w:shd w:fill="CCEEFF" w:val="clear"/>
            <w:tcMar>
              <w:bottom w:w="28" w:type="dxa"/>
            </w:tcMar>
            <w:vAlign w:val="center"/>
          </w:tcPr>
          <w:p>
            <w:pPr>
              <w:pStyle w:val="TableContents"/>
              <w:bidi w:val="0"/>
              <w:spacing w:before="0" w:after="283"/>
              <w:jc w:val="right"/>
              <w:rPr/>
            </w:pPr>
            <w:r>
              <w:rPr/>
              <w:t>5,493</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36" w:name="xdx_986_eus-gaap--OperatingLeaseCost_pn3"/>
            <w:bookmarkEnd w:id="636"/>
          </w:p>
        </w:tc>
        <w:tc>
          <w:tcPr>
            <w:tcW w:w="1278" w:type="dxa"/>
            <w:tcBorders>
              <w:bottom w:val="double" w:sz="6" w:space="0" w:color="000000"/>
            </w:tcBorders>
            <w:shd w:fill="CCEEFF" w:val="clear"/>
            <w:tcMar>
              <w:bottom w:w="28" w:type="dxa"/>
            </w:tcMar>
            <w:vAlign w:val="center"/>
          </w:tcPr>
          <w:p>
            <w:pPr>
              <w:pStyle w:val="TableContents"/>
              <w:bidi w:val="0"/>
              <w:spacing w:before="0" w:after="283"/>
              <w:jc w:val="right"/>
              <w:rPr/>
            </w:pPr>
            <w:r>
              <w:rPr/>
              <w:t>4,437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37" w:name="xdx_8AC_zuffxcy1cLHa"/>
      <w:bookmarkEnd w:id="63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lease costs included in the schedule above are fixed.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5 - Commitments and Contingencies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finance lease agreements for equipment to support the Company’s operations. Payments under the finance lease agreements are fixed for a term of </w:t>
      </w:r>
      <w:bookmarkStart w:id="638" w:name="xdx_903_eus-gaap--LesseeFinanceLeaseTerm"/>
      <w:bookmarkEnd w:id="638"/>
      <w:r>
        <w:rPr>
          <w:rFonts w:ascii="Times New Roman;Times;Serif" w:hAnsi="Times New Roman;Times;Serif"/>
          <w:b w:val="false"/>
          <w:i w:val="false"/>
          <w:caps w:val="false"/>
          <w:smallCaps w:val="false"/>
          <w:sz w:val="20"/>
        </w:rPr>
        <w:t>3-</w:t>
      </w:r>
      <w:bookmarkStart w:id="639" w:name="xdx_90D_eus-gaap--LesseeFinanceLeaseTerm"/>
      <w:bookmarkEnd w:id="639"/>
      <w:r>
        <w:rPr>
          <w:rFonts w:ascii="Times New Roman;Times;Serif" w:hAnsi="Times New Roman;Times;Serif"/>
          <w:b w:val="false"/>
          <w:i w:val="false"/>
          <w:caps w:val="false"/>
          <w:smallCaps w:val="false"/>
          <w:sz w:val="20"/>
        </w:rPr>
        <w:t>5 years. The leased assets are recognized in property plant &amp;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0" w:name="xdx_890_ecustom--ScheduleOfBreakoutOfFin"/>
      <w:bookmarkEnd w:id="640"/>
      <w:r>
        <w:rPr>
          <w:rFonts w:ascii="Times New Roman;Times;Serif" w:hAnsi="Times New Roman;Times;Serif"/>
          <w:b w:val="false"/>
          <w:i w:val="false"/>
          <w:caps w:val="false"/>
          <w:smallCaps w:val="false"/>
          <w:sz w:val="20"/>
        </w:rPr>
        <w:t>The following table presents the breakout of the financing leases as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1" w:name="xdx_8B2_zYNl4xW3clG1"/>
      <w:bookmarkEnd w:id="641"/>
      <w:r>
        <w:rPr>
          <w:rFonts w:ascii="Times New Roman;Times;Serif" w:hAnsi="Times New Roman;Times;Serif"/>
          <w:b w:val="false"/>
          <w:i w:val="false"/>
          <w:caps w:val="false"/>
          <w:smallCaps w:val="false"/>
          <w:sz w:val="20"/>
        </w:rPr>
        <w:t>SCHEDULE OF BREAKOUT OF FINANCE LEASES</w:t>
      </w:r>
    </w:p>
    <w:tbl>
      <w:tblPr>
        <w:tblW w:w="8108" w:type="dxa"/>
        <w:jc w:val="left"/>
        <w:tblInd w:w="0" w:type="dxa"/>
        <w:tblLayout w:type="fixed"/>
        <w:tblCellMar>
          <w:top w:w="0" w:type="dxa"/>
          <w:left w:w="0" w:type="dxa"/>
          <w:bottom w:w="0" w:type="dxa"/>
          <w:right w:w="0" w:type="dxa"/>
        </w:tblCellMar>
      </w:tblPr>
      <w:tblGrid>
        <w:gridCol w:w="3755"/>
        <w:gridCol w:w="60"/>
        <w:gridCol w:w="419"/>
        <w:gridCol w:w="1475"/>
        <w:gridCol w:w="215"/>
        <w:gridCol w:w="60"/>
        <w:gridCol w:w="419"/>
        <w:gridCol w:w="1475"/>
        <w:gridCol w:w="23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42" w:name="xdx_493_20251231_zvWrzvviWwi9"/>
            <w:bookmarkEnd w:id="642"/>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43" w:name="xdx_49E_20241231_zjTD5pJEB3W3"/>
            <w:bookmarkEnd w:id="643"/>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2024</w:t>
            </w:r>
          </w:p>
        </w:tc>
        <w:tc>
          <w:tcPr>
            <w:tcW w:w="230" w:type="dxa"/>
            <w:tcBorders/>
            <w:vAlign w:val="center"/>
          </w:tcPr>
          <w:p>
            <w:pPr>
              <w:pStyle w:val="TableContents"/>
              <w:bidi w:val="0"/>
              <w:spacing w:before="0" w:after="283"/>
              <w:jc w:val="left"/>
              <w:rPr/>
            </w:pPr>
            <w:r>
              <w:rPr/>
              <w:t> </w:t>
            </w:r>
            <w:bookmarkStart w:id="644" w:name="xdx_40F_ecustom--FinanceLeaseRightOfUseA"/>
            <w:bookmarkEnd w:id="644"/>
          </w:p>
        </w:tc>
      </w:tr>
      <w:tr>
        <w:trPr/>
        <w:tc>
          <w:tcPr>
            <w:tcW w:w="3755" w:type="dxa"/>
            <w:tcBorders/>
            <w:shd w:fill="CCEEFF" w:val="clear"/>
            <w:vAlign w:val="center"/>
          </w:tcPr>
          <w:p>
            <w:pPr>
              <w:pStyle w:val="TableContents"/>
              <w:bidi w:val="0"/>
              <w:spacing w:before="0" w:after="283"/>
              <w:jc w:val="left"/>
              <w:rPr/>
            </w:pPr>
            <w:r>
              <w:rPr/>
              <w:t>Finance lease right-of-use assets</w:t>
            </w:r>
          </w:p>
        </w:tc>
        <w:tc>
          <w:tcPr>
            <w:tcW w:w="60" w:type="dxa"/>
            <w:tcBorders/>
            <w:shd w:fill="CCEEFF" w:val="clear"/>
            <w:vAlign w:val="center"/>
          </w:tcPr>
          <w:p>
            <w:pPr>
              <w:pStyle w:val="TableContents"/>
              <w:bidi w:val="0"/>
              <w:spacing w:before="0" w:after="283"/>
              <w:jc w:val="left"/>
              <w:rPr/>
            </w:pPr>
            <w:r>
              <w:rPr/>
              <w:t> </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75" w:type="dxa"/>
            <w:tcBorders>
              <w:bottom w:val="single" w:sz="8" w:space="0" w:color="000000"/>
            </w:tcBorders>
            <w:shd w:fill="CCEEFF" w:val="clear"/>
            <w:tcMar>
              <w:bottom w:w="28" w:type="dxa"/>
            </w:tcMar>
            <w:vAlign w:val="center"/>
          </w:tcPr>
          <w:p>
            <w:pPr>
              <w:pStyle w:val="TableContents"/>
              <w:bidi w:val="0"/>
              <w:spacing w:before="0" w:after="283"/>
              <w:jc w:val="right"/>
              <w:rPr/>
            </w:pPr>
            <w:r>
              <w:rPr/>
              <w:t>85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75" w:type="dxa"/>
            <w:tcBorders>
              <w:bottom w:val="single" w:sz="8" w:space="0" w:color="000000"/>
            </w:tcBorders>
            <w:shd w:fill="CCEEFF" w:val="clear"/>
            <w:tcMar>
              <w:bottom w:w="28" w:type="dxa"/>
            </w:tcMar>
            <w:vAlign w:val="center"/>
          </w:tcPr>
          <w:p>
            <w:pPr>
              <w:pStyle w:val="TableContents"/>
              <w:bidi w:val="0"/>
              <w:spacing w:before="0" w:after="283"/>
              <w:jc w:val="right"/>
              <w:rPr/>
            </w:pPr>
            <w:r>
              <w:rPr/>
              <w:t>121</w:t>
            </w:r>
          </w:p>
        </w:tc>
        <w:tc>
          <w:tcPr>
            <w:tcW w:w="230" w:type="dxa"/>
            <w:tcBorders/>
            <w:shd w:fill="CCEEFF" w:val="clear"/>
            <w:vAlign w:val="center"/>
          </w:tcPr>
          <w:p>
            <w:pPr>
              <w:pStyle w:val="TableContents"/>
              <w:bidi w:val="0"/>
              <w:spacing w:before="0" w:after="283"/>
              <w:jc w:val="left"/>
              <w:rPr/>
            </w:pPr>
            <w:r>
              <w:rPr/>
              <w:t> </w:t>
            </w:r>
            <w:bookmarkStart w:id="645" w:name="xdx_403_eus-gaap--FinanceLeaseLiabilityC"/>
            <w:bookmarkEnd w:id="645"/>
          </w:p>
        </w:tc>
      </w:tr>
      <w:tr>
        <w:trPr/>
        <w:tc>
          <w:tcPr>
            <w:tcW w:w="3755" w:type="dxa"/>
            <w:tcBorders/>
            <w:shd w:fill="FFFFFF" w:val="clear"/>
            <w:vAlign w:val="center"/>
          </w:tcPr>
          <w:p>
            <w:pPr>
              <w:pStyle w:val="TableContents"/>
              <w:bidi w:val="0"/>
              <w:spacing w:before="0" w:after="283"/>
              <w:jc w:val="left"/>
              <w:rPr/>
            </w:pPr>
            <w:r>
              <w:rPr/>
              <w:t>Short-term finance lease liabilities</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35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47</w:t>
            </w:r>
          </w:p>
        </w:tc>
        <w:tc>
          <w:tcPr>
            <w:tcW w:w="230" w:type="dxa"/>
            <w:tcBorders/>
            <w:shd w:fill="FFFFFF" w:val="clear"/>
            <w:vAlign w:val="center"/>
          </w:tcPr>
          <w:p>
            <w:pPr>
              <w:pStyle w:val="TableContents"/>
              <w:bidi w:val="0"/>
              <w:spacing w:before="0" w:after="283"/>
              <w:jc w:val="left"/>
              <w:rPr/>
            </w:pPr>
            <w:r>
              <w:rPr/>
              <w:t> </w:t>
            </w:r>
            <w:bookmarkStart w:id="646" w:name="xdx_402_eus-gaap--FinanceLeaseLiabilityN"/>
            <w:bookmarkEnd w:id="646"/>
          </w:p>
        </w:tc>
      </w:tr>
      <w:tr>
        <w:trPr/>
        <w:tc>
          <w:tcPr>
            <w:tcW w:w="3755" w:type="dxa"/>
            <w:tcBorders/>
            <w:shd w:fill="CCEEFF" w:val="clear"/>
            <w:vAlign w:val="center"/>
          </w:tcPr>
          <w:p>
            <w:pPr>
              <w:pStyle w:val="TableContents"/>
              <w:bidi w:val="0"/>
              <w:spacing w:before="0" w:after="283"/>
              <w:jc w:val="left"/>
              <w:rPr/>
            </w:pPr>
            <w:r>
              <w:rPr/>
              <w:t>Long-term finance lease liabilities</w:t>
            </w:r>
          </w:p>
        </w:tc>
        <w:tc>
          <w:tcPr>
            <w:tcW w:w="60" w:type="dxa"/>
            <w:tcBorders/>
            <w:shd w:fill="CCEEFF" w:val="clear"/>
            <w:vAlign w:val="center"/>
          </w:tcPr>
          <w:p>
            <w:pPr>
              <w:pStyle w:val="TableContents"/>
              <w:bidi w:val="0"/>
              <w:spacing w:before="0" w:after="283"/>
              <w:jc w:val="left"/>
              <w:rPr/>
            </w:pPr>
            <w:r>
              <w:rPr/>
              <w:t> </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CCEEFF" w:val="clear"/>
            <w:tcMar>
              <w:bottom w:w="28" w:type="dxa"/>
            </w:tcMar>
            <w:vAlign w:val="center"/>
          </w:tcPr>
          <w:p>
            <w:pPr>
              <w:pStyle w:val="TableContents"/>
              <w:bidi w:val="0"/>
              <w:spacing w:before="0" w:after="283"/>
              <w:jc w:val="right"/>
              <w:rPr/>
            </w:pPr>
            <w:r>
              <w:rPr/>
              <w:t>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CCEEFF" w:val="clear"/>
            <w:tcMar>
              <w:bottom w:w="28" w:type="dxa"/>
            </w:tcMar>
            <w:vAlign w:val="center"/>
          </w:tcPr>
          <w:p>
            <w:pPr>
              <w:pStyle w:val="TableContents"/>
              <w:bidi w:val="0"/>
              <w:spacing w:before="0" w:after="283"/>
              <w:jc w:val="right"/>
              <w:rPr/>
            </w:pPr>
            <w:r>
              <w:rPr/>
              <w:t>63</w:t>
            </w:r>
          </w:p>
        </w:tc>
        <w:tc>
          <w:tcPr>
            <w:tcW w:w="230" w:type="dxa"/>
            <w:tcBorders/>
            <w:shd w:fill="CCEEFF" w:val="clear"/>
            <w:vAlign w:val="center"/>
          </w:tcPr>
          <w:p>
            <w:pPr>
              <w:pStyle w:val="TableContents"/>
              <w:bidi w:val="0"/>
              <w:spacing w:before="0" w:after="283"/>
              <w:jc w:val="left"/>
              <w:rPr/>
            </w:pPr>
            <w:r>
              <w:rPr/>
              <w:t> </w:t>
            </w:r>
            <w:bookmarkStart w:id="647" w:name="xdx_400_eus-gaap--FinanceLeaseLiability_"/>
            <w:bookmarkEnd w:id="647"/>
          </w:p>
        </w:tc>
      </w:tr>
      <w:tr>
        <w:trPr/>
        <w:tc>
          <w:tcPr>
            <w:tcW w:w="3755" w:type="dxa"/>
            <w:tcBorders/>
            <w:shd w:fill="FFFFFF" w:val="clear"/>
            <w:vAlign w:val="center"/>
          </w:tcPr>
          <w:p>
            <w:pPr>
              <w:pStyle w:val="TableContents"/>
              <w:bidi w:val="0"/>
              <w:spacing w:before="0" w:after="283"/>
              <w:jc w:val="left"/>
              <w:rPr/>
            </w:pPr>
            <w:r>
              <w:rPr/>
              <w:t>Total finance lease liabilities</w:t>
            </w:r>
          </w:p>
        </w:tc>
        <w:tc>
          <w:tcPr>
            <w:tcW w:w="60" w:type="dxa"/>
            <w:tcBorders/>
            <w:shd w:fill="FFFFFF" w:val="clear"/>
            <w:vAlign w:val="center"/>
          </w:tcPr>
          <w:p>
            <w:pPr>
              <w:pStyle w:val="TableContents"/>
              <w:bidi w:val="0"/>
              <w:spacing w:before="0" w:after="283"/>
              <w:jc w:val="left"/>
              <w:rPr/>
            </w:pPr>
            <w:r>
              <w:rPr/>
              <w:t> </w:t>
            </w:r>
          </w:p>
        </w:tc>
        <w:tc>
          <w:tcPr>
            <w:tcW w:w="4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75" w:type="dxa"/>
            <w:tcBorders>
              <w:bottom w:val="double" w:sz="6" w:space="0" w:color="000000"/>
            </w:tcBorders>
            <w:shd w:fill="FFFFFF" w:val="clear"/>
            <w:tcMar>
              <w:bottom w:w="28" w:type="dxa"/>
            </w:tcMar>
            <w:vAlign w:val="center"/>
          </w:tcPr>
          <w:p>
            <w:pPr>
              <w:pStyle w:val="TableContents"/>
              <w:bidi w:val="0"/>
              <w:spacing w:before="0" w:after="283"/>
              <w:jc w:val="right"/>
              <w:rPr/>
            </w:pPr>
            <w:r>
              <w:rPr/>
              <w:t>63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75" w:type="dxa"/>
            <w:tcBorders>
              <w:bottom w:val="double" w:sz="6" w:space="0" w:color="000000"/>
            </w:tcBorders>
            <w:shd w:fill="FFFFFF" w:val="clear"/>
            <w:tcMar>
              <w:bottom w:w="28" w:type="dxa"/>
            </w:tcMar>
            <w:vAlign w:val="center"/>
          </w:tcPr>
          <w:p>
            <w:pPr>
              <w:pStyle w:val="TableContents"/>
              <w:bidi w:val="0"/>
              <w:spacing w:before="0" w:after="283"/>
              <w:jc w:val="right"/>
              <w:rPr/>
            </w:pPr>
            <w:r>
              <w:rPr/>
              <w:t>110</w:t>
            </w:r>
          </w:p>
        </w:tc>
        <w:tc>
          <w:tcPr>
            <w:tcW w:w="23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sz w:val="20"/>
              </w:rPr>
            </w:pPr>
            <w:bookmarkStart w:id="648" w:name="xdx_90B_eus-gaap--FinanceLeaseWeightedAv"/>
            <w:bookmarkEnd w:id="648"/>
            <w:r>
              <w:rPr>
                <w:rFonts w:ascii="Times New Roman;Times;Serif" w:hAnsi="Times New Roman;Times;Serif"/>
                <w:sz w:val="20"/>
              </w:rPr>
              <w:t>2.15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sz w:val="20"/>
              </w:rPr>
            </w:pPr>
            <w:bookmarkStart w:id="649" w:name="xdx_903_eus-gaap--FinanceLeaseWeightedAv"/>
            <w:bookmarkEnd w:id="649"/>
            <w:r>
              <w:rPr>
                <w:rFonts w:ascii="Times New Roman;Times;Serif" w:hAnsi="Times New Roman;Times;Serif"/>
                <w:sz w:val="20"/>
              </w:rPr>
              <w:t>2.78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bookmarkStart w:id="650" w:name="xdx_908_eus-gaap--FinanceLeaseWeightedAv"/>
            <w:bookmarkEnd w:id="650"/>
            <w:r>
              <w:rPr/>
              <w:t>5.2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bookmarkStart w:id="651" w:name="xdx_90B_eus-gaap--FinanceLeaseWeightedAv"/>
            <w:bookmarkEnd w:id="651"/>
            <w:r>
              <w:rPr/>
              <w:t>5.2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652" w:name="xdx_8A2_zI02fLo78tK1"/>
      <w:bookmarkEnd w:id="65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our incremental borrowing rate include our implied credit rating and an estimate of secured borrowing rates based on comparable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3" w:name="xdx_894_eus-gaap--FinanceLeaseLiabilityM"/>
      <w:bookmarkEnd w:id="653"/>
      <w:r>
        <w:rPr>
          <w:rFonts w:ascii="Times New Roman;Times;Serif" w:hAnsi="Times New Roman;Times;Serif"/>
          <w:b w:val="false"/>
          <w:i w:val="false"/>
          <w:caps w:val="false"/>
          <w:smallCaps w:val="false"/>
          <w:sz w:val="20"/>
        </w:rPr>
        <w:t>At December 31, 2025, the future minimum lease payments under these financing leases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654" w:name="xdx_8BF_z2ErgPNnd7W6"/>
      <w:bookmarkEnd w:id="654"/>
      <w:r>
        <w:rPr>
          <w:rFonts w:ascii="Times New Roman;Times;Serif" w:hAnsi="Times New Roman;Times;Serif"/>
          <w:b w:val="false"/>
          <w:i w:val="false"/>
          <w:caps w:val="false"/>
          <w:smallCaps w:val="false"/>
          <w:sz w:val="20"/>
        </w:rPr>
        <w:t>SCHEDULE OF FUTURE MINIMUM LEASE PAYMENTS UNDER FINANCE LEASES</w:t>
      </w:r>
    </w:p>
    <w:tbl>
      <w:tblPr>
        <w:tblW w:w="3435" w:type="dxa"/>
        <w:jc w:val="left"/>
        <w:tblInd w:w="0" w:type="dxa"/>
        <w:tblLayout w:type="fixed"/>
        <w:tblCellMar>
          <w:top w:w="0" w:type="dxa"/>
          <w:left w:w="0" w:type="dxa"/>
          <w:bottom w:w="0" w:type="dxa"/>
          <w:right w:w="0" w:type="dxa"/>
        </w:tblCellMar>
      </w:tblPr>
      <w:tblGrid>
        <w:gridCol w:w="2900"/>
        <w:gridCol w:w="60"/>
        <w:gridCol w:w="140"/>
        <w:gridCol w:w="260"/>
        <w:gridCol w:w="75"/>
      </w:tblGrid>
      <w:tr>
        <w:trPr/>
        <w:tc>
          <w:tcPr>
            <w:tcW w:w="2900" w:type="dxa"/>
            <w:tcBorders/>
            <w:shd w:fill="CCEEFF" w:val="clear"/>
            <w:vAlign w:val="center"/>
          </w:tcPr>
          <w:p>
            <w:pPr>
              <w:pStyle w:val="TableContents"/>
              <w:bidi w:val="0"/>
              <w:spacing w:before="0" w:after="283"/>
              <w:jc w:val="left"/>
              <w:rPr/>
            </w:pPr>
            <w:r>
              <w:rPr/>
              <w:t>Fiscal Years Ending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55" w:name="xdx_497_20251231_zFFSWWR3mt37"/>
            <w:bookmarkEnd w:id="655"/>
          </w:p>
        </w:tc>
        <w:tc>
          <w:tcPr>
            <w:tcW w:w="2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56" w:name="xdx_408_eus-gaap--FinanceLeaseLiabilityP"/>
            <w:bookmarkEnd w:id="656"/>
          </w:p>
        </w:tc>
      </w:tr>
      <w:tr>
        <w:trPr/>
        <w:tc>
          <w:tcPr>
            <w:tcW w:w="2900" w:type="dxa"/>
            <w:tcBorders/>
            <w:shd w:fill="FFFFFF" w:val="clear"/>
            <w:vAlign w:val="center"/>
          </w:tcPr>
          <w:p>
            <w:pPr>
              <w:pStyle w:val="TableContents"/>
              <w:bidi w:val="0"/>
              <w:spacing w:before="0" w:after="283"/>
              <w:jc w:val="left"/>
              <w:rPr/>
            </w:pPr>
            <w:r>
              <w:rPr/>
              <w:t>December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37</w:t>
            </w:r>
          </w:p>
        </w:tc>
        <w:tc>
          <w:tcPr>
            <w:tcW w:w="75" w:type="dxa"/>
            <w:tcBorders/>
            <w:shd w:fill="FFFFFF" w:val="clear"/>
            <w:vAlign w:val="center"/>
          </w:tcPr>
          <w:p>
            <w:pPr>
              <w:pStyle w:val="TableContents"/>
              <w:bidi w:val="0"/>
              <w:spacing w:before="0" w:after="283"/>
              <w:jc w:val="left"/>
              <w:rPr/>
            </w:pPr>
            <w:r>
              <w:rPr/>
              <w:t> </w:t>
            </w:r>
            <w:bookmarkStart w:id="657" w:name="xdx_404_eus-gaap--FinanceLeaseLiabilityP"/>
            <w:bookmarkEnd w:id="657"/>
          </w:p>
        </w:tc>
      </w:tr>
      <w:tr>
        <w:trPr/>
        <w:tc>
          <w:tcPr>
            <w:tcW w:w="2900" w:type="dxa"/>
            <w:tcBorders/>
            <w:shd w:fill="CCEEFF" w:val="clear"/>
            <w:vAlign w:val="center"/>
          </w:tcPr>
          <w:p>
            <w:pPr>
              <w:pStyle w:val="TableContents"/>
              <w:bidi w:val="0"/>
              <w:spacing w:before="0" w:after="283"/>
              <w:jc w:val="left"/>
              <w:rPr/>
            </w:pPr>
            <w:r>
              <w:rPr/>
              <w:t>December 31, 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18</w:t>
            </w:r>
          </w:p>
        </w:tc>
        <w:tc>
          <w:tcPr>
            <w:tcW w:w="75" w:type="dxa"/>
            <w:tcBorders/>
            <w:shd w:fill="CCEEFF" w:val="clear"/>
            <w:vAlign w:val="center"/>
          </w:tcPr>
          <w:p>
            <w:pPr>
              <w:pStyle w:val="TableContents"/>
              <w:bidi w:val="0"/>
              <w:spacing w:before="0" w:after="283"/>
              <w:jc w:val="left"/>
              <w:rPr/>
            </w:pPr>
            <w:r>
              <w:rPr/>
              <w:t> </w:t>
            </w:r>
            <w:bookmarkStart w:id="658" w:name="xdx_404_eus-gaap--FinanceLeaseLiabilityP"/>
            <w:bookmarkEnd w:id="658"/>
          </w:p>
        </w:tc>
      </w:tr>
      <w:tr>
        <w:trPr/>
        <w:tc>
          <w:tcPr>
            <w:tcW w:w="2900" w:type="dxa"/>
            <w:tcBorders/>
            <w:shd w:fill="FFFFFF" w:val="clear"/>
            <w:vAlign w:val="center"/>
          </w:tcPr>
          <w:p>
            <w:pPr>
              <w:pStyle w:val="TableContents"/>
              <w:bidi w:val="0"/>
              <w:spacing w:before="0" w:after="283"/>
              <w:jc w:val="left"/>
              <w:rPr/>
            </w:pPr>
            <w:r>
              <w:rPr/>
              <w:t>December 31, 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9</w:t>
            </w:r>
          </w:p>
        </w:tc>
        <w:tc>
          <w:tcPr>
            <w:tcW w:w="75" w:type="dxa"/>
            <w:tcBorders/>
            <w:shd w:fill="FFFFFF" w:val="clear"/>
            <w:vAlign w:val="center"/>
          </w:tcPr>
          <w:p>
            <w:pPr>
              <w:pStyle w:val="TableContents"/>
              <w:bidi w:val="0"/>
              <w:spacing w:before="0" w:after="283"/>
              <w:jc w:val="left"/>
              <w:rPr/>
            </w:pPr>
            <w:r>
              <w:rPr/>
              <w:t> </w:t>
            </w:r>
            <w:bookmarkStart w:id="659" w:name="xdx_404_eus-gaap--FinanceLeaseLiabilityP"/>
            <w:bookmarkEnd w:id="659"/>
          </w:p>
        </w:tc>
      </w:tr>
      <w:tr>
        <w:trPr/>
        <w:tc>
          <w:tcPr>
            <w:tcW w:w="2900" w:type="dxa"/>
            <w:tcBorders/>
            <w:shd w:fill="CCEEFF" w:val="clear"/>
            <w:vAlign w:val="center"/>
          </w:tcPr>
          <w:p>
            <w:pPr>
              <w:pStyle w:val="TableContents"/>
              <w:bidi w:val="0"/>
              <w:spacing w:before="0" w:after="283"/>
              <w:jc w:val="left"/>
              <w:rPr/>
            </w:pPr>
            <w:r>
              <w:rPr/>
              <w:t>December 31, 2029</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bookmarkStart w:id="660" w:name="xdx_404_eus-gaap--FinanceLeaseLiabilityP"/>
            <w:bookmarkEnd w:id="660"/>
          </w:p>
        </w:tc>
      </w:tr>
      <w:tr>
        <w:trPr/>
        <w:tc>
          <w:tcPr>
            <w:tcW w:w="2900" w:type="dxa"/>
            <w:tcBorders/>
            <w:shd w:fill="FFFFFF" w:val="clear"/>
            <w:vAlign w:val="center"/>
          </w:tcPr>
          <w:p>
            <w:pPr>
              <w:pStyle w:val="TableContents"/>
              <w:bidi w:val="0"/>
              <w:spacing w:before="0" w:after="283"/>
              <w:jc w:val="left"/>
              <w:rPr/>
            </w:pPr>
            <w:r>
              <w:rPr/>
              <w:t>Total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66</w:t>
            </w:r>
          </w:p>
        </w:tc>
        <w:tc>
          <w:tcPr>
            <w:tcW w:w="75" w:type="dxa"/>
            <w:tcBorders/>
            <w:shd w:fill="FFFFFF" w:val="clear"/>
            <w:vAlign w:val="center"/>
          </w:tcPr>
          <w:p>
            <w:pPr>
              <w:pStyle w:val="TableContents"/>
              <w:bidi w:val="0"/>
              <w:spacing w:before="0" w:after="283"/>
              <w:jc w:val="left"/>
              <w:rPr/>
            </w:pPr>
            <w:r>
              <w:rPr/>
              <w:t> </w:t>
            </w:r>
            <w:bookmarkStart w:id="661" w:name="xdx_40E_eus-gaap--FinanceLeaseLiabilityU"/>
            <w:bookmarkEnd w:id="661"/>
          </w:p>
        </w:tc>
      </w:tr>
      <w:tr>
        <w:trPr/>
        <w:tc>
          <w:tcPr>
            <w:tcW w:w="2900"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bookmarkStart w:id="662" w:name="xdx_406_eus-gaap--FinanceLeaseLiability_"/>
            <w:bookmarkEnd w:id="662"/>
          </w:p>
        </w:tc>
      </w:tr>
      <w:tr>
        <w:trPr/>
        <w:tc>
          <w:tcPr>
            <w:tcW w:w="2900" w:type="dxa"/>
            <w:tcBorders/>
            <w:shd w:fill="FFFFFF" w:val="clear"/>
            <w:vAlign w:val="center"/>
          </w:tcPr>
          <w:p>
            <w:pPr>
              <w:pStyle w:val="TableContents"/>
              <w:bidi w:val="0"/>
              <w:spacing w:before="0" w:after="283"/>
              <w:jc w:val="left"/>
              <w:rPr/>
            </w:pPr>
            <w:r>
              <w:rPr/>
              <w:t>Total financing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right"/>
              <w:rPr/>
            </w:pPr>
            <w:r>
              <w:rPr/>
              <w:t>63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63" w:name="xdx_8A6_zLuID5GIEZSf"/>
      <w:bookmarkEnd w:id="663"/>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agreed to pay LithiumHub a total of $</w:t>
      </w:r>
      <w:bookmarkStart w:id="664" w:name="xdx_906_eus-gaap--ContractualObligation_"/>
      <w:bookmarkEnd w:id="664"/>
      <w:r>
        <w:rPr>
          <w:rFonts w:ascii="Times New Roman;Times;Serif" w:hAnsi="Times New Roman;Times;Serif"/>
          <w:b w:val="false"/>
          <w:i w:val="false"/>
          <w:caps w:val="false"/>
          <w:smallCaps w:val="false"/>
          <w:sz w:val="20"/>
        </w:rPr>
        <w:t>2,500, of which approximately $</w:t>
      </w:r>
      <w:bookmarkStart w:id="665" w:name="xdx_90A_eus-gaap--ContractualObligationF"/>
      <w:bookmarkEnd w:id="665"/>
      <w:r>
        <w:rPr>
          <w:rFonts w:ascii="Times New Roman;Times;Serif" w:hAnsi="Times New Roman;Times;Serif"/>
          <w:b w:val="false"/>
          <w:i w:val="false"/>
          <w:caps w:val="false"/>
          <w:smallCaps w:val="false"/>
          <w:sz w:val="20"/>
        </w:rPr>
        <w:t>562 is payable in 2025 and approximately $</w:t>
      </w:r>
      <w:bookmarkStart w:id="666" w:name="xdx_90F_eus-gaap--ContractualObligationD"/>
      <w:bookmarkEnd w:id="666"/>
      <w:r>
        <w:rPr>
          <w:rFonts w:ascii="Times New Roman;Times;Serif" w:hAnsi="Times New Roman;Times;Serif"/>
          <w:b w:val="false"/>
          <w:i w:val="false"/>
          <w:caps w:val="false"/>
          <w:smallCaps w:val="false"/>
          <w:sz w:val="20"/>
        </w:rPr>
        <w:t>1,938 is payable in 2026, in exchange for a non-exclusive license in LithiumHub Technologies, LLC’s patent rights related to the Patents-in-Suit. In accordance with the Settlement Agreement, the Company and LithiumHub terminated the ongoing patent litigation between them. The Settlement Agreement includes no admission of infringement by the Company. On October 22, 2025, the Company paid the settlement amount in full.</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667" w:name="xdx_806_eus-gaap--DebtDisclosureTextBloc"/>
      <w:bookmarkEnd w:id="667"/>
      <w:r>
        <w:rPr>
          <w:rFonts w:ascii="Times New Roman;Times;Serif" w:hAnsi="Times New Roman;Times;Serif"/>
          <w:b/>
          <w:i w:val="false"/>
          <w:caps/>
          <w:sz w:val="20"/>
        </w:rPr>
        <w:t xml:space="preserve">Note 6 - </w:t>
      </w:r>
      <w:bookmarkStart w:id="668" w:name="xdx_820_zsKKE1GJeHf3"/>
      <w:bookmarkEnd w:id="668"/>
      <w:r>
        <w:rPr>
          <w:rFonts w:ascii="Times New Roman;Times;Serif" w:hAnsi="Times New Roman;Times;Serif"/>
          <w:b/>
          <w:i w:val="false"/>
          <w:caps/>
          <w:sz w:val="20"/>
        </w:rPr>
        <w:t>Long 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2024, the Company had an outstanding term loan (the “Term Loan”) under a Term Loan, Guarantee and Security Agreement (the “Term Loan Agreement”), dated October 7, 2022, with EICF Agent LLC, as agent, and certain lenders. As amended, the Term Loan matures on </w:t>
      </w:r>
      <w:bookmarkStart w:id="669" w:name="xdx_907_eus-gaap--DebtInstrumentMaturity"/>
      <w:bookmarkEnd w:id="669"/>
      <w:r>
        <w:rPr>
          <w:rFonts w:ascii="Times New Roman;Times;Serif" w:hAnsi="Times New Roman;Times;Serif"/>
          <w:b w:val="false"/>
          <w:i w:val="false"/>
          <w:caps w:val="false"/>
          <w:smallCaps w:val="false"/>
          <w:sz w:val="20"/>
        </w:rPr>
        <w:t xml:space="preserve">October 7, 2027 and requires monthly installments based on </w:t>
      </w:r>
      <w:bookmarkStart w:id="670" w:name="xdx_907_ecustom--DebtInstrumentAmortizat"/>
      <w:bookmarkEnd w:id="670"/>
      <w:r>
        <w:rPr>
          <w:rFonts w:ascii="Times New Roman;Times;Serif" w:hAnsi="Times New Roman;Times;Serif"/>
          <w:b w:val="false"/>
          <w:i w:val="false"/>
          <w:caps w:val="false"/>
          <w:smallCaps w:val="false"/>
          <w:sz w:val="20"/>
        </w:rPr>
        <w:t>0.4167% of the principal amount of Term Loans outstanding beginning December 1, 2025. The obligations under the Term Loan Agreement are secured by a first priority lien on substantially all of the Company’s assets, including certain mortgaged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any amendments, the Term Loan accrued interest based on the Company’s senior leverage ratio. From inception through September 30, 2024, interest accrued at a per annum rate equal to adjusted SOFR (subject to a floor of 1.0%) plus</w:t>
      </w:r>
      <w:bookmarkStart w:id="671" w:name="xdx_900_ecustom--DebtInstrumentBasisSpre"/>
      <w:bookmarkEnd w:id="671"/>
      <w:r>
        <w:rPr>
          <w:rFonts w:ascii="Times New Roman;Times;Serif" w:hAnsi="Times New Roman;Times;Serif"/>
          <w:b w:val="false"/>
          <w:i w:val="false"/>
          <w:caps w:val="false"/>
          <w:smallCaps w:val="false"/>
          <w:sz w:val="20"/>
        </w:rPr>
        <w:t xml:space="preserve"> 7.0% payable in cash, plus an additional </w:t>
      </w:r>
      <w:bookmarkStart w:id="672" w:name="xdx_909_ecustom--DebtInstrumentBasisSpre"/>
      <w:bookmarkEnd w:id="672"/>
      <w:r>
        <w:rPr>
          <w:rFonts w:ascii="Times New Roman;Times;Serif" w:hAnsi="Times New Roman;Times;Serif"/>
          <w:b w:val="false"/>
          <w:i w:val="false"/>
          <w:caps w:val="false"/>
          <w:smallCaps w:val="false"/>
          <w:sz w:val="20"/>
        </w:rPr>
        <w:t xml:space="preserve">4.5% to </w:t>
      </w:r>
      <w:bookmarkStart w:id="673" w:name="xdx_902_ecustom--DebtInstrumentBasisSpre"/>
      <w:bookmarkEnd w:id="673"/>
      <w:r>
        <w:rPr>
          <w:rFonts w:ascii="Times New Roman;Times;Serif" w:hAnsi="Times New Roman;Times;Serif"/>
          <w:b w:val="false"/>
          <w:i w:val="false"/>
          <w:caps w:val="false"/>
          <w:smallCaps w:val="false"/>
          <w:sz w:val="20"/>
        </w:rPr>
        <w:t>6.5% payable in kind (“PIK”), depending on the Company’s senior leverage ratio. Effective April 1, 2024, interest payable to lenders subject to the regulations of the U.S. Small Business Administration (with $</w:t>
      </w:r>
      <w:bookmarkStart w:id="674" w:name="xdx_907_eus-gaap--DebtInstrumentFaceAmou"/>
      <w:bookmarkEnd w:id="674"/>
      <w:r>
        <w:rPr>
          <w:rFonts w:ascii="Times New Roman;Times;Serif" w:hAnsi="Times New Roman;Times;Serif"/>
          <w:b w:val="false"/>
          <w:i w:val="false"/>
          <w:caps w:val="false"/>
          <w:smallCaps w:val="false"/>
          <w:sz w:val="20"/>
        </w:rPr>
        <w:t xml:space="preserve">30,846 of principal outstanding as of that date) was limited to </w:t>
      </w:r>
      <w:bookmarkStart w:id="675" w:name="xdx_900_eus-gaap--DebtInstrumentInterest"/>
      <w:bookmarkEnd w:id="675"/>
      <w:r>
        <w:rPr>
          <w:rFonts w:ascii="Times New Roman;Times;Serif" w:hAnsi="Times New Roman;Times;Serif"/>
          <w:b w:val="false"/>
          <w:i w:val="false"/>
          <w:caps w:val="false"/>
          <w:smallCaps w:val="false"/>
          <w:sz w:val="20"/>
        </w:rPr>
        <w:t xml:space="preserve">14.0% per annum, excluding default interest permitted under applicable SBA regulations. From October 1, 2024 through March 31, 2025, interest on the non SBA regulated portion continued to accrue at adjusted SOFR plus </w:t>
      </w:r>
      <w:bookmarkStart w:id="676" w:name="xdx_90E_ecustom--DebtInstrumentBasisSpre"/>
      <w:bookmarkEnd w:id="676"/>
      <w:r>
        <w:rPr>
          <w:rFonts w:ascii="Times New Roman;Times;Serif" w:hAnsi="Times New Roman;Times;Serif"/>
          <w:b w:val="false"/>
          <w:i w:val="false"/>
          <w:caps w:val="false"/>
          <w:smallCaps w:val="false"/>
          <w:sz w:val="20"/>
        </w:rPr>
        <w:t xml:space="preserve">7.0% payable in cash, and </w:t>
      </w:r>
      <w:bookmarkStart w:id="677" w:name="xdx_909_ecustom--DebtInstrumentBasisSpre"/>
      <w:bookmarkEnd w:id="677"/>
      <w:r>
        <w:rPr>
          <w:rFonts w:ascii="Times New Roman;Times;Serif" w:hAnsi="Times New Roman;Times;Serif"/>
          <w:b w:val="false"/>
          <w:i w:val="false"/>
          <w:caps w:val="false"/>
          <w:smallCaps w:val="false"/>
          <w:sz w:val="20"/>
        </w:rPr>
        <w:t>4.5% to</w:t>
      </w:r>
      <w:bookmarkStart w:id="678" w:name="xdx_901_ecustom--DebtInstrumentBasisSpre"/>
      <w:bookmarkEnd w:id="678"/>
      <w:r>
        <w:rPr>
          <w:rFonts w:ascii="Times New Roman;Times;Serif" w:hAnsi="Times New Roman;Times;Serif"/>
          <w:b w:val="false"/>
          <w:i w:val="false"/>
          <w:caps w:val="false"/>
          <w:smallCaps w:val="false"/>
          <w:sz w:val="20"/>
        </w:rPr>
        <w:t xml:space="preserve"> 6.5% payable in kind. Beginning April 1, 2025, interest on all outstanding balances will be payable entirely in cash, at a rate equal to adjusted SOFR plus a margin ranging from </w:t>
      </w:r>
      <w:bookmarkStart w:id="679" w:name="xdx_90D_ecustom--DebtInstrumentBasisSpre"/>
      <w:bookmarkEnd w:id="679"/>
      <w:r>
        <w:rPr>
          <w:rFonts w:ascii="Times New Roman;Times;Serif" w:hAnsi="Times New Roman;Times;Serif"/>
          <w:b w:val="false"/>
          <w:i w:val="false"/>
          <w:caps w:val="false"/>
          <w:smallCaps w:val="false"/>
          <w:sz w:val="20"/>
        </w:rPr>
        <w:t xml:space="preserve">11.5% to </w:t>
      </w:r>
      <w:bookmarkStart w:id="680" w:name="xdx_904_ecustom--DebtInstrumentBasisSpre"/>
      <w:bookmarkEnd w:id="680"/>
      <w:r>
        <w:rPr>
          <w:rFonts w:ascii="Times New Roman;Times;Serif" w:hAnsi="Times New Roman;Times;Serif"/>
          <w:b w:val="false"/>
          <w:i w:val="false"/>
          <w:caps w:val="false"/>
          <w:smallCaps w:val="false"/>
          <w:sz w:val="20"/>
        </w:rPr>
        <w:t>13.5%, depending on the Company’s senior leverage ratio. Effective October 20, 2025, the Term Loan was amended to adjust the fixed interest rate of the remaining outstanding principal amount under the Term Loan Agreement to a fixed interest rate of 12% per annum, payable monthly commencing December 31, 2025 that will mature in October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recognized interest expense of $</w:t>
      </w:r>
      <w:bookmarkStart w:id="681" w:name="xdx_902_eus-gaap--InterestExpenseDebtExc"/>
      <w:bookmarkEnd w:id="681"/>
      <w:r>
        <w:rPr>
          <w:rFonts w:ascii="Times New Roman;Times;Serif" w:hAnsi="Times New Roman;Times;Serif"/>
          <w:b w:val="false"/>
          <w:i w:val="false"/>
          <w:caps w:val="false"/>
          <w:smallCaps w:val="false"/>
          <w:sz w:val="20"/>
        </w:rPr>
        <w:t>12,636, consisting of $</w:t>
      </w:r>
      <w:bookmarkStart w:id="682" w:name="xdx_902_ecustom--PaymentInKindInterest_p"/>
      <w:bookmarkEnd w:id="682"/>
      <w:r>
        <w:rPr>
          <w:rFonts w:ascii="Times New Roman;Times;Serif" w:hAnsi="Times New Roman;Times;Serif"/>
          <w:b w:val="false"/>
          <w:i w:val="false"/>
          <w:caps w:val="false"/>
          <w:smallCaps w:val="false"/>
          <w:sz w:val="20"/>
        </w:rPr>
        <w:t>12,046 in PIK interest and $</w:t>
      </w:r>
      <w:bookmarkStart w:id="683" w:name="xdx_90D_eus-gaap--Cash_iI_pn3n3_c2025123"/>
      <w:bookmarkEnd w:id="683"/>
      <w:r>
        <w:rPr>
          <w:rFonts w:ascii="Times New Roman;Times;Serif" w:hAnsi="Times New Roman;Times;Serif"/>
          <w:b w:val="false"/>
          <w:i w:val="false"/>
          <w:caps w:val="false"/>
          <w:smallCaps w:val="false"/>
          <w:sz w:val="20"/>
        </w:rPr>
        <w:t>590 in cash, paid subsequent to year end. During the year ended December 31, 2024, the Company recognized interest expense of $</w:t>
      </w:r>
      <w:bookmarkStart w:id="684" w:name="xdx_90E_eus-gaap--InterestExpenseDebtExc"/>
      <w:bookmarkEnd w:id="684"/>
      <w:r>
        <w:rPr>
          <w:rFonts w:ascii="Times New Roman;Times;Serif" w:hAnsi="Times New Roman;Times;Serif"/>
          <w:b w:val="false"/>
          <w:i w:val="false"/>
          <w:caps w:val="false"/>
          <w:smallCaps w:val="false"/>
          <w:sz w:val="20"/>
        </w:rPr>
        <w:t>13,999, consisting of $</w:t>
      </w:r>
      <w:bookmarkStart w:id="685" w:name="xdx_909_ecustom--PaymentInKindInterest_p"/>
      <w:bookmarkEnd w:id="685"/>
      <w:r>
        <w:rPr>
          <w:rFonts w:ascii="Times New Roman;Times;Serif" w:hAnsi="Times New Roman;Times;Serif"/>
          <w:b w:val="false"/>
          <w:i w:val="false"/>
          <w:caps w:val="false"/>
          <w:smallCaps w:val="false"/>
          <w:sz w:val="20"/>
        </w:rPr>
        <w:t>9,808 in PIK interest and $</w:t>
      </w:r>
      <w:bookmarkStart w:id="686" w:name="xdx_900_eus-gaap--Cash_iI_pn3n3_c2024123"/>
      <w:bookmarkEnd w:id="686"/>
      <w:r>
        <w:rPr>
          <w:rFonts w:ascii="Times New Roman;Times;Serif" w:hAnsi="Times New Roman;Times;Serif"/>
          <w:b w:val="false"/>
          <w:i w:val="false"/>
          <w:caps w:val="false"/>
          <w:smallCaps w:val="false"/>
          <w:sz w:val="20"/>
        </w:rPr>
        <w:t>4,191 in cash. Amortization of the debt issuance costs amounted to $</w:t>
      </w:r>
      <w:bookmarkStart w:id="687" w:name="xdx_904_eus-gaap--AmortizationOfFinancin"/>
      <w:bookmarkEnd w:id="687"/>
      <w:r>
        <w:rPr>
          <w:rFonts w:ascii="Times New Roman;Times;Serif" w:hAnsi="Times New Roman;Times;Serif"/>
          <w:b w:val="false"/>
          <w:i w:val="false"/>
          <w:caps w:val="false"/>
          <w:smallCaps w:val="false"/>
          <w:sz w:val="20"/>
        </w:rPr>
        <w:t>7,591 and $</w:t>
      </w:r>
      <w:bookmarkStart w:id="688" w:name="xdx_902_eus-gaap--AmortizationOfFinancin"/>
      <w:bookmarkEnd w:id="688"/>
      <w:r>
        <w:rPr>
          <w:rFonts w:ascii="Times New Roman;Times;Serif" w:hAnsi="Times New Roman;Times;Serif"/>
          <w:b w:val="false"/>
          <w:i w:val="false"/>
          <w:caps w:val="false"/>
          <w:smallCaps w:val="false"/>
          <w:sz w:val="20"/>
        </w:rPr>
        <w:t>7,241, respectively, for the same periods. As of December 31, 2025, the carrying value of the Term Loan was $</w:t>
      </w:r>
      <w:bookmarkStart w:id="689" w:name="xdx_90E_eus-gaap--LongTermDebt_iI_pn3n3_"/>
      <w:bookmarkEnd w:id="689"/>
      <w:r>
        <w:rPr>
          <w:rFonts w:ascii="Times New Roman;Times;Serif" w:hAnsi="Times New Roman;Times;Serif"/>
          <w:b w:val="false"/>
          <w:i w:val="false"/>
          <w:caps w:val="false"/>
          <w:smallCaps w:val="false"/>
          <w:sz w:val="20"/>
        </w:rPr>
        <w:t>9,645, consisting of $</w:t>
      </w:r>
      <w:bookmarkStart w:id="690" w:name="xdx_906_eus-gaap--LongTermDebt_iI_pn3n3_"/>
      <w:bookmarkEnd w:id="690"/>
      <w:r>
        <w:rPr>
          <w:rFonts w:ascii="Times New Roman;Times;Serif" w:hAnsi="Times New Roman;Times;Serif"/>
          <w:b w:val="false"/>
          <w:i w:val="false"/>
          <w:caps w:val="false"/>
          <w:smallCaps w:val="false"/>
          <w:sz w:val="20"/>
        </w:rPr>
        <w:t>19,344 in principal net of $</w:t>
      </w:r>
      <w:bookmarkStart w:id="691" w:name="xdx_904_eus-gaap--PaidInKindInterest_pn3"/>
      <w:bookmarkEnd w:id="691"/>
      <w:r>
        <w:rPr>
          <w:rFonts w:ascii="Times New Roman;Times;Serif" w:hAnsi="Times New Roman;Times;Serif"/>
          <w:b w:val="false"/>
          <w:i w:val="false"/>
          <w:caps w:val="false"/>
          <w:smallCaps w:val="false"/>
          <w:sz w:val="20"/>
        </w:rPr>
        <w:t>9,699 in unamortized debt discount. As of December 31, 2024, the carrying value of the Term Loan was $</w:t>
      </w:r>
      <w:bookmarkStart w:id="692" w:name="xdx_906_eus-gaap--LongTermDebt_iI_pn3n3_"/>
      <w:bookmarkEnd w:id="692"/>
      <w:r>
        <w:rPr>
          <w:rFonts w:ascii="Times New Roman;Times;Serif" w:hAnsi="Times New Roman;Times;Serif"/>
          <w:b w:val="false"/>
          <w:i w:val="false"/>
          <w:caps w:val="false"/>
          <w:smallCaps w:val="false"/>
          <w:sz w:val="20"/>
        </w:rPr>
        <w:t>29,646, consisting of $</w:t>
      </w:r>
      <w:bookmarkStart w:id="693" w:name="xdx_90E_eus-gaap--DebtInstrumentFaceAmou"/>
      <w:bookmarkEnd w:id="693"/>
      <w:r>
        <w:rPr>
          <w:rFonts w:ascii="Times New Roman;Times;Serif" w:hAnsi="Times New Roman;Times;Serif"/>
          <w:b w:val="false"/>
          <w:i w:val="false"/>
          <w:caps w:val="false"/>
          <w:smallCaps w:val="false"/>
          <w:sz w:val="20"/>
        </w:rPr>
        <w:t>69,974 in principal and $</w:t>
      </w:r>
      <w:bookmarkStart w:id="694" w:name="xdx_904_eus-gaap--PaidInKindInterest_pn3"/>
      <w:bookmarkEnd w:id="694"/>
      <w:r>
        <w:rPr>
          <w:rFonts w:ascii="Times New Roman;Times;Serif" w:hAnsi="Times New Roman;Times;Serif"/>
          <w:b w:val="false"/>
          <w:i w:val="false"/>
          <w:caps w:val="false"/>
          <w:smallCaps w:val="false"/>
          <w:sz w:val="20"/>
        </w:rPr>
        <w:t>15,938 in capitalized PIK interest, net of $</w:t>
      </w:r>
      <w:bookmarkStart w:id="695" w:name="xdx_906_eus-gaap--DeferredFinanceCostsNe"/>
      <w:bookmarkEnd w:id="695"/>
      <w:r>
        <w:rPr>
          <w:rFonts w:ascii="Times New Roman;Times;Serif" w:hAnsi="Times New Roman;Times;Serif"/>
          <w:b w:val="false"/>
          <w:i w:val="false"/>
          <w:caps w:val="false"/>
          <w:smallCaps w:val="false"/>
          <w:sz w:val="20"/>
        </w:rPr>
        <w:t>56,266 in unamortized debt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Waivers and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original execution of the Term Loan Agreement, the Company entered into several amendments which modified certain terms of the facility, including, but not limited to, interest rate mechanics, the timing of principal payments, and certain financial and operational covenants. These amendments were in effect as of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Long Term Debt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 Loan Agreement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Waivers and Amendments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2024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13, 2024, the Company received a waiver from its Administrative Agent and Term Loan Lenders (the “May 2024 Waiver”) in regards to its compliance with the Senior Leverage Ratio and Fixed Charge Coverage Ratio tests (the “Tests”) as of the last day of the quarter ended March 31, 2024. The May 2024 Waiver provided for a one-time issuance of penny warrants (the “May 2024 Penny Warrants”) to purchase up to </w:t>
      </w:r>
      <w:bookmarkStart w:id="696" w:name="xdx_903_eus-gaap--ClassOfWarrantOrRightN"/>
      <w:bookmarkEnd w:id="696"/>
      <w:r>
        <w:rPr>
          <w:rFonts w:ascii="Times New Roman;Times;Serif" w:hAnsi="Times New Roman;Times;Serif"/>
          <w:b w:val="false"/>
          <w:i w:val="false"/>
          <w:caps w:val="false"/>
          <w:smallCaps w:val="false"/>
          <w:sz w:val="20"/>
        </w:rPr>
        <w:t>28,333 shares of the Company’s common stock, par value $</w:t>
      </w:r>
      <w:bookmarkStart w:id="697" w:name="xdx_905_eus-gaap--CommonStockParOrStated"/>
      <w:bookmarkEnd w:id="697"/>
      <w:r>
        <w:rPr>
          <w:rFonts w:ascii="Times New Roman;Times;Serif" w:hAnsi="Times New Roman;Times;Serif"/>
          <w:b w:val="false"/>
          <w:i w:val="false"/>
          <w:caps w:val="false"/>
          <w:smallCaps w:val="false"/>
          <w:sz w:val="20"/>
        </w:rPr>
        <w:t>0.0001 per share (the “May 2024 Penny Warrant Shares”). The May 2024 Penny Warrants have an exercise price of $</w:t>
      </w:r>
      <w:bookmarkStart w:id="698" w:name="xdx_90B_eus-gaap--ClassOfWarrantOrRightE"/>
      <w:bookmarkEnd w:id="698"/>
      <w:r>
        <w:rPr>
          <w:rFonts w:ascii="Times New Roman;Times;Serif" w:hAnsi="Times New Roman;Times;Serif"/>
          <w:b w:val="false"/>
          <w:i w:val="false"/>
          <w:caps w:val="false"/>
          <w:smallCaps w:val="false"/>
          <w:sz w:val="20"/>
        </w:rPr>
        <w:t>0.01 per share, were valued at $</w:t>
      </w:r>
      <w:bookmarkStart w:id="699" w:name="xdx_90B_eus-gaap--WarrantsAndRightsOutst"/>
      <w:bookmarkEnd w:id="699"/>
      <w:r>
        <w:rPr>
          <w:rFonts w:ascii="Times New Roman;Times;Serif" w:hAnsi="Times New Roman;Times;Serif"/>
          <w:b w:val="false"/>
          <w:i w:val="false"/>
          <w:caps w:val="false"/>
          <w:smallCaps w:val="false"/>
          <w:sz w:val="20"/>
        </w:rPr>
        <w:t>3,022, and recorded as a debt discount. The May 2024 Penny Warrants were issued in connection with the Term Loan Lenders’ agreement to waive the Tests under the Term Loan for the quarter ended March 31, 2024. The May 2024 Penny Warrants were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28, 2024, the Company entered into a Limited Waiver and First Amendment (the “Term Loan Amendment” and, together with the Term Loan Agreement, the “Term Loan Agreement”) to the Term Loan with the lenders in regards to its compliance with the Tests as of the last day of the quarter ended June 30, 2024 and certain amendments to the Term Loan. The Term Loan Amendment provided for a one-time issuance of Penny Warrants to purchase up to </w:t>
      </w:r>
      <w:bookmarkStart w:id="700" w:name="xdx_902_eus-gaap--ClassOfWarrantOrRightN"/>
      <w:bookmarkEnd w:id="700"/>
      <w:r>
        <w:rPr>
          <w:rFonts w:ascii="Times New Roman;Times;Serif" w:hAnsi="Times New Roman;Times;Serif"/>
          <w:b w:val="false"/>
          <w:i w:val="false"/>
          <w:caps w:val="false"/>
          <w:smallCaps w:val="false"/>
          <w:sz w:val="20"/>
        </w:rPr>
        <w:t>23,333 shares of the Company’s Common Stock at an exercise price of $</w:t>
      </w:r>
      <w:bookmarkStart w:id="701" w:name="xdx_909_eus-gaap--ClassOfWarrantOrRightE"/>
      <w:bookmarkEnd w:id="701"/>
      <w:r>
        <w:rPr>
          <w:rFonts w:ascii="Times New Roman;Times;Serif" w:hAnsi="Times New Roman;Times;Serif"/>
          <w:b w:val="false"/>
          <w:i w:val="false"/>
          <w:caps w:val="false"/>
          <w:smallCaps w:val="false"/>
          <w:sz w:val="20"/>
        </w:rPr>
        <w:t>0.01 per share (the “June 2024 Penny Warrants”), valued at $</w:t>
      </w:r>
      <w:bookmarkStart w:id="702" w:name="xdx_908_eus-gaap--WarrantsAndRightsOutst"/>
      <w:bookmarkEnd w:id="702"/>
      <w:r>
        <w:rPr>
          <w:rFonts w:ascii="Times New Roman;Times;Serif" w:hAnsi="Times New Roman;Times;Serif"/>
          <w:b w:val="false"/>
          <w:i w:val="false"/>
          <w:caps w:val="false"/>
          <w:smallCaps w:val="false"/>
          <w:sz w:val="20"/>
        </w:rPr>
        <w:t>1,767 and recorded as a debt discount. The June 2024 Penny Warrants were issued in connection with the lenders’ agreement to waive the Tests under the Term Loan for the quarter ended June 30, 2024 and to amend the Term Loan. The June 2024 Penny Warrants are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First Amendment (i) reduced the liquidity requirement under the Term Loan to be $</w:t>
      </w:r>
      <w:bookmarkStart w:id="703" w:name="xdx_904_eus-gaap--LongTermDebt_iI_pn5n6_"/>
      <w:bookmarkEnd w:id="703"/>
      <w:r>
        <w:rPr>
          <w:rFonts w:ascii="Times New Roman;Times;Serif" w:hAnsi="Times New Roman;Times;Serif"/>
          <w:b w:val="false"/>
          <w:i w:val="false"/>
          <w:caps w:val="false"/>
          <w:smallCaps w:val="false"/>
          <w:sz w:val="20"/>
        </w:rPr>
        <w:t>3.5 million as of the last day of the month ended June 30, 2024, and $</w:t>
      </w:r>
      <w:bookmarkStart w:id="704" w:name="xdx_90C_eus-gaap--LongTermDebt_iI_pn5n6_"/>
      <w:bookmarkEnd w:id="704"/>
      <w:r>
        <w:rPr>
          <w:rFonts w:ascii="Times New Roman;Times;Serif" w:hAnsi="Times New Roman;Times;Serif"/>
          <w:b w:val="false"/>
          <w:i w:val="false"/>
          <w:caps w:val="false"/>
          <w:smallCaps w:val="false"/>
          <w:sz w:val="20"/>
        </w:rPr>
        <w:t>10.0 million as of the last day of each fiscal month thereafter commencing with the fiscal month ended July 31, 2024 and (ii) provided for the interest to be paid on the Payment Date (as defined in the Term Loan) occurred on July 1, 2024 to be solely payable-in-kind.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License Agreement, on July 29, 2024, the Company, Legacy Dragonfly and Battle Born LLC entered into a Limited Waiver, Consent and Second Amendment (the “Second Amendment”) to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Second Amendment, the Term Loan Lenders (i) consented to the transactions contemplated by the License Agreement and the Trademark Transfer Agreement and (ii) agreed to waive the mandatory prepayment under the Term Loan that would have been due to the Lenders under the Loan Agreement upon Battle Born LLC’s receipt of the Initial Licensing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Second Amendment, Battle Born LLC entered into a Joinder Agreement with the Term Lenders whereby Battle Born LLC became a guarantor and credit party to the Term Loan.</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Long Term Debt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 Loan Agreement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Waivers and Amendments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Third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30, 2024, the Company entered into a Limited Waiver and Third Amendment (the “Third Amendment”, together with the Original Term Loan Agreement, the First Amendment and the Second Amendment, the “Term Loan Agreement”) to the Term Loan Agreement with the Term Loan Lenders in regards to its compliance with the Tests as of the last day of the quarter ended September 30, 2024 and certain amendments to the Term Loan Agreement. The Third Amendment provided for a one-time issuance of penny warrants (the “September 2024 Penny Warrants”) to purchase up to </w:t>
      </w:r>
      <w:bookmarkStart w:id="705" w:name="xdx_908_eus-gaap--ClassOfWarrantOrRightN"/>
      <w:bookmarkEnd w:id="705"/>
      <w:r>
        <w:rPr>
          <w:rFonts w:ascii="Times New Roman;Times;Serif" w:hAnsi="Times New Roman;Times;Serif"/>
          <w:b w:val="false"/>
          <w:i w:val="false"/>
          <w:caps w:val="false"/>
          <w:smallCaps w:val="false"/>
          <w:sz w:val="20"/>
        </w:rPr>
        <w:t>33,333 shares of the Company’s Common Stock at an exercise price of $</w:t>
      </w:r>
      <w:bookmarkStart w:id="706" w:name="xdx_905_eus-gaap--ClassOfWarrantOrRightE"/>
      <w:bookmarkEnd w:id="706"/>
      <w:r>
        <w:rPr>
          <w:rFonts w:ascii="Times New Roman;Times;Serif" w:hAnsi="Times New Roman;Times;Serif"/>
          <w:b w:val="false"/>
          <w:i w:val="false"/>
          <w:caps w:val="false"/>
          <w:smallCaps w:val="false"/>
          <w:sz w:val="20"/>
        </w:rPr>
        <w:t>0.01 per share, valued at $</w:t>
      </w:r>
      <w:bookmarkStart w:id="707" w:name="xdx_906_eus-gaap--AmortizationOfDebtDisc"/>
      <w:bookmarkEnd w:id="707"/>
      <w:r>
        <w:rPr>
          <w:rFonts w:ascii="Times New Roman;Times;Serif" w:hAnsi="Times New Roman;Times;Serif"/>
          <w:b w:val="false"/>
          <w:i w:val="false"/>
          <w:caps w:val="false"/>
          <w:smallCaps w:val="false"/>
          <w:sz w:val="20"/>
        </w:rPr>
        <w:t xml:space="preserve">1,576 and recorded as a debt discount. The September 2024 Penny Warrants were issued in connection with the Term Loan Lenders’ agreement to waive the Tests under the Term Loan for the quarter ended September 30, 2024 and to amend the Term Loan Agreement. The September 2024 Penny Warrants are immediately exercisable upon issuance and will expire </w:t>
      </w:r>
      <w:bookmarkStart w:id="708" w:name="xdx_901_eus-gaap--WarrantsAndRightsOutst"/>
      <w:bookmarkEnd w:id="708"/>
      <w:r>
        <w:rPr>
          <w:rFonts w:ascii="Times New Roman;Times;Serif" w:hAnsi="Times New Roman;Times;Serif"/>
          <w:b w:val="false"/>
          <w:i w:val="false"/>
          <w:caps w:val="false"/>
          <w:smallCaps w:val="false"/>
          <w:sz w:val="20"/>
        </w:rPr>
        <w:t>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Third Amendment (i) reduced the liquidity requirement under the Term Loan to be $</w:t>
      </w:r>
      <w:bookmarkStart w:id="709" w:name="xdx_906_eus-gaap--LongTermDebt_iI_pn5n6_"/>
      <w:bookmarkEnd w:id="709"/>
      <w:r>
        <w:rPr>
          <w:rFonts w:ascii="Times New Roman;Times;Serif" w:hAnsi="Times New Roman;Times;Serif"/>
          <w:b w:val="false"/>
          <w:i w:val="false"/>
          <w:caps w:val="false"/>
          <w:smallCaps w:val="false"/>
          <w:sz w:val="20"/>
        </w:rPr>
        <w:t>7.0 million as of the last day of the month ended September 30, 2024, and $</w:t>
      </w:r>
      <w:bookmarkStart w:id="710" w:name="xdx_90B_eus-gaap--LongTermDebt_iI_pn5n6_"/>
      <w:bookmarkEnd w:id="710"/>
      <w:r>
        <w:rPr>
          <w:rFonts w:ascii="Times New Roman;Times;Serif" w:hAnsi="Times New Roman;Times;Serif"/>
          <w:b w:val="false"/>
          <w:i w:val="false"/>
          <w:caps w:val="false"/>
          <w:smallCaps w:val="false"/>
          <w:sz w:val="20"/>
        </w:rPr>
        <w:t>10.0 million as of the last day of each fiscal month thereafter commencing with the fiscal month ended July 31, 2024 and (ii) on October 1, 2024, interest is payable (a) $</w:t>
      </w:r>
      <w:bookmarkStart w:id="711" w:name="xdx_90A_eus-gaap--InterestPayableCurrent"/>
      <w:bookmarkEnd w:id="711"/>
      <w:r>
        <w:rPr>
          <w:rFonts w:ascii="Times New Roman;Times;Serif" w:hAnsi="Times New Roman;Times;Serif"/>
          <w:b w:val="false"/>
          <w:i w:val="false"/>
          <w:caps w:val="false"/>
          <w:smallCaps w:val="false"/>
          <w:sz w:val="20"/>
        </w:rPr>
        <w:t>1,500,000 in cash for the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plus the Applicable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Fourth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31, 2024, the Company entered into a Limited Waiver and Fourth Amendment (the “Fourth Amendment”, together with the Original Term Loan Agreement, the First Amendment, the Second Amendment, and the Third Amendment the “Term Loan Agreement”) to the Term Loan Agreement with the Term Loan Lenders in regards to its compliance with the Tests as of the last day of the quarter ended December 31, 2024 and certain amendments to the Term Loan Agreement. The Fourth Amendment provided for a one-time issuance of penny warrants (the “December 2024 Penny Warrants”) to purchase up to </w:t>
      </w:r>
      <w:bookmarkStart w:id="712" w:name="xdx_902_eus-gaap--ClassOfWarrantOrRightN"/>
      <w:bookmarkEnd w:id="712"/>
      <w:r>
        <w:rPr>
          <w:rFonts w:ascii="Times New Roman;Times;Serif" w:hAnsi="Times New Roman;Times;Serif"/>
          <w:b w:val="false"/>
          <w:i w:val="false"/>
          <w:caps w:val="false"/>
          <w:smallCaps w:val="false"/>
          <w:sz w:val="20"/>
        </w:rPr>
        <w:t>35,000 shares of the Company’s Common Stock at an exercise price of $</w:t>
      </w:r>
      <w:bookmarkStart w:id="713" w:name="xdx_90E_eus-gaap--ClassOfWarrantOrRightE"/>
      <w:bookmarkEnd w:id="713"/>
      <w:r>
        <w:rPr>
          <w:rFonts w:ascii="Times New Roman;Times;Serif" w:hAnsi="Times New Roman;Times;Serif"/>
          <w:b w:val="false"/>
          <w:i w:val="false"/>
          <w:caps w:val="false"/>
          <w:smallCaps w:val="false"/>
          <w:sz w:val="20"/>
        </w:rPr>
        <w:t>0.01 per share, valued at $</w:t>
      </w:r>
      <w:bookmarkStart w:id="714" w:name="xdx_900_eus-gaap--AmortizationOfDebtDisc"/>
      <w:bookmarkEnd w:id="714"/>
      <w:r>
        <w:rPr>
          <w:rFonts w:ascii="Times New Roman;Times;Serif" w:hAnsi="Times New Roman;Times;Serif"/>
          <w:b w:val="false"/>
          <w:i w:val="false"/>
          <w:caps w:val="false"/>
          <w:smallCaps w:val="false"/>
          <w:sz w:val="20"/>
        </w:rPr>
        <w:t>971 and recorded as a debt discount. The December 2024 Penny Warrants were issued in connection with the Term Loan Lenders’ agreement to waive the Tests under the Term Loan for the quarter ended December 31, 2024 and to amend the Term Loan Agreement. The December 2024 Penny Warrants are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Fourth Amendment (i) reduced the liquidity requirement under the Term Loan to be $</w:t>
      </w:r>
      <w:bookmarkStart w:id="715" w:name="xdx_906_eus-gaap--LongTermDebt_iI_pn5n6_"/>
      <w:bookmarkEnd w:id="715"/>
      <w:r>
        <w:rPr>
          <w:rFonts w:ascii="Times New Roman;Times;Serif" w:hAnsi="Times New Roman;Times;Serif"/>
          <w:b w:val="false"/>
          <w:i w:val="false"/>
          <w:caps w:val="false"/>
          <w:smallCaps w:val="false"/>
          <w:sz w:val="20"/>
        </w:rPr>
        <w:t>3.5 million as of the last day of the month ended December 31, 2024, and $</w:t>
      </w:r>
      <w:bookmarkStart w:id="716" w:name="xdx_90E_eus-gaap--LongTermDebt_iI_pn5n6_"/>
      <w:bookmarkEnd w:id="716"/>
      <w:r>
        <w:rPr>
          <w:rFonts w:ascii="Times New Roman;Times;Serif" w:hAnsi="Times New Roman;Times;Serif"/>
          <w:b w:val="false"/>
          <w:i w:val="false"/>
          <w:caps w:val="false"/>
          <w:smallCaps w:val="false"/>
          <w:sz w:val="20"/>
        </w:rPr>
        <w:t>10.0 million as of the last day of each fiscal month thereafter commencing with the fiscal month ended January 31, 2025 and (ii) on January 1, 2025, interest is payable in-kind, to be capitalized and added to the principal. For Payment Dates occurring on or after April 1, 2025 (including interest accruing from January 1, 2025, through March 31, 2025), all interest shall be paid in cash at a rate equal to Adjusted Term SOFR plus the Applicable Margin.</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Long Term Debt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 Loan Agreement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Waivers and Amendments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Fifth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2025, in connection with the Securities Purchase Agreement, the Company entered into the Fifth Amendment to the Term Loan. This amendment extended the loan’s maturity date by one year to October 2027 and deferred all principal and interest payments until April 2026. Additionally, the amendment postponed certain covenant requirements, significantly reducing the likelihood of a breach and the lender’s ability to accelerate repayment based on prior noncompliance, thereby allowing the Company to reclassify the debt as long-term as of December 31, 2024. The Fifth Amendment provided for a one-time issuance of penny warrants (the “February 2025 Penny Warrants”) to purchase up to </w:t>
      </w:r>
      <w:bookmarkStart w:id="717" w:name="xdx_900_eus-gaap--ClassOfWarrantOrRightN"/>
      <w:bookmarkEnd w:id="717"/>
      <w:r>
        <w:rPr>
          <w:rFonts w:ascii="Times New Roman;Times;Serif" w:hAnsi="Times New Roman;Times;Serif"/>
          <w:b w:val="false"/>
          <w:i w:val="false"/>
          <w:caps w:val="false"/>
          <w:smallCaps w:val="false"/>
          <w:sz w:val="20"/>
        </w:rPr>
        <w:t>33,000 shares of the Company’s Common Stock at an exercise price of $</w:t>
      </w:r>
      <w:bookmarkStart w:id="718" w:name="xdx_90F_eus-gaap--ClassOfWarrantOrRightE"/>
      <w:bookmarkEnd w:id="718"/>
      <w:r>
        <w:rPr>
          <w:rFonts w:ascii="Times New Roman;Times;Serif" w:hAnsi="Times New Roman;Times;Serif"/>
          <w:b w:val="false"/>
          <w:i w:val="false"/>
          <w:caps w:val="false"/>
          <w:smallCaps w:val="false"/>
          <w:sz w:val="20"/>
        </w:rPr>
        <w:t>0.01 per share, valued at $</w:t>
      </w:r>
      <w:bookmarkStart w:id="719" w:name="xdx_903_eus-gaap--AmortizationOfDebtDisc"/>
      <w:bookmarkEnd w:id="719"/>
      <w:r>
        <w:rPr>
          <w:rFonts w:ascii="Times New Roman;Times;Serif" w:hAnsi="Times New Roman;Times;Serif"/>
          <w:b w:val="false"/>
          <w:i w:val="false"/>
          <w:caps w:val="false"/>
          <w:smallCaps w:val="false"/>
          <w:sz w:val="20"/>
        </w:rPr>
        <w:t xml:space="preserve">697 and recorded as a debt discount. The February 2025 Penny Warrants were issued in connection with the waiver of the antidilution provisions in the existing penny warrants held by the lenders with respect to the shares of Series A Preferred Stock issued at the closing of the Registered Direct Offering as discussed in </w:t>
      </w:r>
      <w:r>
        <w:rPr>
          <w:rFonts w:ascii="Times New Roman;Times;Serif" w:hAnsi="Times New Roman;Times;Serif"/>
          <w:b/>
          <w:i w:val="false"/>
          <w:caps w:val="false"/>
          <w:smallCaps w:val="false"/>
          <w:sz w:val="20"/>
        </w:rPr>
        <w:t>Note 10</w:t>
      </w:r>
      <w:r>
        <w:rPr>
          <w:rFonts w:ascii="Times New Roman;Times;Serif" w:hAnsi="Times New Roman;Times;Serif"/>
          <w:b w:val="false"/>
          <w:i w:val="false"/>
          <w:caps w:val="false"/>
          <w:smallCaps w:val="false"/>
          <w:sz w:val="20"/>
        </w:rPr>
        <w:t>. The February 2025 Penny Warrants are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Sixth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20, 2025, the Company entered into the Sixth Amendment to the Term Loan Agreement to, among other matters, (i) adjust the fixed interest rate of the remaining outstanding principal amount under the Term Loan Agreement to a fixed interest rate of </w:t>
      </w:r>
      <w:bookmarkStart w:id="720" w:name="xdx_902_eus-gaap--DebtInstrumentInterest"/>
      <w:bookmarkEnd w:id="720"/>
      <w:r>
        <w:rPr>
          <w:rFonts w:ascii="Times New Roman;Times;Serif" w:hAnsi="Times New Roman;Times;Serif"/>
          <w:b w:val="false"/>
          <w:i w:val="false"/>
          <w:caps w:val="false"/>
          <w:smallCaps w:val="false"/>
          <w:sz w:val="20"/>
        </w:rPr>
        <w:t xml:space="preserve">12% per annum, payable monthly commencing December 31, 2025 that will mature in </w:t>
      </w:r>
      <w:bookmarkStart w:id="721" w:name="xdx_907_eus-gaap--DebtInstrumentMaturity"/>
      <w:bookmarkEnd w:id="721"/>
      <w:r>
        <w:rPr>
          <w:rFonts w:ascii="Times New Roman;Times;Serif" w:hAnsi="Times New Roman;Times;Serif"/>
          <w:b w:val="false"/>
          <w:i w:val="false"/>
          <w:caps w:val="false"/>
          <w:smallCaps w:val="false"/>
          <w:sz w:val="20"/>
        </w:rPr>
        <w:t>October 2027, and (ii) waive any applicable financial covenants (except for a financial covenant requiring the Company to maintain cash and cash equivalents equal to or greater than $</w:t>
      </w:r>
      <w:bookmarkStart w:id="722" w:name="xdx_90C_eus-gaap--Cash_iI_pn3n3_c2025102"/>
      <w:bookmarkEnd w:id="722"/>
      <w:r>
        <w:rPr>
          <w:rFonts w:ascii="Times New Roman;Times;Serif" w:hAnsi="Times New Roman;Times;Serif"/>
          <w:b w:val="false"/>
          <w:i w:val="false"/>
          <w:caps w:val="false"/>
          <w:smallCaps w:val="false"/>
          <w:sz w:val="20"/>
        </w:rPr>
        <w:t>5,000) through December 31, 2026. In connection with the Sixth Amendment, (i) the Company made a prepayment of $</w:t>
      </w:r>
      <w:bookmarkStart w:id="723" w:name="xdx_909_eus-gaap--DebtInstrumentPeriodic"/>
      <w:bookmarkEnd w:id="723"/>
      <w:r>
        <w:rPr>
          <w:rFonts w:ascii="Times New Roman;Times;Serif" w:hAnsi="Times New Roman;Times;Serif"/>
          <w:b w:val="false"/>
          <w:i w:val="false"/>
          <w:caps w:val="false"/>
          <w:smallCaps w:val="false"/>
          <w:sz w:val="20"/>
        </w:rPr>
        <w:t>45,000 of outstanding indebtedness under the Term Loan Agreement from the net proceeds from the Second October 2025 Offering, (ii) the lenders forgave the repayment of $</w:t>
      </w:r>
      <w:bookmarkStart w:id="724" w:name="xdx_90A_eus-gaap--ExtinguishmentOfDebtAm"/>
      <w:bookmarkEnd w:id="724"/>
      <w:r>
        <w:rPr>
          <w:rFonts w:ascii="Times New Roman;Times;Serif" w:hAnsi="Times New Roman;Times;Serif"/>
          <w:b w:val="false"/>
          <w:i w:val="false"/>
          <w:caps w:val="false"/>
          <w:smallCaps w:val="false"/>
          <w:sz w:val="20"/>
        </w:rPr>
        <w:t>5,000 of the outstanding principal under the Term Loan Agreement, (iii) the Company incurred fees to the lenders totaling approximately $</w:t>
      </w:r>
      <w:bookmarkStart w:id="725" w:name="xdx_90F_eus-gaap--DebtInstrumentFee_pn3n"/>
      <w:bookmarkEnd w:id="725"/>
      <w:r>
        <w:rPr>
          <w:rFonts w:ascii="Times New Roman;Times;Serif" w:hAnsi="Times New Roman;Times;Serif"/>
          <w:b w:val="false"/>
          <w:i w:val="false"/>
          <w:caps w:val="false"/>
          <w:smallCaps w:val="false"/>
          <w:sz w:val="20"/>
        </w:rPr>
        <w:t>930 of which $</w:t>
      </w:r>
      <w:bookmarkStart w:id="726" w:name="xdx_902_eus-gaap--DebtInstrumentFaceAmou"/>
      <w:bookmarkEnd w:id="726"/>
      <w:r>
        <w:rPr>
          <w:rFonts w:ascii="Times New Roman;Times;Serif" w:hAnsi="Times New Roman;Times;Serif"/>
          <w:b w:val="false"/>
          <w:i w:val="false"/>
          <w:caps w:val="false"/>
          <w:smallCaps w:val="false"/>
          <w:sz w:val="20"/>
        </w:rPr>
        <w:t>465 were added to the principal outstanding under the Term Loan Agreement and $</w:t>
      </w:r>
      <w:bookmarkStart w:id="727" w:name="xdx_902_eus-gaap--DebtInstrumentFaceAmou"/>
      <w:bookmarkEnd w:id="727"/>
      <w:r>
        <w:rPr>
          <w:rFonts w:ascii="Times New Roman;Times;Serif" w:hAnsi="Times New Roman;Times;Serif"/>
          <w:b w:val="false"/>
          <w:i w:val="false"/>
          <w:caps w:val="false"/>
          <w:smallCaps w:val="false"/>
          <w:sz w:val="20"/>
        </w:rPr>
        <w:t xml:space="preserve">465 was paid in cash; (iv) the Company agreed to issue </w:t>
      </w:r>
      <w:bookmarkStart w:id="728" w:name="xdx_901_eus-gaap--DebtConversionConverte"/>
      <w:bookmarkEnd w:id="728"/>
      <w:r>
        <w:rPr>
          <w:rFonts w:ascii="Times New Roman;Times;Serif" w:hAnsi="Times New Roman;Times;Serif"/>
          <w:b w:val="false"/>
          <w:i w:val="false"/>
          <w:caps w:val="false"/>
          <w:smallCaps w:val="false"/>
          <w:sz w:val="20"/>
        </w:rPr>
        <w:t>25,000 shares of newly created Series B Preferred Stock of the Company in exchange for $</w:t>
      </w:r>
      <w:bookmarkStart w:id="729" w:name="xdx_90A_eus-gaap--DebtConversionOriginal"/>
      <w:bookmarkEnd w:id="729"/>
      <w:r>
        <w:rPr>
          <w:rFonts w:ascii="Times New Roman;Times;Serif" w:hAnsi="Times New Roman;Times;Serif"/>
          <w:b w:val="false"/>
          <w:i w:val="false"/>
          <w:caps w:val="false"/>
          <w:smallCaps w:val="false"/>
          <w:sz w:val="20"/>
        </w:rPr>
        <w:t>25,000 outstanding principal amount of the Term Loan. Prior to this amendment, on October 7, 2025, the Company also made a voluntary prepayment on the Term Loan of $</w:t>
      </w:r>
      <w:bookmarkStart w:id="730" w:name="xdx_90C_eus-gaap--PaymentsForLoans_pn3n3"/>
      <w:bookmarkEnd w:id="730"/>
      <w:r>
        <w:rPr>
          <w:rFonts w:ascii="Times New Roman;Times;Serif" w:hAnsi="Times New Roman;Times;Serif"/>
          <w:b w:val="false"/>
          <w:i w:val="false"/>
          <w:caps w:val="false"/>
          <w:smallCaps w:val="false"/>
          <w:sz w:val="20"/>
        </w:rPr>
        <w:t>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4, 2025, the Company and the lenders entered into the Exchange Agreement pursuant to which the Company issued </w:t>
      </w:r>
      <w:bookmarkStart w:id="731" w:name="xdx_906_eus-gaap--DebtConversionConverte"/>
      <w:bookmarkEnd w:id="731"/>
      <w:r>
        <w:rPr>
          <w:rFonts w:ascii="Times New Roman;Times;Serif" w:hAnsi="Times New Roman;Times;Serif"/>
          <w:b w:val="false"/>
          <w:i w:val="false"/>
          <w:caps w:val="false"/>
          <w:smallCaps w:val="false"/>
          <w:sz w:val="20"/>
        </w:rPr>
        <w:t>25,000 shares of newly created Series B Preferred Stock in exchange for $</w:t>
      </w:r>
      <w:bookmarkStart w:id="732" w:name="xdx_90B_eus-gaap--DebtConversionOriginal"/>
      <w:bookmarkEnd w:id="732"/>
      <w:r>
        <w:rPr>
          <w:rFonts w:ascii="Times New Roman;Times;Serif" w:hAnsi="Times New Roman;Times;Serif"/>
          <w:b w:val="false"/>
          <w:i w:val="false"/>
          <w:caps w:val="false"/>
          <w:smallCaps w:val="false"/>
          <w:sz w:val="20"/>
        </w:rPr>
        <w:t>25,000 outstanding principal amount of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accounting guidance for debt modifications under ASC 470-50, Modifications and Extinguishments, and ASC 470-60, Troubled Debt Restructurings by Debtors, and determined that the debt restructuring pursuant to the Sixth Amendment did not meet the definition of a troubled debt restructuring under ASC 470-60. The Company also evaluated the significance of the change in cash flows based on ASC 470-50 and determined the debt restructuring was a debt modification. However, since the Company paid down a significant portion of its debt in accordance with the agreed-upon prepayment, the Company measured the loss on extinguishment due to partial settlement of the debt. As noted in Note 2, the Company adopted the accounting policy of expensing the portion of unamortized debt issuance costs as partially settled pro rata based on the partial settlement of debt principal in the amount of $</w:t>
      </w:r>
      <w:bookmarkStart w:id="733" w:name="xdx_907_eus-gaap--DebtInstrumentUnamorti"/>
      <w:bookmarkEnd w:id="733"/>
      <w:r>
        <w:rPr>
          <w:rFonts w:ascii="Times New Roman;Times;Serif" w:hAnsi="Times New Roman;Times;Serif"/>
          <w:b w:val="false"/>
          <w:i w:val="false"/>
          <w:caps w:val="false"/>
          <w:smallCaps w:val="false"/>
          <w:sz w:val="20"/>
        </w:rPr>
        <w:t>26,200, which is included in debt extinguishment on the consolidated statement of operations. Since the restructuring did not result in a pro rata reduction of future principal payments (since the provision for percentage of principal repayments was also amended), the Company updated the effective interest rate and will utilize the prospective approach for recognition of interest post-restructuring.</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Long Term Debt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 Loan Agreement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Waivers and Amendments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Sixth Amendment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the loss on partial extinguishment of debt principal was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Reacquisition price:</w:t>
      </w:r>
    </w:p>
    <w:p>
      <w:pPr>
        <w:pStyle w:val="TextBody"/>
        <w:bidi w:val="0"/>
        <w:spacing w:before="0" w:after="0"/>
        <w:ind w:left="0" w:right="0" w:hanging="0"/>
        <w:jc w:val="left"/>
        <w:rPr>
          <w:caps w:val="false"/>
          <w:smallCaps w:val="false"/>
        </w:rPr>
      </w:pPr>
      <w:bookmarkStart w:id="734" w:name="xdx_891_eus-gaap--ScheduleOfExtinguishme"/>
      <w:bookmarkEnd w:id="734"/>
      <w:r>
        <w:rPr>
          <w:caps w:val="false"/>
          <w:smallCaps w:val="false"/>
        </w:rPr>
        <w:t> </w:t>
      </w:r>
      <w:bookmarkStart w:id="735" w:name="xdx_8B5_zO9D2RaIDrEe"/>
      <w:bookmarkEnd w:id="735"/>
      <w:r>
        <w:rPr>
          <w:rFonts w:ascii="Times New Roman;Times;Serif" w:hAnsi="Times New Roman;Times;Serif"/>
          <w:b w:val="false"/>
          <w:i w:val="false"/>
          <w:caps w:val="false"/>
          <w:smallCaps w:val="false"/>
          <w:sz w:val="20"/>
        </w:rPr>
        <w:t>SCHEDULE OF EXTINGUISHMENT OF DEBT</w:t>
      </w:r>
    </w:p>
    <w:p>
      <w:pPr>
        <w:pStyle w:val="TextBody"/>
        <w:bidi w:val="0"/>
        <w:spacing w:before="0" w:after="0"/>
        <w:ind w:left="0" w:right="0" w:hanging="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3620"/>
        <w:gridCol w:w="60"/>
        <w:gridCol w:w="140"/>
        <w:gridCol w:w="755"/>
        <w:gridCol w:w="110"/>
      </w:tblGrid>
      <w:tr>
        <w:trPr/>
        <w:tc>
          <w:tcPr>
            <w:tcW w:w="3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36" w:name="xdx_493_20250101__20251231_zxm0w2CN9jU"/>
            <w:bookmarkEnd w:id="736"/>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37" w:name="xdx_406_eus-gaap--PaymentsOfDebtExtingui"/>
            <w:bookmarkEnd w:id="737"/>
          </w:p>
        </w:tc>
      </w:tr>
      <w:tr>
        <w:trPr/>
        <w:tc>
          <w:tcPr>
            <w:tcW w:w="3620" w:type="dxa"/>
            <w:tcBorders/>
            <w:shd w:fill="CCEEFF" w:val="clear"/>
            <w:vAlign w:val="center"/>
          </w:tcPr>
          <w:p>
            <w:pPr>
              <w:pStyle w:val="TableContents"/>
              <w:bidi w:val="0"/>
              <w:spacing w:before="0" w:after="283"/>
              <w:jc w:val="left"/>
              <w:rPr/>
            </w:pPr>
            <w:r>
              <w:rPr/>
              <w:t>Voluntary prepayment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45,000</w:t>
            </w:r>
          </w:p>
        </w:tc>
        <w:tc>
          <w:tcPr>
            <w:tcW w:w="110" w:type="dxa"/>
            <w:tcBorders/>
            <w:shd w:fill="CCEEFF" w:val="clear"/>
            <w:vAlign w:val="center"/>
          </w:tcPr>
          <w:p>
            <w:pPr>
              <w:pStyle w:val="TableContents"/>
              <w:bidi w:val="0"/>
              <w:spacing w:before="0" w:after="283"/>
              <w:jc w:val="left"/>
              <w:rPr/>
            </w:pPr>
            <w:r>
              <w:rPr/>
              <w:t> </w:t>
            </w:r>
            <w:bookmarkStart w:id="738" w:name="xdx_409_ecustom--SeriesBPreferredStockAt"/>
            <w:bookmarkEnd w:id="738"/>
          </w:p>
        </w:tc>
      </w:tr>
      <w:tr>
        <w:trPr/>
        <w:tc>
          <w:tcPr>
            <w:tcW w:w="3620" w:type="dxa"/>
            <w:tcBorders/>
            <w:shd w:fill="FFFFFF" w:val="clear"/>
            <w:vAlign w:val="center"/>
          </w:tcPr>
          <w:p>
            <w:pPr>
              <w:pStyle w:val="TableContents"/>
              <w:bidi w:val="0"/>
              <w:spacing w:before="0" w:after="283"/>
              <w:jc w:val="left"/>
              <w:rPr/>
            </w:pPr>
            <w:r>
              <w:rPr/>
              <w:t>Series B preferred stock (at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21,704</w:t>
            </w:r>
          </w:p>
        </w:tc>
        <w:tc>
          <w:tcPr>
            <w:tcW w:w="110" w:type="dxa"/>
            <w:tcBorders/>
            <w:shd w:fill="FFFFFF" w:val="clear"/>
            <w:vAlign w:val="center"/>
          </w:tcPr>
          <w:p>
            <w:pPr>
              <w:pStyle w:val="TableContents"/>
              <w:bidi w:val="0"/>
              <w:spacing w:before="0" w:after="283"/>
              <w:jc w:val="left"/>
              <w:rPr/>
            </w:pPr>
            <w:r>
              <w:rPr/>
              <w:t> </w:t>
            </w:r>
            <w:bookmarkStart w:id="739" w:name="xdx_40B_ecustom--AmendmentFeesPaidInKind"/>
            <w:bookmarkEnd w:id="739"/>
          </w:p>
        </w:tc>
      </w:tr>
      <w:tr>
        <w:trPr/>
        <w:tc>
          <w:tcPr>
            <w:tcW w:w="3620" w:type="dxa"/>
            <w:tcBorders/>
            <w:shd w:fill="CCEEFF" w:val="clear"/>
            <w:vAlign w:val="center"/>
          </w:tcPr>
          <w:p>
            <w:pPr>
              <w:pStyle w:val="TableContents"/>
              <w:bidi w:val="0"/>
              <w:spacing w:before="0" w:after="283"/>
              <w:jc w:val="left"/>
              <w:rPr/>
            </w:pPr>
            <w:r>
              <w:rPr/>
              <w:t>Amendment fees (paid in kind)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465</w:t>
            </w:r>
          </w:p>
        </w:tc>
        <w:tc>
          <w:tcPr>
            <w:tcW w:w="110" w:type="dxa"/>
            <w:tcBorders/>
            <w:shd w:fill="CCEEFF" w:val="clear"/>
            <w:vAlign w:val="center"/>
          </w:tcPr>
          <w:p>
            <w:pPr>
              <w:pStyle w:val="TableContents"/>
              <w:bidi w:val="0"/>
              <w:spacing w:before="0" w:after="283"/>
              <w:jc w:val="left"/>
              <w:rPr/>
            </w:pPr>
            <w:r>
              <w:rPr/>
              <w:t> </w:t>
            </w:r>
            <w:bookmarkStart w:id="740" w:name="xdx_401_ecustom--AmendmentFeesPaidInCash"/>
            <w:bookmarkEnd w:id="740"/>
          </w:p>
        </w:tc>
      </w:tr>
      <w:tr>
        <w:trPr/>
        <w:tc>
          <w:tcPr>
            <w:tcW w:w="3620" w:type="dxa"/>
            <w:tcBorders/>
            <w:shd w:fill="FFFFFF" w:val="clear"/>
            <w:vAlign w:val="center"/>
          </w:tcPr>
          <w:p>
            <w:pPr>
              <w:pStyle w:val="TableContents"/>
              <w:bidi w:val="0"/>
              <w:spacing w:before="0" w:after="283"/>
              <w:jc w:val="left"/>
              <w:rPr/>
            </w:pPr>
            <w:r>
              <w:rPr/>
              <w:t>Amendment fees (paid in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465</w:t>
            </w:r>
          </w:p>
        </w:tc>
        <w:tc>
          <w:tcPr>
            <w:tcW w:w="110" w:type="dxa"/>
            <w:tcBorders/>
            <w:shd w:fill="FFFFFF" w:val="clear"/>
            <w:vAlign w:val="center"/>
          </w:tcPr>
          <w:p>
            <w:pPr>
              <w:pStyle w:val="TableContents"/>
              <w:bidi w:val="0"/>
              <w:spacing w:before="0" w:after="283"/>
              <w:jc w:val="left"/>
              <w:rPr/>
            </w:pPr>
            <w:r>
              <w:rPr/>
              <w:t> </w:t>
            </w:r>
            <w:bookmarkStart w:id="741" w:name="xdx_409_eus-gaap--RepaymentsOfLongTermDe"/>
            <w:bookmarkEnd w:id="741"/>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67,634</w:t>
            </w:r>
          </w:p>
        </w:tc>
        <w:tc>
          <w:tcPr>
            <w:tcW w:w="110" w:type="dxa"/>
            <w:tcBorders/>
            <w:shd w:fill="CCEEFF" w:val="clear"/>
            <w:vAlign w:val="center"/>
          </w:tcPr>
          <w:p>
            <w:pPr>
              <w:pStyle w:val="TableContents"/>
              <w:bidi w:val="0"/>
              <w:spacing w:before="0" w:after="283"/>
              <w:jc w:val="left"/>
              <w:rPr/>
            </w:pPr>
            <w:r>
              <w:rPr/>
              <w:t> </w:t>
            </w:r>
            <w:bookmarkStart w:id="742" w:name="xdx_40E_ecustom--LessCarryingAmountOfDeb"/>
            <w:bookmarkEnd w:id="742"/>
          </w:p>
        </w:tc>
      </w:tr>
      <w:tr>
        <w:trPr/>
        <w:tc>
          <w:tcPr>
            <w:tcW w:w="3620" w:type="dxa"/>
            <w:tcBorders/>
            <w:shd w:fill="FFFFFF" w:val="clear"/>
            <w:vAlign w:val="center"/>
          </w:tcPr>
          <w:p>
            <w:pPr>
              <w:pStyle w:val="TableContents"/>
              <w:bidi w:val="0"/>
              <w:spacing w:before="0" w:after="283"/>
              <w:jc w:val="left"/>
              <w:rPr/>
            </w:pPr>
            <w:r>
              <w:rPr/>
              <w:t>Less: carrying amount of debt settled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(35,791</w:t>
            </w:r>
          </w:p>
        </w:tc>
        <w:tc>
          <w:tcPr>
            <w:tcW w:w="110" w:type="dxa"/>
            <w:tcBorders/>
            <w:shd w:fill="FFFFFF" w:val="clear"/>
            <w:vAlign w:val="center"/>
          </w:tcPr>
          <w:p>
            <w:pPr>
              <w:pStyle w:val="TableContents"/>
              <w:bidi w:val="0"/>
              <w:spacing w:before="0" w:after="283"/>
              <w:jc w:val="left"/>
              <w:rPr/>
            </w:pPr>
            <w:r>
              <w:rPr/>
              <w:t>)</w:t>
            </w:r>
            <w:bookmarkStart w:id="743" w:name="xdx_401_eus-gaap--GainsLossesOnExtinguis"/>
            <w:bookmarkEnd w:id="743"/>
          </w:p>
        </w:tc>
      </w:tr>
      <w:tr>
        <w:trPr/>
        <w:tc>
          <w:tcPr>
            <w:tcW w:w="3620" w:type="dxa"/>
            <w:tcBorders/>
            <w:shd w:fill="CCEEFF" w:val="clear"/>
            <w:vAlign w:val="center"/>
          </w:tcPr>
          <w:p>
            <w:pPr>
              <w:pStyle w:val="TableContents"/>
              <w:bidi w:val="0"/>
              <w:spacing w:before="0" w:after="283"/>
              <w:jc w:val="left"/>
              <w:rPr/>
            </w:pPr>
            <w:r>
              <w:rPr/>
              <w:t>Loss on extinguishment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31,843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on extinguishment is composed of a (i) pro rata debt discount of $</w:t>
      </w:r>
      <w:bookmarkStart w:id="744" w:name="xdx_905_eus-gaap--DebtInstrumentUnamorti"/>
      <w:bookmarkEnd w:id="744"/>
      <w:r>
        <w:rPr>
          <w:rFonts w:ascii="Times New Roman;Times;Serif" w:hAnsi="Times New Roman;Times;Serif"/>
          <w:b w:val="false"/>
          <w:i w:val="false"/>
          <w:caps w:val="false"/>
          <w:smallCaps w:val="false"/>
          <w:sz w:val="20"/>
        </w:rPr>
        <w:t>26,200, (ii) Series B shares issued in settlement of $</w:t>
      </w:r>
      <w:bookmarkStart w:id="745" w:name="xdx_906_eus-gaap--DebtInstrumentFaceAmou"/>
      <w:bookmarkEnd w:id="745"/>
      <w:r>
        <w:rPr>
          <w:rFonts w:ascii="Times New Roman;Times;Serif" w:hAnsi="Times New Roman;Times;Serif"/>
          <w:b w:val="false"/>
          <w:i w:val="false"/>
          <w:caps w:val="false"/>
          <w:smallCaps w:val="false"/>
          <w:sz w:val="20"/>
        </w:rPr>
        <w:t>25,000 of principal, with a fair value of $</w:t>
      </w:r>
      <w:bookmarkStart w:id="746" w:name="xdx_90D_ecustom--SeriesBPreferredStockAt"/>
      <w:bookmarkEnd w:id="746"/>
      <w:r>
        <w:rPr>
          <w:rFonts w:ascii="Times New Roman;Times;Serif" w:hAnsi="Times New Roman;Times;Serif"/>
          <w:b w:val="false"/>
          <w:i w:val="false"/>
          <w:caps w:val="false"/>
          <w:smallCaps w:val="false"/>
          <w:sz w:val="20"/>
        </w:rPr>
        <w:t>21,704 (netting a $</w:t>
      </w:r>
      <w:bookmarkStart w:id="747" w:name="xdx_901_ecustom--GainOnSeriesBPreferredS"/>
      <w:bookmarkEnd w:id="747"/>
      <w:r>
        <w:rPr>
          <w:rFonts w:ascii="Times New Roman;Times;Serif" w:hAnsi="Times New Roman;Times;Serif"/>
          <w:b w:val="false"/>
          <w:i w:val="false"/>
          <w:caps w:val="false"/>
          <w:smallCaps w:val="false"/>
          <w:sz w:val="20"/>
        </w:rPr>
        <w:t>3,296 gain), and a pro rata debt discount reduction of $</w:t>
      </w:r>
      <w:bookmarkStart w:id="748" w:name="xdx_907_eus-gaap--DebtInstrumentUnamorti"/>
      <w:bookmarkEnd w:id="748"/>
      <w:r>
        <w:rPr>
          <w:rFonts w:ascii="Times New Roman;Times;Serif" w:hAnsi="Times New Roman;Times;Serif"/>
          <w:b w:val="false"/>
          <w:i w:val="false"/>
          <w:caps w:val="false"/>
          <w:smallCaps w:val="false"/>
          <w:sz w:val="20"/>
        </w:rPr>
        <w:t>13,008, resulting in a net loss of $</w:t>
      </w:r>
      <w:bookmarkStart w:id="749" w:name="xdx_90B_ecustom--SettlementOnNetLoss_c20"/>
      <w:bookmarkEnd w:id="749"/>
      <w:r>
        <w:rPr>
          <w:rFonts w:ascii="Times New Roman;Times;Serif" w:hAnsi="Times New Roman;Times;Serif"/>
          <w:b w:val="false"/>
          <w:i w:val="false"/>
          <w:caps w:val="false"/>
          <w:smallCaps w:val="false"/>
          <w:sz w:val="20"/>
        </w:rPr>
        <w:t>9,712, (iii) and amendment fees of $</w:t>
      </w:r>
      <w:bookmarkStart w:id="750" w:name="xdx_900_ecustom--AmendmentFees_iI_c20251"/>
      <w:bookmarkEnd w:id="750"/>
      <w:r>
        <w:rPr>
          <w:rFonts w:ascii="Times New Roman;Times;Serif" w:hAnsi="Times New Roman;Times;Serif"/>
          <w:b w:val="false"/>
          <w:i w:val="false"/>
          <w:caps w:val="false"/>
          <w:smallCaps w:val="false"/>
          <w:sz w:val="20"/>
        </w:rPr>
        <w:t>931, (iv) offset by a gain on the debt principal forgiven of $</w:t>
      </w:r>
      <w:bookmarkStart w:id="751" w:name="xdx_900_eus-gaap--DebtInstrumentAnnualPr"/>
      <w:bookmarkEnd w:id="751"/>
      <w:r>
        <w:rPr>
          <w:rFonts w:ascii="Times New Roman;Times;Serif" w:hAnsi="Times New Roman;Times;Serif"/>
          <w:b w:val="false"/>
          <w:i w:val="false"/>
          <w:caps w:val="false"/>
          <w:smallCaps w:val="false"/>
          <w:sz w:val="20"/>
        </w:rPr>
        <w:t>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is subject to certain restrictive financial covenants, and the Company was not in compliance with its financial covenants pertaining to the fixed charge coverage ratio, liquidity, and the maximum senior leverage ratio. On March 31, 2024, April 29, 2024, May 30, 2024, June 28, 2024, July 31, 2024, August 30, 2024, September 30, 2024, October 31, 2024, November 30, 2024 and December 31, 2024 the Company obtained waivers from the Term Loan Lenders and administrative agent in regards to its failure to satisfy the liquidity requirement under the Term Loan for the quarters ended March 31, 2024, June 30, 2024, September 30, 2024, and December 31, 2024 and the fiscal months ended April 30, 2024, May 31, 2024 July 31, 2024, August 31, 2024, October 31, 2024 and November 30, 2024,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Sixth Amendment to the Term Loan Agreement described above, as of December 31, 2025, the Company is subject to two restrictive financial covenants, one which pertains to liquidity, requiring the Company to maintain cash and cash equivalents equal to or greater than $</w:t>
      </w:r>
      <w:bookmarkStart w:id="752" w:name="xdx_908_eus-gaap--CashAndCashEquivalents"/>
      <w:bookmarkEnd w:id="752"/>
      <w:r>
        <w:rPr>
          <w:rFonts w:ascii="Times New Roman;Times;Serif" w:hAnsi="Times New Roman;Times;Serif"/>
          <w:b w:val="false"/>
          <w:i w:val="false"/>
          <w:caps w:val="false"/>
          <w:smallCaps w:val="false"/>
          <w:sz w:val="20"/>
        </w:rPr>
        <w:t>5,000 through December 31, 2026, and a maximum capital expenditure threshold of $</w:t>
      </w:r>
      <w:bookmarkStart w:id="753" w:name="xdx_906_eus-gaap--Capital_iI_pn3n3_c2025"/>
      <w:bookmarkEnd w:id="753"/>
      <w:r>
        <w:rPr>
          <w:rFonts w:ascii="Times New Roman;Times;Serif" w:hAnsi="Times New Roman;Times;Serif"/>
          <w:b w:val="false"/>
          <w:i w:val="false"/>
          <w:caps w:val="false"/>
          <w:smallCaps w:val="false"/>
          <w:sz w:val="20"/>
        </w:rPr>
        <w:t>5,000 per year. The financial covenants pertaining to maximum senior leverage ratio and fixed charge coverage ratio are both delayed until the quarter ending March 31,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54" w:name="xdx_89F_eus-gaap--ScheduleOfMaturitiesOf"/>
      <w:bookmarkEnd w:id="754"/>
      <w:r>
        <w:rPr>
          <w:rFonts w:ascii="Times New Roman;Times;Serif" w:hAnsi="Times New Roman;Times;Serif"/>
          <w:b w:val="false"/>
          <w:i w:val="false"/>
          <w:caps w:val="false"/>
          <w:smallCaps w:val="false"/>
          <w:sz w:val="20"/>
        </w:rPr>
        <w:t>At December 31, 2025, the future debt maturities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55" w:name="xdx_8B1_zo7gtYCKsGq"/>
      <w:bookmarkEnd w:id="755"/>
      <w:r>
        <w:rPr>
          <w:rFonts w:ascii="Times New Roman;Times;Serif" w:hAnsi="Times New Roman;Times;Serif"/>
          <w:b w:val="false"/>
          <w:i w:val="false"/>
          <w:caps w:val="false"/>
          <w:smallCaps w:val="false"/>
          <w:sz w:val="20"/>
        </w:rPr>
        <w:t>SCHEDULE OF FUTURE DEBT MATURITIES</w:t>
      </w:r>
    </w:p>
    <w:tbl>
      <w:tblPr>
        <w:tblW w:w="4655" w:type="dxa"/>
        <w:jc w:val="left"/>
        <w:tblInd w:w="0" w:type="dxa"/>
        <w:tblLayout w:type="fixed"/>
        <w:tblCellMar>
          <w:top w:w="0" w:type="dxa"/>
          <w:left w:w="0" w:type="dxa"/>
          <w:bottom w:w="28" w:type="dxa"/>
          <w:right w:w="0" w:type="dxa"/>
        </w:tblCellMar>
      </w:tblPr>
      <w:tblGrid>
        <w:gridCol w:w="3665"/>
        <w:gridCol w:w="60"/>
        <w:gridCol w:w="140"/>
        <w:gridCol w:w="680"/>
        <w:gridCol w:w="110"/>
      </w:tblGrid>
      <w:tr>
        <w:trPr/>
        <w:tc>
          <w:tcPr>
            <w:tcW w:w="3665" w:type="dxa"/>
            <w:tcBorders>
              <w:bottom w:val="single" w:sz="8" w:space="0" w:color="000000"/>
            </w:tcBorders>
            <w:vAlign w:val="center"/>
          </w:tcPr>
          <w:p>
            <w:pPr>
              <w:pStyle w:val="TableContents"/>
              <w:bidi w:val="0"/>
              <w:spacing w:before="0" w:after="283"/>
              <w:jc w:val="left"/>
              <w:rPr/>
            </w:pPr>
            <w:r>
              <w:rPr/>
              <w:t>For Year Ended December 31,</w:t>
            </w:r>
          </w:p>
        </w:tc>
        <w:tc>
          <w:tcPr>
            <w:tcW w:w="60" w:type="dxa"/>
            <w:tcBorders/>
            <w:tcMar>
              <w:bottom w:w="0" w:type="dxa"/>
            </w:tcMar>
            <w:vAlign w:val="center"/>
          </w:tcPr>
          <w:p>
            <w:pPr>
              <w:pStyle w:val="TableContents"/>
              <w:bidi w:val="0"/>
              <w:spacing w:before="0" w:after="283"/>
              <w:jc w:val="left"/>
              <w:rPr/>
            </w:pPr>
            <w:r>
              <w:rPr/>
              <w:t> </w:t>
            </w:r>
            <w:bookmarkStart w:id="756" w:name="xdx_490_20251231_zWuqPdJM17Ra"/>
            <w:bookmarkEnd w:id="756"/>
          </w:p>
        </w:tc>
        <w:tc>
          <w:tcPr>
            <w:tcW w:w="820"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bookmarkStart w:id="757" w:name="xdx_402_eus-gaap--LongTermDebtMaturities"/>
            <w:bookmarkEnd w:id="757"/>
          </w:p>
        </w:tc>
      </w:tr>
      <w:tr>
        <w:trPr/>
        <w:tc>
          <w:tcPr>
            <w:tcW w:w="3665"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945</w:t>
            </w:r>
          </w:p>
        </w:tc>
        <w:tc>
          <w:tcPr>
            <w:tcW w:w="110" w:type="dxa"/>
            <w:tcBorders/>
            <w:shd w:fill="CCEEFF" w:val="clear"/>
            <w:tcMar>
              <w:bottom w:w="0" w:type="dxa"/>
            </w:tcMar>
            <w:vAlign w:val="center"/>
          </w:tcPr>
          <w:p>
            <w:pPr>
              <w:pStyle w:val="TableContents"/>
              <w:bidi w:val="0"/>
              <w:spacing w:before="0" w:after="283"/>
              <w:jc w:val="left"/>
              <w:rPr/>
            </w:pPr>
            <w:r>
              <w:rPr/>
              <w:t> </w:t>
            </w:r>
            <w:bookmarkStart w:id="758" w:name="xdx_406_eus-gaap--LongTermDebtMaturities"/>
            <w:bookmarkEnd w:id="758"/>
          </w:p>
        </w:tc>
      </w:tr>
      <w:tr>
        <w:trPr/>
        <w:tc>
          <w:tcPr>
            <w:tcW w:w="3665"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18,399</w:t>
            </w:r>
          </w:p>
        </w:tc>
        <w:tc>
          <w:tcPr>
            <w:tcW w:w="110" w:type="dxa"/>
            <w:tcBorders/>
            <w:shd w:fill="FFFFFF" w:val="clear"/>
            <w:tcMar>
              <w:bottom w:w="0" w:type="dxa"/>
            </w:tcMar>
            <w:vAlign w:val="center"/>
          </w:tcPr>
          <w:p>
            <w:pPr>
              <w:pStyle w:val="TableContents"/>
              <w:bidi w:val="0"/>
              <w:spacing w:before="0" w:after="283"/>
              <w:jc w:val="left"/>
              <w:rPr/>
            </w:pPr>
            <w:r>
              <w:rPr/>
              <w:t> </w:t>
            </w:r>
            <w:bookmarkStart w:id="759" w:name="xdx_406_eus-gaap--LongTermDebt_iTI_pn3n3"/>
            <w:bookmarkEnd w:id="759"/>
          </w:p>
        </w:tc>
      </w:tr>
      <w:tr>
        <w:trPr/>
        <w:tc>
          <w:tcPr>
            <w:tcW w:w="3665" w:type="dxa"/>
            <w:tcBorders/>
            <w:shd w:fill="CCEEFF" w:val="clear"/>
            <w:tcMar>
              <w:bottom w:w="0" w:type="dxa"/>
            </w:tcMar>
            <w:vAlign w:val="center"/>
          </w:tcPr>
          <w:p>
            <w:pPr>
              <w:pStyle w:val="TableContents"/>
              <w:bidi w:val="0"/>
              <w:spacing w:before="0" w:after="283"/>
              <w:jc w:val="left"/>
              <w:rPr/>
            </w:pPr>
            <w:r>
              <w:rPr/>
              <w:t>Total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19,344</w:t>
            </w:r>
          </w:p>
        </w:tc>
        <w:tc>
          <w:tcPr>
            <w:tcW w:w="110" w:type="dxa"/>
            <w:tcBorders/>
            <w:shd w:fill="CCEEFF" w:val="clear"/>
            <w:tcMar>
              <w:bottom w:w="0" w:type="dxa"/>
            </w:tcMar>
            <w:vAlign w:val="center"/>
          </w:tcPr>
          <w:p>
            <w:pPr>
              <w:pStyle w:val="TableContents"/>
              <w:bidi w:val="0"/>
              <w:spacing w:before="0" w:after="283"/>
              <w:jc w:val="left"/>
              <w:rPr/>
            </w:pPr>
            <w:r>
              <w:rPr/>
              <w:t> </w:t>
            </w:r>
            <w:bookmarkStart w:id="760" w:name="xdx_40D_eus-gaap--DebtInstrumentUnamorti"/>
            <w:bookmarkEnd w:id="760"/>
          </w:p>
        </w:tc>
      </w:tr>
      <w:tr>
        <w:trPr/>
        <w:tc>
          <w:tcPr>
            <w:tcW w:w="3665" w:type="dxa"/>
            <w:tcBorders/>
            <w:shd w:fill="FFFFFF" w:val="clear"/>
            <w:tcMar>
              <w:bottom w:w="0" w:type="dxa"/>
            </w:tcMar>
            <w:vAlign w:val="center"/>
          </w:tcPr>
          <w:p>
            <w:pPr>
              <w:pStyle w:val="TableContents"/>
              <w:bidi w:val="0"/>
              <w:spacing w:before="0" w:after="283"/>
              <w:jc w:val="left"/>
              <w:rPr/>
            </w:pPr>
            <w:r>
              <w:rPr/>
              <w:t>Less: Unamortized debt issuance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(9,699</w:t>
            </w:r>
          </w:p>
        </w:tc>
        <w:tc>
          <w:tcPr>
            <w:tcW w:w="110" w:type="dxa"/>
            <w:tcBorders/>
            <w:shd w:fill="FFFFFF" w:val="clear"/>
            <w:tcMar>
              <w:bottom w:w="0" w:type="dxa"/>
            </w:tcMar>
            <w:vAlign w:val="center"/>
          </w:tcPr>
          <w:p>
            <w:pPr>
              <w:pStyle w:val="TableContents"/>
              <w:bidi w:val="0"/>
              <w:spacing w:before="0" w:after="283"/>
              <w:jc w:val="left"/>
              <w:rPr/>
            </w:pPr>
            <w:r>
              <w:rPr/>
              <w:t>)</w:t>
            </w:r>
            <w:bookmarkStart w:id="761" w:name="xdx_40F_eus-gaap--DebtInstrumentCarrying"/>
            <w:bookmarkEnd w:id="761"/>
          </w:p>
        </w:tc>
      </w:tr>
      <w:tr>
        <w:trPr/>
        <w:tc>
          <w:tcPr>
            <w:tcW w:w="3665" w:type="dxa"/>
            <w:tcBorders/>
            <w:shd w:fill="CCEEFF" w:val="clear"/>
            <w:tcMar>
              <w:bottom w:w="0" w:type="dxa"/>
            </w:tcMar>
            <w:vAlign w:val="center"/>
          </w:tcPr>
          <w:p>
            <w:pPr>
              <w:pStyle w:val="TableContents"/>
              <w:bidi w:val="0"/>
              <w:spacing w:before="0" w:after="283"/>
              <w:jc w:val="left"/>
              <w:rPr/>
            </w:pPr>
            <w:r>
              <w:rPr/>
              <w:t>Total carrying amount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9,645</w:t>
            </w:r>
          </w:p>
        </w:tc>
        <w:tc>
          <w:tcPr>
            <w:tcW w:w="110" w:type="dxa"/>
            <w:tcBorders/>
            <w:shd w:fill="CCEEFF" w:val="clear"/>
            <w:tcMar>
              <w:bottom w:w="0" w:type="dxa"/>
            </w:tcMar>
            <w:vAlign w:val="center"/>
          </w:tcPr>
          <w:p>
            <w:pPr>
              <w:pStyle w:val="TableContents"/>
              <w:bidi w:val="0"/>
              <w:spacing w:before="0" w:after="283"/>
              <w:jc w:val="left"/>
              <w:rPr/>
            </w:pPr>
            <w:r>
              <w:rPr/>
              <w:t> </w:t>
            </w:r>
            <w:bookmarkStart w:id="762" w:name="xdx_407_eus-gaap--LongTermDebtCurrent_iN"/>
            <w:bookmarkEnd w:id="762"/>
          </w:p>
        </w:tc>
      </w:tr>
      <w:tr>
        <w:trPr/>
        <w:tc>
          <w:tcPr>
            <w:tcW w:w="3665" w:type="dxa"/>
            <w:tcBorders/>
            <w:shd w:fill="FFFFFF" w:val="clear"/>
            <w:tcMar>
              <w:bottom w:w="0" w:type="dxa"/>
            </w:tcMar>
            <w:vAlign w:val="center"/>
          </w:tcPr>
          <w:p>
            <w:pPr>
              <w:pStyle w:val="TableContents"/>
              <w:bidi w:val="0"/>
              <w:spacing w:before="0" w:after="283"/>
              <w:jc w:val="left"/>
              <w:rPr/>
            </w:pPr>
            <w:r>
              <w:rPr/>
              <w:t>Less: Current portion of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(433</w:t>
            </w:r>
          </w:p>
        </w:tc>
        <w:tc>
          <w:tcPr>
            <w:tcW w:w="110" w:type="dxa"/>
            <w:tcBorders/>
            <w:shd w:fill="FFFFFF" w:val="clear"/>
            <w:tcMar>
              <w:bottom w:w="0" w:type="dxa"/>
            </w:tcMar>
            <w:vAlign w:val="center"/>
          </w:tcPr>
          <w:p>
            <w:pPr>
              <w:pStyle w:val="TableContents"/>
              <w:bidi w:val="0"/>
              <w:spacing w:before="0" w:after="283"/>
              <w:jc w:val="left"/>
              <w:rPr/>
            </w:pPr>
            <w:r>
              <w:rPr/>
              <w:t>)</w:t>
            </w:r>
            <w:bookmarkStart w:id="763" w:name="xdx_40D_eus-gaap--LongTermDebtNoncurrent"/>
            <w:bookmarkEnd w:id="763"/>
          </w:p>
        </w:tc>
      </w:tr>
      <w:tr>
        <w:trPr/>
        <w:tc>
          <w:tcPr>
            <w:tcW w:w="3665" w:type="dxa"/>
            <w:tcBorders/>
            <w:shd w:fill="CCEEFF" w:val="clear"/>
            <w:tcMar>
              <w:bottom w:w="0" w:type="dxa"/>
            </w:tcMar>
            <w:vAlign w:val="center"/>
          </w:tcPr>
          <w:p>
            <w:pPr>
              <w:pStyle w:val="TableContents"/>
              <w:bidi w:val="0"/>
              <w:spacing w:before="0" w:after="283"/>
              <w:jc w:val="left"/>
              <w:rPr/>
            </w:pPr>
            <w:r>
              <w:rPr/>
              <w:t>Total long-term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80" w:type="dxa"/>
            <w:tcBorders>
              <w:bottom w:val="double" w:sz="6" w:space="0" w:color="000000"/>
            </w:tcBorders>
            <w:shd w:fill="CCEEFF" w:val="clear"/>
            <w:vAlign w:val="center"/>
          </w:tcPr>
          <w:p>
            <w:pPr>
              <w:pStyle w:val="TableContents"/>
              <w:bidi w:val="0"/>
              <w:spacing w:before="0" w:after="283"/>
              <w:jc w:val="right"/>
              <w:rPr/>
            </w:pPr>
            <w:r>
              <w:rPr/>
              <w:t>9,212</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64" w:name="xdx_8AC_zp6tXeiBeAk9"/>
      <w:bookmarkEnd w:id="76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765" w:name="xdx_804_ecustom--LicenseAgreementDisclos"/>
      <w:bookmarkEnd w:id="765"/>
      <w:r>
        <w:rPr>
          <w:rFonts w:ascii="Times New Roman;Times;Serif" w:hAnsi="Times New Roman;Times;Serif"/>
          <w:b/>
          <w:i w:val="false"/>
          <w:caps/>
          <w:sz w:val="20"/>
        </w:rPr>
        <w:t xml:space="preserve">Note 7 - </w:t>
      </w:r>
      <w:bookmarkStart w:id="766" w:name="xdx_82E_zTQF5TrjHvFc"/>
      <w:bookmarkEnd w:id="766"/>
      <w:r>
        <w:rPr>
          <w:rFonts w:ascii="Times New Roman;Times;Serif" w:hAnsi="Times New Roman;Times;Serif"/>
          <w:b/>
          <w:i w:val="false"/>
          <w:caps/>
          <w:sz w:val="20"/>
        </w:rPr>
        <w:t>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Legacy Dragonfly and Battle Born LLC, a wholly-owned subsidiary of Legacy Dragonfly, entered into the License Agreement with Stryten. Under the terms of the License Agreement, Battle Born LLC granted Stryten an exclusive, worldwide license to use certain trademarks associated with the Company’s lithium-ion battery brand, Battle Born Batteries®, for business-to-business battery sales in specified markets. In exchange, Stryten paid an initial licensing fee of $</w:t>
      </w:r>
      <w:bookmarkStart w:id="767" w:name="xdx_90D_ecustom--LicensingFee_pn3n3_c202"/>
      <w:bookmarkEnd w:id="767"/>
      <w:r>
        <w:rPr>
          <w:rFonts w:ascii="Times New Roman;Times;Serif" w:hAnsi="Times New Roman;Times;Serif"/>
          <w:b w:val="false"/>
          <w:i w:val="false"/>
          <w:caps w:val="false"/>
          <w:smallCaps w:val="false"/>
          <w:sz w:val="20"/>
        </w:rPr>
        <w:t>5,000 and will make additional mid-single digit royalty payments to be paid based on net sales to be paid quarterly utilizing the licensed trademarks, with total royalties capped at $</w:t>
      </w:r>
      <w:bookmarkStart w:id="768" w:name="xdx_906_ecustom--PaymentOfQuarterlyLicen"/>
      <w:bookmarkEnd w:id="768"/>
      <w:r>
        <w:rPr>
          <w:rFonts w:ascii="Times New Roman;Times;Serif" w:hAnsi="Times New Roman;Times;Serif"/>
          <w:b w:val="false"/>
          <w:i w:val="false"/>
          <w:caps w:val="false"/>
          <w:smallCaps w:val="false"/>
          <w:sz w:val="20"/>
        </w:rPr>
        <w:t>25,000. Once the cap is reached, Stryten will be required to pay a nominal annual license fee. The License Agreement is perpetual unless terminated in accordance with its terms. Concurrently, the Company transferred all intellectual property rights related to the licensed trademarks to Battle Born LLC and retained a worldwide license outside of Stryten’s designated markets. The $</w:t>
      </w:r>
      <w:bookmarkStart w:id="769" w:name="xdx_90D_ecustom--LicensingFee_pn3n3_c202"/>
      <w:bookmarkEnd w:id="769"/>
      <w:r>
        <w:rPr>
          <w:rFonts w:ascii="Times New Roman;Times;Serif" w:hAnsi="Times New Roman;Times;Serif"/>
          <w:b w:val="false"/>
          <w:i w:val="false"/>
          <w:caps w:val="false"/>
          <w:smallCaps w:val="false"/>
          <w:sz w:val="20"/>
        </w:rPr>
        <w:t xml:space="preserve">5,000 initial licensing fee is being recognized as revenue on a </w:t>
      </w:r>
      <w:bookmarkStart w:id="770" w:name="xdx_90E_ecustom--InitialLicensingFeeReco"/>
      <w:bookmarkEnd w:id="770"/>
      <w:r>
        <w:rPr>
          <w:rFonts w:ascii="Times New Roman;Times;Serif" w:hAnsi="Times New Roman;Times;Serif"/>
          <w:b w:val="false"/>
          <w:i w:val="false"/>
          <w:caps w:val="false"/>
          <w:smallCaps w:val="false"/>
          <w:sz w:val="20"/>
        </w:rPr>
        <w:t>straight-line basis over five years. As of December 31, 2025 and 2024, the Company has recorded $</w:t>
      </w:r>
      <w:bookmarkStart w:id="771" w:name="xdx_909_eus-gaap--RevenueFromContractWit"/>
      <w:bookmarkEnd w:id="771"/>
      <w:r>
        <w:rPr>
          <w:rFonts w:ascii="Times New Roman;Times;Serif" w:hAnsi="Times New Roman;Times;Serif"/>
          <w:b w:val="false"/>
          <w:i w:val="false"/>
          <w:caps w:val="false"/>
          <w:smallCaps w:val="false"/>
          <w:sz w:val="20"/>
        </w:rPr>
        <w:t>1,000 and $</w:t>
      </w:r>
      <w:bookmarkStart w:id="772" w:name="xdx_907_eus-gaap--RevenueFromContractWit"/>
      <w:bookmarkEnd w:id="772"/>
      <w:r>
        <w:rPr>
          <w:rFonts w:ascii="Times New Roman;Times;Serif" w:hAnsi="Times New Roman;Times;Serif"/>
          <w:b w:val="false"/>
          <w:i w:val="false"/>
          <w:caps w:val="false"/>
          <w:smallCaps w:val="false"/>
          <w:sz w:val="20"/>
        </w:rPr>
        <w:t xml:space="preserve">417, respectively, in revenue related to the amortization of the License Agreement and </w:t>
      </w:r>
      <w:bookmarkStart w:id="773" w:name="xdx_904_eus-gaap--ProceedsFromRoyaltiesR"/>
      <w:bookmarkEnd w:id="773"/>
      <w:r>
        <w:rPr>
          <w:rFonts w:ascii="Times New Roman;Times;Serif" w:hAnsi="Times New Roman;Times;Serif"/>
          <w:b w:val="false"/>
          <w:i w:val="false"/>
          <w:caps w:val="false"/>
          <w:smallCaps w:val="false"/>
          <w:sz w:val="20"/>
        </w:rPr>
        <w:t>no royalty payments have been received or earned. As of December 31, 2025, the Company has recorded $</w:t>
      </w:r>
      <w:bookmarkStart w:id="774" w:name="xdx_905_eus-gaap--DeferredRevenueCurrent"/>
      <w:bookmarkEnd w:id="774"/>
      <w:r>
        <w:rPr>
          <w:rFonts w:ascii="Times New Roman;Times;Serif" w:hAnsi="Times New Roman;Times;Serif"/>
          <w:b w:val="false"/>
          <w:i w:val="false"/>
          <w:caps w:val="false"/>
          <w:smallCaps w:val="false"/>
          <w:sz w:val="20"/>
        </w:rPr>
        <w:t>1,000 in short term deferred revenue and $</w:t>
      </w:r>
      <w:bookmarkStart w:id="775" w:name="xdx_908_eus-gaap--DeferredRevenueNoncurr"/>
      <w:bookmarkEnd w:id="775"/>
      <w:r>
        <w:rPr>
          <w:rFonts w:ascii="Times New Roman;Times;Serif" w:hAnsi="Times New Roman;Times;Serif"/>
          <w:b w:val="false"/>
          <w:i w:val="false"/>
          <w:caps w:val="false"/>
          <w:smallCaps w:val="false"/>
          <w:sz w:val="20"/>
        </w:rPr>
        <w:t>2,583 in long-term deferred revenue related to the license agreement. As of December 31, 2024, the Company has recorded $</w:t>
      </w:r>
      <w:bookmarkStart w:id="776" w:name="xdx_90F_eus-gaap--DeferredRevenueCurrent"/>
      <w:bookmarkEnd w:id="776"/>
      <w:r>
        <w:rPr>
          <w:rFonts w:ascii="Times New Roman;Times;Serif" w:hAnsi="Times New Roman;Times;Serif"/>
          <w:b w:val="false"/>
          <w:i w:val="false"/>
          <w:caps w:val="false"/>
          <w:smallCaps w:val="false"/>
          <w:sz w:val="20"/>
        </w:rPr>
        <w:t>1,000 in short term deferred revenue and $</w:t>
      </w:r>
      <w:bookmarkStart w:id="777" w:name="xdx_90C_eus-gaap--DeferredRevenueNoncurr"/>
      <w:bookmarkEnd w:id="777"/>
      <w:r>
        <w:rPr>
          <w:rFonts w:ascii="Times New Roman;Times;Serif" w:hAnsi="Times New Roman;Times;Serif"/>
          <w:b w:val="false"/>
          <w:i w:val="false"/>
          <w:caps w:val="false"/>
          <w:smallCaps w:val="false"/>
          <w:sz w:val="20"/>
        </w:rPr>
        <w:t>3,583 in long-term deferred revenue related to the license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778" w:name="xdx_806_eus-gaap--RelatedPartyTransactio"/>
      <w:bookmarkEnd w:id="778"/>
      <w:r>
        <w:rPr>
          <w:rFonts w:ascii="Times New Roman;Times;Serif" w:hAnsi="Times New Roman;Times;Serif"/>
          <w:b/>
          <w:i w:val="false"/>
          <w:caps/>
          <w:sz w:val="20"/>
        </w:rPr>
        <w:t xml:space="preserve">Note 8 - </w:t>
      </w:r>
      <w:bookmarkStart w:id="779" w:name="xdx_82A_zKXiP86iSkte"/>
      <w:bookmarkEnd w:id="779"/>
      <w:r>
        <w:rPr>
          <w:rFonts w:ascii="Times New Roman;Times;Serif" w:hAnsi="Times New Roman;Times;Serif"/>
          <w:b/>
          <w:i w:val="false"/>
          <w:caps/>
          <w:sz w:val="20"/>
        </w:rPr>
        <w:t>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2024 the Company entered into a convertible promissory note (the “January Note”) with a board member in the amount of $</w:t>
      </w:r>
      <w:bookmarkStart w:id="780" w:name="xdx_904_eus-gaap--ConvertibleNotesPayabl"/>
      <w:bookmarkEnd w:id="780"/>
      <w:r>
        <w:rPr>
          <w:rFonts w:ascii="Times New Roman;Times;Serif" w:hAnsi="Times New Roman;Times;Serif"/>
          <w:b w:val="false"/>
          <w:i w:val="false"/>
          <w:caps w:val="false"/>
          <w:smallCaps w:val="false"/>
          <w:sz w:val="20"/>
        </w:rPr>
        <w:t>1,000, or the January Principal Amount. Upon execution of the January Note and funding of the original principal sum, a payment of $</w:t>
      </w:r>
      <w:bookmarkStart w:id="781" w:name="xdx_90A_eus-gaap--DebtInstrumentFeeAmoun"/>
      <w:bookmarkEnd w:id="781"/>
      <w:r>
        <w:rPr>
          <w:rFonts w:ascii="Times New Roman;Times;Serif" w:hAnsi="Times New Roman;Times;Serif"/>
          <w:b w:val="false"/>
          <w:i w:val="false"/>
          <w:caps w:val="false"/>
          <w:smallCaps w:val="false"/>
          <w:sz w:val="20"/>
        </w:rPr>
        <w:t>50 (the “January Loan Fee”) was fully earned as of the date of the January Note and was due and payable in full in cash on February 2, 2024. The Company paid the January Principal Amount and the January Loan Fee on February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the Company entered into a convertible promissory note (the “February Note”) with a board member in the amount of $</w:t>
      </w:r>
      <w:bookmarkStart w:id="782" w:name="xdx_905_eus-gaap--ConvertibleNotesPayabl"/>
      <w:bookmarkEnd w:id="782"/>
      <w:r>
        <w:rPr>
          <w:rFonts w:ascii="Times New Roman;Times;Serif" w:hAnsi="Times New Roman;Times;Serif"/>
          <w:b w:val="false"/>
          <w:i w:val="false"/>
          <w:caps w:val="false"/>
          <w:smallCaps w:val="false"/>
          <w:sz w:val="20"/>
        </w:rPr>
        <w:t>1,700, or the February Principal Amount. Upon execution of the February Note and funding of the original principal sum, a payment of $</w:t>
      </w:r>
      <w:bookmarkStart w:id="783" w:name="xdx_906_eus-gaap--DebtInstrumentFeeAmoun"/>
      <w:bookmarkEnd w:id="783"/>
      <w:r>
        <w:rPr>
          <w:rFonts w:ascii="Times New Roman;Times;Serif" w:hAnsi="Times New Roman;Times;Serif"/>
          <w:b w:val="false"/>
          <w:i w:val="false"/>
          <w:caps w:val="false"/>
          <w:smallCaps w:val="false"/>
          <w:sz w:val="20"/>
        </w:rPr>
        <w:t>85 (the “February Loan Fee”) was fully earned as of the date of the February Note and was due and payable in full in cash on March 1, 2024. The Company paid the February Principal Amount and the February Loan Fee on March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12, 2024, the Company entered into amendments to the employment agreements with its Chief Executive Officer, its Chief Revenue Officer and its Chief Marketing Officer to amend the terms of their annual equity compensation (the “Amended Employee Agreements”). The Amended Employee Agreements allow the Company to issue a combination of cash and equity awards on an annual basis up to a specified amount ($</w:t>
      </w:r>
      <w:bookmarkStart w:id="784" w:name="xdx_906_eus-gaap--EmployeeBenefitsAndSha"/>
      <w:bookmarkEnd w:id="784"/>
      <w:r>
        <w:rPr>
          <w:rFonts w:ascii="Times New Roman;Times;Serif" w:hAnsi="Times New Roman;Times;Serif"/>
          <w:b w:val="false"/>
          <w:i w:val="false"/>
          <w:caps w:val="false"/>
          <w:smallCaps w:val="false"/>
          <w:sz w:val="20"/>
        </w:rPr>
        <w:t>1,532 for the Chief Executive Officer, $</w:t>
      </w:r>
      <w:bookmarkStart w:id="785" w:name="xdx_900_eus-gaap--EmployeeBenefitsAndSha"/>
      <w:bookmarkEnd w:id="785"/>
      <w:r>
        <w:rPr>
          <w:rFonts w:ascii="Times New Roman;Times;Serif" w:hAnsi="Times New Roman;Times;Serif"/>
          <w:b w:val="false"/>
          <w:i w:val="false"/>
          <w:caps w:val="false"/>
          <w:smallCaps w:val="false"/>
          <w:sz w:val="20"/>
        </w:rPr>
        <w:t>490 for the Chief Revenue Officer and $</w:t>
      </w:r>
      <w:bookmarkStart w:id="786" w:name="xdx_901_eus-gaap--EmployeeBenefitsAndSha"/>
      <w:bookmarkEnd w:id="786"/>
      <w:r>
        <w:rPr>
          <w:rFonts w:ascii="Times New Roman;Times;Serif" w:hAnsi="Times New Roman;Times;Serif"/>
          <w:b w:val="false"/>
          <w:i w:val="false"/>
          <w:caps w:val="false"/>
          <w:smallCaps w:val="false"/>
          <w:sz w:val="20"/>
        </w:rPr>
        <w:t>236 for the Chief Marketing Officer), subject to approval and such other terms and conditions imposed by the compensation committee of the board of directors.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787" w:name="xdx_807_ecustom--WarrantLiabilitiesDiscl"/>
      <w:bookmarkEnd w:id="787"/>
      <w:r>
        <w:rPr>
          <w:rFonts w:ascii="Times New Roman;Times;Serif" w:hAnsi="Times New Roman;Times;Serif"/>
          <w:b/>
          <w:i w:val="false"/>
          <w:caps/>
          <w:sz w:val="20"/>
        </w:rPr>
        <w:t xml:space="preserve">Note 9 - </w:t>
      </w:r>
      <w:bookmarkStart w:id="788" w:name="xdx_820_zdeElNx1ph8l"/>
      <w:bookmarkEnd w:id="788"/>
      <w:r>
        <w:rPr>
          <w:rFonts w:ascii="Times New Roman;Times;Serif" w:hAnsi="Times New Roman;Times;Serif"/>
          <w:b/>
          <w:i w:val="false"/>
          <w:caps/>
          <w:sz w:val="20"/>
        </w:rPr>
        <w:t>WARRANTS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Public Warrant entitles the holder to the right to purchase one share of common stock at an exercise price of $</w:t>
      </w:r>
      <w:bookmarkStart w:id="789" w:name="xdx_908_eus-gaap--ClassOfWarrantOrRightE"/>
      <w:bookmarkEnd w:id="789"/>
      <w:r>
        <w:rPr>
          <w:rFonts w:ascii="Times New Roman;Times;Serif" w:hAnsi="Times New Roman;Times;Serif"/>
          <w:b w:val="false"/>
          <w:i w:val="false"/>
          <w:caps w:val="false"/>
          <w:smallCaps w:val="false"/>
          <w:sz w:val="20"/>
        </w:rPr>
        <w:t>1,035 per share. No fractional shares will be issued upon exercise of the Public Warrants. The Company may elect to redeem the Public Warrants subject to certain conditions, in whole and not in part, at a price of $</w:t>
      </w:r>
      <w:bookmarkStart w:id="790" w:name="xdx_906_eus-gaap--SharesIssuedPricePerSh"/>
      <w:bookmarkEnd w:id="790"/>
      <w:r>
        <w:rPr>
          <w:rFonts w:ascii="Times New Roman;Times;Serif" w:hAnsi="Times New Roman;Times;Serif"/>
          <w:b w:val="false"/>
          <w:i w:val="false"/>
          <w:caps w:val="false"/>
          <w:smallCaps w:val="false"/>
          <w:sz w:val="20"/>
        </w:rPr>
        <w:t>0.90 per Public Warrant if (i) 30 days’ prior written notice of redemption is provided to the holders, and (ii) the last reported sale price of the Company’s common stock equals or exceeds $</w:t>
      </w:r>
      <w:bookmarkStart w:id="791" w:name="xdx_90C_eus-gaap--SharePrice_iI_pid_c202"/>
      <w:bookmarkEnd w:id="791"/>
      <w:r>
        <w:rPr>
          <w:rFonts w:ascii="Times New Roman;Times;Serif" w:hAnsi="Times New Roman;Times;Serif"/>
          <w:b w:val="false"/>
          <w:i w:val="false"/>
          <w:caps w:val="false"/>
          <w:smallCaps w:val="false"/>
          <w:sz w:val="20"/>
        </w:rPr>
        <w:t xml:space="preserve">1,440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w:t>
      </w:r>
      <w:bookmarkStart w:id="792" w:name="xdx_90F_eus-gaap--ClassOfWarrantOrRightO"/>
      <w:bookmarkStart w:id="793" w:name="xdx_906_ecustom--ClassOfWarrantOrRightIs"/>
      <w:bookmarkEnd w:id="792"/>
      <w:bookmarkEnd w:id="793"/>
      <w:r>
        <w:rPr>
          <w:rFonts w:ascii="Times New Roman;Times;Serif" w:hAnsi="Times New Roman;Times;Serif"/>
          <w:b w:val="false"/>
          <w:i w:val="false"/>
          <w:caps w:val="false"/>
          <w:smallCaps w:val="false"/>
          <w:sz w:val="20"/>
        </w:rPr>
        <w:t>105,417 Public Warrants issued and outstanding. The Public Warrants are not precluded from equity classification, and are accounted for as such on the date of issuance, and each balance sheet date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Public Warrants are classified as equity and as of December 31, 2025 and 2024, there were </w:t>
      </w:r>
      <w:bookmarkStart w:id="794" w:name="xdx_905_eus-gaap--ShareBasedCompensation"/>
      <w:bookmarkStart w:id="795" w:name="xdx_904_eus-gaap--ShareBasedCompensation"/>
      <w:bookmarkStart w:id="796" w:name="xdx_908_eus-gaap--ShareBasedCompensation"/>
      <w:bookmarkStart w:id="797" w:name="xdx_900_eus-gaap--ShareBasedCompensation"/>
      <w:bookmarkEnd w:id="794"/>
      <w:bookmarkEnd w:id="795"/>
      <w:bookmarkEnd w:id="796"/>
      <w:bookmarkEnd w:id="797"/>
      <w:r>
        <w:rPr>
          <w:rFonts w:ascii="Times New Roman;Times;Serif" w:hAnsi="Times New Roman;Times;Serif"/>
          <w:b w:val="false"/>
          <w:i w:val="false"/>
          <w:caps w:val="false"/>
          <w:smallCaps w:val="false"/>
          <w:sz w:val="20"/>
        </w:rPr>
        <w:t>104,695 Public Warrants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each year ended December 31, 2025 and 2024, </w:t>
      </w:r>
      <w:bookmarkStart w:id="798" w:name="xdx_901_eus-gaap--ProceedsFromWarrantExe"/>
      <w:bookmarkStart w:id="799" w:name="xdx_905_eus-gaap--ProceedsFromWarrantExe"/>
      <w:bookmarkEnd w:id="798"/>
      <w:bookmarkEnd w:id="799"/>
      <w:r>
        <w:rPr>
          <w:rFonts w:ascii="Times New Roman;Times;Serif" w:hAnsi="Times New Roman;Times;Serif"/>
          <w:b w:val="false"/>
          <w:i w:val="false"/>
          <w:caps w:val="false"/>
          <w:smallCaps w:val="false"/>
          <w:sz w:val="20"/>
        </w:rPr>
        <w:t>no public warrants were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2023 Offering (Underwriter and Investor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underwriting agreement as further described in </w:t>
      </w:r>
      <w:r>
        <w:rPr>
          <w:rFonts w:ascii="Times New Roman;Times;Serif" w:hAnsi="Times New Roman;Times;Serif"/>
          <w:b/>
          <w:i w:val="false"/>
          <w:caps w:val="false"/>
          <w:smallCaps w:val="false"/>
          <w:sz w:val="20"/>
        </w:rPr>
        <w:t>Note 11</w:t>
      </w:r>
      <w:r>
        <w:rPr>
          <w:rFonts w:ascii="Times New Roman;Times;Serif" w:hAnsi="Times New Roman;Times;Serif"/>
          <w:b w:val="false"/>
          <w:i w:val="false"/>
          <w:caps w:val="false"/>
          <w:smallCaps w:val="false"/>
          <w:sz w:val="20"/>
        </w:rPr>
        <w:t xml:space="preserve"> of the financial statements, (the “June 2023 Offering”) the Company issued (i) underwriters warrants to purchase up to an aggregate of </w:t>
      </w:r>
      <w:bookmarkStart w:id="800" w:name="xdx_90C_eus-gaap--ClassOfWarrantOrRightN"/>
      <w:bookmarkEnd w:id="800"/>
      <w:r>
        <w:rPr>
          <w:rFonts w:ascii="Times New Roman;Times;Serif" w:hAnsi="Times New Roman;Times;Serif"/>
          <w:b w:val="false"/>
          <w:i w:val="false"/>
          <w:caps w:val="false"/>
          <w:smallCaps w:val="false"/>
          <w:sz w:val="20"/>
        </w:rPr>
        <w:t>6,336 shares of Common Stock (the “Underwriters’ Warrants”) which are exercisable upon issuance and will expire on June 20, 2028. The initial exercise price of the Underwriters’ Warrants is $</w:t>
      </w:r>
      <w:bookmarkStart w:id="801" w:name="xdx_907_eus-gaap--ClassOfWarrantOrRightE"/>
      <w:bookmarkEnd w:id="801"/>
      <w:r>
        <w:rPr>
          <w:rFonts w:ascii="Times New Roman;Times;Serif" w:hAnsi="Times New Roman;Times;Serif"/>
          <w:b w:val="false"/>
          <w:i w:val="false"/>
          <w:caps w:val="false"/>
          <w:smallCaps w:val="false"/>
          <w:sz w:val="20"/>
        </w:rPr>
        <w:t xml:space="preserve">225.00 per share, which equals </w:t>
      </w:r>
      <w:bookmarkStart w:id="802" w:name="xdx_90D_ecustom--ClassOfWarrantOrRightEx"/>
      <w:bookmarkEnd w:id="802"/>
      <w:r>
        <w:rPr>
          <w:rFonts w:ascii="Times New Roman;Times;Serif" w:hAnsi="Times New Roman;Times;Serif"/>
          <w:b w:val="false"/>
          <w:i w:val="false"/>
          <w:caps w:val="false"/>
          <w:smallCaps w:val="false"/>
          <w:sz w:val="20"/>
        </w:rPr>
        <w:t xml:space="preserve">125% of the per share public offering price in the June 2023 Offering and (ii) warrants to purchase up to </w:t>
      </w:r>
      <w:bookmarkStart w:id="803" w:name="xdx_900_eus-gaap--ClassOfWarrantOrRightN"/>
      <w:bookmarkEnd w:id="803"/>
      <w:r>
        <w:rPr>
          <w:rFonts w:ascii="Times New Roman;Times;Serif" w:hAnsi="Times New Roman;Times;Serif"/>
          <w:b w:val="false"/>
          <w:i w:val="false"/>
          <w:caps w:val="false"/>
          <w:smallCaps w:val="false"/>
          <w:sz w:val="20"/>
        </w:rPr>
        <w:t>111,111 shares of Common Stock to the investors in the offering together with shares of Common Stock (the “Investor Warrants”), at the combined public offering price of $</w:t>
      </w:r>
      <w:bookmarkStart w:id="804" w:name="xdx_909_eus-gaap--SharesIssuedPricePerSh"/>
      <w:bookmarkEnd w:id="804"/>
      <w:r>
        <w:rPr>
          <w:rFonts w:ascii="Times New Roman;Times;Serif" w:hAnsi="Times New Roman;Times;Serif"/>
          <w:b w:val="false"/>
          <w:i w:val="false"/>
          <w:caps w:val="false"/>
          <w:smallCaps w:val="false"/>
          <w:sz w:val="20"/>
        </w:rPr>
        <w:t>180.00 per share of Common Stock and accompanying Investor Warrant, less underwriting discounts and commissions.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9 - Warrants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2023 Offering (Underwriter and Investor Warrants)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granted the underwriters a 45-day over-allotment option to purchase up to an additional </w:t>
      </w:r>
      <w:bookmarkStart w:id="805" w:name="xdx_903_eus-gaap--ShareBasedCompensation"/>
      <w:bookmarkEnd w:id="805"/>
      <w:r>
        <w:rPr>
          <w:rFonts w:ascii="Times New Roman;Times;Serif" w:hAnsi="Times New Roman;Times;Serif"/>
          <w:b w:val="false"/>
          <w:i w:val="false"/>
          <w:caps w:val="false"/>
          <w:smallCaps w:val="false"/>
          <w:sz w:val="20"/>
        </w:rPr>
        <w:t xml:space="preserve">16,667 shares of Common Stock and/or Investor Warrants to purchase up to </w:t>
      </w:r>
      <w:bookmarkStart w:id="806" w:name="xdx_90B_eus-gaap--ClassOfWarrantOrRightN"/>
      <w:bookmarkEnd w:id="806"/>
      <w:r>
        <w:rPr>
          <w:rFonts w:ascii="Times New Roman;Times;Serif" w:hAnsi="Times New Roman;Times;Serif"/>
          <w:b w:val="false"/>
          <w:i w:val="false"/>
          <w:caps w:val="false"/>
          <w:smallCaps w:val="false"/>
          <w:sz w:val="20"/>
        </w:rPr>
        <w:t xml:space="preserve">16,667 shares of Common Stock at the public offering price per security, less underwriting discounts and commissions. The underwriters exercised their over-allotment option to purchase an additional </w:t>
      </w:r>
      <w:bookmarkStart w:id="807" w:name="xdx_906_eus-gaap--ShareBasedCompensation"/>
      <w:bookmarkEnd w:id="807"/>
      <w:r>
        <w:rPr>
          <w:rFonts w:ascii="Times New Roman;Times;Serif" w:hAnsi="Times New Roman;Times;Serif"/>
          <w:b w:val="false"/>
          <w:i w:val="false"/>
          <w:caps w:val="false"/>
          <w:smallCaps w:val="false"/>
          <w:sz w:val="20"/>
        </w:rPr>
        <w:t xml:space="preserve">15,611 shares of Common Stock and Investor Warrants to purchase up to </w:t>
      </w:r>
      <w:bookmarkStart w:id="808" w:name="xdx_90A_eus-gaap--ClassOfWarrantOrRightN"/>
      <w:bookmarkEnd w:id="808"/>
      <w:r>
        <w:rPr>
          <w:rFonts w:ascii="Times New Roman;Times;Serif" w:hAnsi="Times New Roman;Times;Serif"/>
          <w:b w:val="false"/>
          <w:i w:val="false"/>
          <w:caps w:val="false"/>
          <w:smallCaps w:val="false"/>
          <w:sz w:val="20"/>
        </w:rPr>
        <w:t>15,611 shares of Common Stock. The Company accounts for the Investor Warrants issued in connection with the Offering in accordance with the guidance contained in ASC 815-40. Such guidance provides that because the Investor Warrants do not meet the criteria for equity treatment thereunder, each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It was determined that the Underwriters’ Warrants were not precluded from equity treatment and have been accounted for as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October 2025 Offering (Pre-Funded Underwriter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Second Offering Underwriting Agreement as further described in </w:t>
      </w:r>
      <w:r>
        <w:rPr>
          <w:rFonts w:ascii="Times New Roman;Times;Serif" w:hAnsi="Times New Roman;Times;Serif"/>
          <w:b/>
          <w:i w:val="false"/>
          <w:caps w:val="false"/>
          <w:smallCaps w:val="false"/>
          <w:sz w:val="20"/>
        </w:rPr>
        <w:t>Note 11</w:t>
      </w:r>
      <w:r>
        <w:rPr>
          <w:rFonts w:ascii="Times New Roman;Times;Serif" w:hAnsi="Times New Roman;Times;Serif"/>
          <w:b w:val="false"/>
          <w:i w:val="false"/>
          <w:caps w:val="false"/>
          <w:smallCaps w:val="false"/>
          <w:sz w:val="20"/>
        </w:rPr>
        <w:t xml:space="preserve"> of the financial statements, (the “October 2025 Public Offering”) the Company issued pre-funded warrants to purchase up to an aggregate of </w:t>
      </w:r>
      <w:bookmarkStart w:id="809" w:name="xdx_90F_eus-gaap--ClassOfWarrantOrRightN"/>
      <w:bookmarkEnd w:id="809"/>
      <w:r>
        <w:rPr>
          <w:rFonts w:ascii="Times New Roman;Times;Serif" w:hAnsi="Times New Roman;Times;Serif"/>
          <w:b w:val="false"/>
          <w:i w:val="false"/>
          <w:caps w:val="false"/>
          <w:smallCaps w:val="false"/>
          <w:sz w:val="20"/>
        </w:rPr>
        <w:t>500,000 shares of common stock at a price to the public of $</w:t>
      </w:r>
      <w:bookmarkStart w:id="810" w:name="xdx_901_eus-gaap--ClassOfWarrantOrRightE"/>
      <w:bookmarkEnd w:id="810"/>
      <w:r>
        <w:rPr>
          <w:rFonts w:ascii="Times New Roman;Times;Serif" w:hAnsi="Times New Roman;Times;Serif"/>
          <w:b w:val="false"/>
          <w:i w:val="false"/>
          <w:caps w:val="false"/>
          <w:smallCaps w:val="false"/>
          <w:sz w:val="20"/>
        </w:rPr>
        <w:t>13.50 per pre-funded warrant (the “Prefunded’ Warrants”). The Pre-Funded Warrants are immediately exercisable and may be exercised at any time after issuance at an exercise price of $</w:t>
      </w:r>
      <w:bookmarkStart w:id="811" w:name="xdx_90E_eus-gaap--SharePrice_iI_pid_c202"/>
      <w:bookmarkEnd w:id="811"/>
      <w:r>
        <w:rPr>
          <w:rFonts w:ascii="Times New Roman;Times;Serif" w:hAnsi="Times New Roman;Times;Serif"/>
          <w:b w:val="false"/>
          <w:i w:val="false"/>
          <w:caps w:val="false"/>
          <w:smallCaps w:val="false"/>
          <w:sz w:val="20"/>
        </w:rPr>
        <w:t>0.0001 per share. The Company expects to receive nominal proceeds, if any, from the exercise of the Pre-Funded Warrants. A holder of Pre-Funded Warrants may not exercise the Pre-Funded Warrants if, after giving effect to such exercise, the holder (together with its affiliates) would beneficially own more than 9.99% of the Company’s outstanding common stock; provided, however, that the holder may elect to limit such beneficial ownership to 4.99%. A holder may increase or decrease this beneficial ownership limitation, not to exceed 9.99%, upon providing at least 61 days’ prior notice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2" w:name="xdx_89D_eus-gaap--ScheduleOfStockholders"/>
      <w:bookmarkEnd w:id="812"/>
      <w:r>
        <w:rPr>
          <w:rFonts w:ascii="Times New Roman;Times;Serif" w:hAnsi="Times New Roman;Times;Serif"/>
          <w:b w:val="false"/>
          <w:i w:val="false"/>
          <w:caps w:val="false"/>
          <w:smallCaps w:val="false"/>
          <w:sz w:val="20"/>
        </w:rPr>
        <w:t>The following table presents a roll-forward of the Company’s equity warrants from January 1, 2025 to December 31, 2025 and January 1, 2024 to December 31, 2024:</w:t>
      </w:r>
    </w:p>
    <w:p>
      <w:pPr>
        <w:pStyle w:val="TextBody"/>
        <w:bidi w:val="0"/>
        <w:spacing w:before="0" w:after="0"/>
        <w:ind w:left="0" w:right="0" w:hanging="0"/>
        <w:jc w:val="both"/>
        <w:rPr>
          <w:caps w:val="false"/>
          <w:smallCaps w:val="false"/>
        </w:rPr>
      </w:pPr>
      <w:r>
        <w:rPr>
          <w:caps w:val="false"/>
          <w:smallCaps w:val="false"/>
        </w:rPr>
        <w:t> </w:t>
      </w:r>
      <w:bookmarkStart w:id="813" w:name="xdx_8B6_zvJRyTnu4Eoj"/>
      <w:bookmarkEnd w:id="813"/>
      <w:r>
        <w:rPr>
          <w:rFonts w:ascii="Times New Roman;Times;Serif" w:hAnsi="Times New Roman;Times;Serif"/>
          <w:b w:val="false"/>
          <w:i w:val="false"/>
          <w:caps w:val="false"/>
          <w:smallCaps w:val="false"/>
          <w:sz w:val="20"/>
        </w:rPr>
        <w:t>SCHEDULE OF ROLL-FORWARD OF EQUITY WARRANTS</w:t>
      </w:r>
    </w:p>
    <w:tbl>
      <w:tblPr>
        <w:tblW w:w="10205" w:type="dxa"/>
        <w:jc w:val="left"/>
        <w:tblInd w:w="0" w:type="dxa"/>
        <w:tblLayout w:type="fixed"/>
        <w:tblCellMar>
          <w:top w:w="0" w:type="dxa"/>
          <w:left w:w="0" w:type="dxa"/>
          <w:bottom w:w="0" w:type="dxa"/>
          <w:right w:w="0" w:type="dxa"/>
        </w:tblCellMar>
      </w:tblPr>
      <w:tblGrid>
        <w:gridCol w:w="3962"/>
        <w:gridCol w:w="60"/>
        <w:gridCol w:w="90"/>
        <w:gridCol w:w="1201"/>
        <w:gridCol w:w="60"/>
        <w:gridCol w:w="60"/>
        <w:gridCol w:w="184"/>
        <w:gridCol w:w="1733"/>
        <w:gridCol w:w="60"/>
        <w:gridCol w:w="60"/>
        <w:gridCol w:w="184"/>
        <w:gridCol w:w="2473"/>
        <w:gridCol w:w="78"/>
      </w:tblGrid>
      <w:tr>
        <w:trPr/>
        <w:tc>
          <w:tcPr>
            <w:tcW w:w="39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814" w:name="xdx_4B9_us-gaap--StatementEquityComponen"/>
            <w:bookmarkEnd w:id="814"/>
          </w:p>
        </w:tc>
        <w:tc>
          <w:tcPr>
            <w:tcW w:w="1291" w:type="dxa"/>
            <w:gridSpan w:val="2"/>
            <w:tcBorders>
              <w:bottom w:val="single" w:sz="8" w:space="0" w:color="000000"/>
            </w:tcBorders>
            <w:tcMar>
              <w:bottom w:w="28" w:type="dxa"/>
            </w:tcMar>
            <w:vAlign w:val="center"/>
          </w:tcPr>
          <w:p>
            <w:pPr>
              <w:pStyle w:val="TableContents"/>
              <w:bidi w:val="0"/>
              <w:spacing w:before="0" w:after="283"/>
              <w:jc w:val="center"/>
              <w:rPr/>
            </w:pPr>
            <w:r>
              <w:rPr/>
              <w:t>Public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15" w:name="xdx_4BD_us-gaap--StatementEquityComponen"/>
            <w:bookmarkEnd w:id="815"/>
          </w:p>
        </w:tc>
        <w:tc>
          <w:tcPr>
            <w:tcW w:w="1917" w:type="dxa"/>
            <w:gridSpan w:val="2"/>
            <w:tcBorders>
              <w:bottom w:val="single" w:sz="8" w:space="0" w:color="000000"/>
            </w:tcBorders>
            <w:tcMar>
              <w:bottom w:w="28" w:type="dxa"/>
            </w:tcMar>
            <w:vAlign w:val="center"/>
          </w:tcPr>
          <w:p>
            <w:pPr>
              <w:pStyle w:val="TableContents"/>
              <w:bidi w:val="0"/>
              <w:spacing w:before="0" w:after="283"/>
              <w:jc w:val="center"/>
              <w:rPr/>
            </w:pPr>
            <w:r>
              <w:rPr/>
              <w:t>Underwriters’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16" w:name="xdx_4B3_us-gaap--StatementEquityComponen"/>
            <w:bookmarkEnd w:id="816"/>
          </w:p>
        </w:tc>
        <w:tc>
          <w:tcPr>
            <w:tcW w:w="2657" w:type="dxa"/>
            <w:gridSpan w:val="2"/>
            <w:tcBorders>
              <w:bottom w:val="single" w:sz="8" w:space="0" w:color="000000"/>
            </w:tcBorders>
            <w:tcMar>
              <w:bottom w:w="28" w:type="dxa"/>
            </w:tcMar>
            <w:vAlign w:val="center"/>
          </w:tcPr>
          <w:p>
            <w:pPr>
              <w:pStyle w:val="TableContents"/>
              <w:bidi w:val="0"/>
              <w:spacing w:before="0" w:after="283"/>
              <w:jc w:val="center"/>
              <w:rPr/>
            </w:pPr>
            <w:r>
              <w:rPr/>
              <w:t>Pre-Funded Underwriters’ Warrants</w:t>
            </w:r>
          </w:p>
        </w:tc>
        <w:tc>
          <w:tcPr>
            <w:tcW w:w="78" w:type="dxa"/>
            <w:tcBorders/>
            <w:vAlign w:val="center"/>
          </w:tcPr>
          <w:p>
            <w:pPr>
              <w:pStyle w:val="TableContents"/>
              <w:bidi w:val="0"/>
              <w:spacing w:before="0" w:after="283"/>
              <w:jc w:val="left"/>
              <w:rPr/>
            </w:pPr>
            <w:r>
              <w:rPr/>
              <w:t> </w:t>
            </w:r>
            <w:bookmarkStart w:id="817" w:name="xdx_436_c20250101__20251231_eus-gaap--Sh"/>
            <w:bookmarkEnd w:id="817"/>
          </w:p>
        </w:tc>
      </w:tr>
      <w:tr>
        <w:trPr/>
        <w:tc>
          <w:tcPr>
            <w:tcW w:w="3962" w:type="dxa"/>
            <w:tcBorders/>
            <w:shd w:fill="CCEEFF" w:val="clear"/>
            <w:vAlign w:val="center"/>
          </w:tcPr>
          <w:p>
            <w:pPr>
              <w:pStyle w:val="TableContents"/>
              <w:bidi w:val="0"/>
              <w:spacing w:before="0" w:after="283"/>
              <w:jc w:val="left"/>
              <w:rPr/>
            </w:pPr>
            <w:r>
              <w:rPr/>
              <w:t>Warrants Outstanding, January 1, 2025</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104,695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733" w:type="dxa"/>
            <w:tcBorders/>
            <w:shd w:fill="CCEEFF" w:val="clear"/>
            <w:vAlign w:val="center"/>
          </w:tcPr>
          <w:p>
            <w:pPr>
              <w:pStyle w:val="TableContents"/>
              <w:bidi w:val="0"/>
              <w:spacing w:before="0" w:after="283"/>
              <w:jc w:val="right"/>
              <w:rPr/>
            </w:pPr>
            <w:r>
              <w:rPr/>
              <w:t>6,336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473"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bookmarkStart w:id="818" w:name="xdx_407_eus-gaap--ShareBasedCompensation"/>
            <w:bookmarkEnd w:id="818"/>
          </w:p>
        </w:tc>
      </w:tr>
      <w:tr>
        <w:trPr/>
        <w:tc>
          <w:tcPr>
            <w:tcW w:w="3962"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473"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819" w:name="xdx_400_eus-gaap--ShareBasedCompensation"/>
            <w:bookmarkEnd w:id="819"/>
          </w:p>
        </w:tc>
      </w:tr>
      <w:tr>
        <w:trPr/>
        <w:tc>
          <w:tcPr>
            <w:tcW w:w="3962" w:type="dxa"/>
            <w:tcBorders/>
            <w:shd w:fill="CCEEFF" w:val="clear"/>
            <w:vAlign w:val="center"/>
          </w:tcPr>
          <w:p>
            <w:pPr>
              <w:pStyle w:val="TableContents"/>
              <w:bidi w:val="0"/>
              <w:spacing w:before="0" w:after="283"/>
              <w:jc w:val="both"/>
              <w:rPr/>
            </w:pPr>
            <w:r>
              <w:rPr/>
              <w:t>Warrants issued</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73" w:type="dxa"/>
            <w:tcBorders>
              <w:bottom w:val="single" w:sz="8" w:space="0" w:color="000000"/>
            </w:tcBorders>
            <w:shd w:fill="CCEEFF" w:val="clear"/>
            <w:tcMar>
              <w:bottom w:w="28" w:type="dxa"/>
            </w:tcMar>
            <w:vAlign w:val="center"/>
          </w:tcPr>
          <w:p>
            <w:pPr>
              <w:pStyle w:val="TableContents"/>
              <w:bidi w:val="0"/>
              <w:spacing w:before="0" w:after="283"/>
              <w:jc w:val="right"/>
              <w:rPr/>
            </w:pPr>
            <w:r>
              <w:rPr/>
              <w:t>500,000</w:t>
            </w:r>
          </w:p>
        </w:tc>
        <w:tc>
          <w:tcPr>
            <w:tcW w:w="78" w:type="dxa"/>
            <w:tcBorders/>
            <w:shd w:fill="CCEEFF" w:val="clear"/>
            <w:vAlign w:val="center"/>
          </w:tcPr>
          <w:p>
            <w:pPr>
              <w:pStyle w:val="TableContents"/>
              <w:bidi w:val="0"/>
              <w:spacing w:before="0" w:after="283"/>
              <w:jc w:val="left"/>
              <w:rPr/>
            </w:pPr>
            <w:r>
              <w:rPr/>
              <w:t> </w:t>
            </w:r>
            <w:bookmarkStart w:id="820" w:name="xdx_439_c20250101__20251231_eus-gaap--Sh"/>
            <w:bookmarkEnd w:id="820"/>
          </w:p>
        </w:tc>
      </w:tr>
      <w:tr>
        <w:trPr/>
        <w:tc>
          <w:tcPr>
            <w:tcW w:w="3962" w:type="dxa"/>
            <w:tcBorders/>
            <w:shd w:fill="FFFFFF" w:val="clear"/>
            <w:vAlign w:val="center"/>
          </w:tcPr>
          <w:p>
            <w:pPr>
              <w:pStyle w:val="TableContents"/>
              <w:bidi w:val="0"/>
              <w:spacing w:before="0" w:after="283"/>
              <w:jc w:val="left"/>
              <w:rPr/>
            </w:pPr>
            <w:r>
              <w:rPr/>
              <w:t>Underwriters’ Warrants Outstanding, December 31, 2025</w:t>
            </w:r>
          </w:p>
        </w:tc>
        <w:tc>
          <w:tcPr>
            <w:tcW w:w="60" w:type="dxa"/>
            <w:tcBorders/>
            <w:shd w:fill="FFFFFF" w:val="clear"/>
            <w:vAlign w:val="center"/>
          </w:tcPr>
          <w:p>
            <w:pPr>
              <w:pStyle w:val="TableContents"/>
              <w:bidi w:val="0"/>
              <w:spacing w:before="0" w:after="283"/>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double" w:sz="6" w:space="0" w:color="000000"/>
            </w:tcBorders>
            <w:shd w:fill="FFFFFF" w:val="clear"/>
            <w:tcMar>
              <w:bottom w:w="28" w:type="dxa"/>
            </w:tcMar>
            <w:vAlign w:val="center"/>
          </w:tcPr>
          <w:p>
            <w:pPr>
              <w:pStyle w:val="TableContents"/>
              <w:bidi w:val="0"/>
              <w:spacing w:before="0" w:after="283"/>
              <w:jc w:val="right"/>
              <w:rPr/>
            </w:pPr>
            <w:r>
              <w:rPr/>
              <w:t>104,695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33" w:type="dxa"/>
            <w:tcBorders>
              <w:bottom w:val="double" w:sz="6" w:space="0" w:color="000000"/>
            </w:tcBorders>
            <w:shd w:fill="FFFFFF" w:val="clear"/>
            <w:tcMar>
              <w:bottom w:w="28" w:type="dxa"/>
            </w:tcMar>
            <w:vAlign w:val="center"/>
          </w:tcPr>
          <w:p>
            <w:pPr>
              <w:pStyle w:val="TableContents"/>
              <w:bidi w:val="0"/>
              <w:spacing w:before="0" w:after="283"/>
              <w:jc w:val="right"/>
              <w:rPr/>
            </w:pPr>
            <w:r>
              <w:rPr/>
              <w:t>6,336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473" w:type="dxa"/>
            <w:tcBorders>
              <w:bottom w:val="double" w:sz="6" w:space="0" w:color="000000"/>
            </w:tcBorders>
            <w:shd w:fill="FFFFFF" w:val="clear"/>
            <w:tcMar>
              <w:bottom w:w="28" w:type="dxa"/>
            </w:tcMar>
            <w:vAlign w:val="center"/>
          </w:tcPr>
          <w:p>
            <w:pPr>
              <w:pStyle w:val="TableContents"/>
              <w:bidi w:val="0"/>
              <w:spacing w:before="0" w:after="283"/>
              <w:jc w:val="right"/>
              <w:rPr/>
            </w:pPr>
            <w:r>
              <w:rPr/>
              <w:t>500,000</w:t>
            </w:r>
          </w:p>
        </w:tc>
        <w:tc>
          <w:tcPr>
            <w:tcW w:w="78" w:type="dxa"/>
            <w:tcBorders/>
            <w:shd w:fill="FFFFFF" w:val="clear"/>
            <w:vAlign w:val="center"/>
          </w:tcPr>
          <w:p>
            <w:pPr>
              <w:pStyle w:val="TableContents"/>
              <w:bidi w:val="0"/>
              <w:spacing w:before="0" w:after="283"/>
              <w:jc w:val="left"/>
              <w:rPr/>
            </w:pPr>
            <w:r>
              <w:rPr/>
              <w:t> </w:t>
            </w:r>
          </w:p>
        </w:tc>
      </w:tr>
      <w:tr>
        <w:trPr/>
        <w:tc>
          <w:tcPr>
            <w:tcW w:w="39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7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473"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821" w:name="xdx_43A_c20240101__20241231_eus-gaap--Sh"/>
            <w:bookmarkEnd w:id="821"/>
          </w:p>
        </w:tc>
      </w:tr>
      <w:tr>
        <w:trPr/>
        <w:tc>
          <w:tcPr>
            <w:tcW w:w="3962" w:type="dxa"/>
            <w:tcBorders/>
            <w:shd w:fill="FFFFFF" w:val="clear"/>
            <w:vAlign w:val="center"/>
          </w:tcPr>
          <w:p>
            <w:pPr>
              <w:pStyle w:val="TableContents"/>
              <w:bidi w:val="0"/>
              <w:spacing w:before="0" w:after="283"/>
              <w:jc w:val="left"/>
              <w:rPr/>
            </w:pPr>
            <w:r>
              <w:rPr/>
              <w:t>Warrants Outstanding, January 1, 2024</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104,695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right"/>
              <w:rPr/>
            </w:pPr>
            <w:r>
              <w:rPr/>
              <w:t>6,336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473"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822" w:name="xdx_439_c20240101__20241231_eus-gaap--Sh"/>
            <w:bookmarkEnd w:id="822"/>
          </w:p>
        </w:tc>
      </w:tr>
      <w:tr>
        <w:trPr/>
        <w:tc>
          <w:tcPr>
            <w:tcW w:w="3962" w:type="dxa"/>
            <w:tcBorders/>
            <w:shd w:fill="FFFFFF" w:val="clear"/>
            <w:vAlign w:val="center"/>
          </w:tcPr>
          <w:p>
            <w:pPr>
              <w:pStyle w:val="TableContents"/>
              <w:bidi w:val="0"/>
              <w:spacing w:before="0" w:after="283"/>
              <w:jc w:val="left"/>
              <w:rPr/>
            </w:pPr>
            <w:r>
              <w:rPr/>
              <w:t>Warrants Outstanding</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104,695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right"/>
              <w:rPr/>
            </w:pPr>
            <w:r>
              <w:rPr/>
              <w:t>6,336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473"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823" w:name="xdx_405_eus-gaap--ShareBasedCompensation"/>
            <w:bookmarkEnd w:id="823"/>
          </w:p>
        </w:tc>
      </w:tr>
      <w:tr>
        <w:trPr/>
        <w:tc>
          <w:tcPr>
            <w:tcW w:w="3962" w:type="dxa"/>
            <w:tcBorders/>
            <w:shd w:fill="CCEEFF" w:val="clear"/>
            <w:vAlign w:val="center"/>
          </w:tcPr>
          <w:p>
            <w:pPr>
              <w:pStyle w:val="TableContents"/>
              <w:bidi w:val="0"/>
              <w:spacing w:before="0" w:after="283"/>
              <w:jc w:val="both"/>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73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473"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bookmarkStart w:id="824" w:name="xdx_40F_eus-gaap--ShareBasedCompensation"/>
            <w:bookmarkEnd w:id="824"/>
          </w:p>
        </w:tc>
      </w:tr>
      <w:tr>
        <w:trPr/>
        <w:tc>
          <w:tcPr>
            <w:tcW w:w="3962" w:type="dxa"/>
            <w:tcBorders/>
            <w:shd w:fill="FFFFFF" w:val="clear"/>
            <w:vAlign w:val="center"/>
          </w:tcPr>
          <w:p>
            <w:pPr>
              <w:pStyle w:val="TableContents"/>
              <w:bidi w:val="0"/>
              <w:spacing w:before="0" w:after="283"/>
              <w:jc w:val="both"/>
              <w:rPr/>
            </w:pPr>
            <w:r>
              <w:rPr/>
              <w:t>Warrants issued</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3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4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825" w:name="xdx_43D_c20240101__20241231_eus-gaap--Sh"/>
            <w:bookmarkEnd w:id="825"/>
          </w:p>
        </w:tc>
      </w:tr>
      <w:tr>
        <w:trPr/>
        <w:tc>
          <w:tcPr>
            <w:tcW w:w="3962" w:type="dxa"/>
            <w:tcBorders/>
            <w:shd w:fill="CCEEFF" w:val="clear"/>
            <w:vAlign w:val="center"/>
          </w:tcPr>
          <w:p>
            <w:pPr>
              <w:pStyle w:val="TableContents"/>
              <w:bidi w:val="0"/>
              <w:spacing w:before="0" w:after="283"/>
              <w:jc w:val="left"/>
              <w:rPr/>
            </w:pPr>
            <w:r>
              <w:rPr/>
              <w:t>Underwriters’ Warrants Outstanding, December 31, 2024</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double" w:sz="6" w:space="0" w:color="000000"/>
            </w:tcBorders>
            <w:shd w:fill="CCEEFF" w:val="clear"/>
            <w:tcMar>
              <w:bottom w:w="28" w:type="dxa"/>
            </w:tcMar>
            <w:vAlign w:val="center"/>
          </w:tcPr>
          <w:p>
            <w:pPr>
              <w:pStyle w:val="TableContents"/>
              <w:bidi w:val="0"/>
              <w:spacing w:before="0" w:after="283"/>
              <w:jc w:val="right"/>
              <w:rPr/>
            </w:pPr>
            <w:r>
              <w:rPr/>
              <w:t>104,695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33" w:type="dxa"/>
            <w:tcBorders>
              <w:bottom w:val="double" w:sz="6" w:space="0" w:color="000000"/>
            </w:tcBorders>
            <w:shd w:fill="CCEEFF" w:val="clear"/>
            <w:tcMar>
              <w:bottom w:w="28" w:type="dxa"/>
            </w:tcMar>
            <w:vAlign w:val="center"/>
          </w:tcPr>
          <w:p>
            <w:pPr>
              <w:pStyle w:val="TableContents"/>
              <w:bidi w:val="0"/>
              <w:spacing w:before="0" w:after="283"/>
              <w:jc w:val="right"/>
              <w:rPr/>
            </w:pPr>
            <w:r>
              <w:rPr/>
              <w:t>6,336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47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bookmarkStart w:id="826" w:name="xdx_43C_c20240101__20241231_eus-gaap--Sh"/>
            <w:bookmarkEnd w:id="826"/>
          </w:p>
        </w:tc>
      </w:tr>
      <w:tr>
        <w:trPr/>
        <w:tc>
          <w:tcPr>
            <w:tcW w:w="3962" w:type="dxa"/>
            <w:tcBorders/>
            <w:shd w:fill="CCEEFF" w:val="clear"/>
            <w:vAlign w:val="center"/>
          </w:tcPr>
          <w:p>
            <w:pPr>
              <w:pStyle w:val="TableContents"/>
              <w:bidi w:val="0"/>
              <w:spacing w:before="0" w:after="283"/>
              <w:jc w:val="left"/>
              <w:rPr/>
            </w:pPr>
            <w:r>
              <w:rPr/>
              <w:t>Warrants Outstanding</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double" w:sz="6" w:space="0" w:color="000000"/>
            </w:tcBorders>
            <w:shd w:fill="CCEEFF" w:val="clear"/>
            <w:tcMar>
              <w:bottom w:w="28" w:type="dxa"/>
            </w:tcMar>
            <w:vAlign w:val="center"/>
          </w:tcPr>
          <w:p>
            <w:pPr>
              <w:pStyle w:val="TableContents"/>
              <w:bidi w:val="0"/>
              <w:spacing w:before="0" w:after="283"/>
              <w:jc w:val="right"/>
              <w:rPr/>
            </w:pPr>
            <w:r>
              <w:rPr/>
              <w:t>104,695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33" w:type="dxa"/>
            <w:tcBorders>
              <w:bottom w:val="double" w:sz="6" w:space="0" w:color="000000"/>
            </w:tcBorders>
            <w:shd w:fill="CCEEFF" w:val="clear"/>
            <w:tcMar>
              <w:bottom w:w="28" w:type="dxa"/>
            </w:tcMar>
            <w:vAlign w:val="center"/>
          </w:tcPr>
          <w:p>
            <w:pPr>
              <w:pStyle w:val="TableContents"/>
              <w:bidi w:val="0"/>
              <w:spacing w:before="0" w:after="283"/>
              <w:jc w:val="right"/>
              <w:rPr/>
            </w:pPr>
            <w:r>
              <w:rPr/>
              <w:t>6,336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47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27" w:name="xdx_8AC_zh9oY1x2iCq6"/>
      <w:bookmarkEnd w:id="82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9 - Warrants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7, 2022, in connection with the merger, the Company assumed the outstanding private placement warrants of CNTQ. There were no Private Placement Warrants outstanding prior to the merger. The Private Placement Warrants (the “Private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year ended December 31, 2023, private placement warrant holders exercised </w:t>
      </w:r>
      <w:bookmarkStart w:id="828" w:name="xdx_904_eus-gaap--ClassOfWarrantOrRightN"/>
      <w:bookmarkEnd w:id="828"/>
      <w:r>
        <w:rPr>
          <w:rFonts w:ascii="Times New Roman;Times;Serif" w:hAnsi="Times New Roman;Times;Serif"/>
          <w:b w:val="false"/>
          <w:i w:val="false"/>
          <w:caps w:val="false"/>
          <w:smallCaps w:val="false"/>
          <w:sz w:val="20"/>
        </w:rPr>
        <w:t xml:space="preserve">34,739 warrants on a cashless basis, with the Company agreeing to issue </w:t>
      </w:r>
      <w:bookmarkStart w:id="829" w:name="xdx_907_eus-gaap--StockIssuedDuringPerio"/>
      <w:bookmarkEnd w:id="829"/>
      <w:r>
        <w:rPr>
          <w:rFonts w:ascii="Times New Roman;Times;Serif" w:hAnsi="Times New Roman;Times;Serif"/>
          <w:b w:val="false"/>
          <w:i w:val="false"/>
          <w:caps w:val="false"/>
          <w:smallCaps w:val="false"/>
          <w:sz w:val="20"/>
        </w:rPr>
        <w:t xml:space="preserve">12,222 shares of Common Stock in connection with such exercise. There were </w:t>
      </w:r>
      <w:bookmarkStart w:id="830" w:name="xdx_900_eus-gaap--ClassOfWarrantOrRightO"/>
      <w:bookmarkStart w:id="831" w:name="xdx_90F_eus-gaap--ClassOfWarrantOrRightO"/>
      <w:bookmarkEnd w:id="830"/>
      <w:bookmarkEnd w:id="831"/>
      <w:r>
        <w:rPr>
          <w:rFonts w:ascii="Times New Roman;Times;Serif" w:hAnsi="Times New Roman;Times;Serif"/>
          <w:b w:val="false"/>
          <w:i w:val="false"/>
          <w:caps w:val="false"/>
          <w:smallCaps w:val="false"/>
          <w:sz w:val="20"/>
        </w:rPr>
        <w:t>16,682 private warrants outstanding as of December 31, 2025 and 2024,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each such re-measurement, the warrant liabilities will be adjusted to its current fair value, with the change in fair value recognized in the Company’s statement of operations. The Company will reassess the classification at each balance sheet date.</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classified as Level 2 within the fair value hierarchy. Although these instruments are not actively traded, they are valued based on observable inputs, including the market price of the Company’s publicly traded warrants. The Company used a Black-Scholes model to estimate the fair value of the Private Placement Warrants, applying a discount to the value of the Public Warrants to account for the difference in remaining life. Because the valuation primarily relies on observable market data with limited adjustments, the Company determined that classification within Level 2 is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Term Loan Agreement on October 7, 2022, and as a required term and condition thereof, </w:t>
      </w:r>
      <w:bookmarkStart w:id="832" w:name="xdx_904_ecustom--ClassOfWarrantOrRightEx"/>
      <w:bookmarkEnd w:id="832"/>
      <w:r>
        <w:rPr>
          <w:rFonts w:ascii="Times New Roman;Times;Serif" w:hAnsi="Times New Roman;Times;Serif"/>
          <w:b w:val="false"/>
          <w:i w:val="false"/>
          <w:caps w:val="false"/>
          <w:smallCaps w:val="false"/>
          <w:sz w:val="20"/>
        </w:rPr>
        <w:t xml:space="preserve">the Company issued (i) the penny warrants to the Term Loan Lenders exercisable to purchase an aggregate of </w:t>
      </w:r>
      <w:bookmarkStart w:id="833" w:name="xdx_907_eus-gaap--ClassOfWarrantOrRightN"/>
      <w:bookmarkEnd w:id="833"/>
      <w:r>
        <w:rPr>
          <w:rFonts w:ascii="Times New Roman;Times;Serif" w:hAnsi="Times New Roman;Times;Serif"/>
          <w:b w:val="false"/>
          <w:i w:val="false"/>
          <w:caps w:val="false"/>
          <w:smallCaps w:val="false"/>
          <w:sz w:val="20"/>
        </w:rPr>
        <w:t>28,812 shares of Common Stock (the “Original Penny Warrants”) and (ii) the $</w:t>
      </w:r>
      <w:bookmarkStart w:id="834" w:name="xdx_903_eus-gaap--ClassOfWarrantOrRightE"/>
      <w:bookmarkEnd w:id="834"/>
      <w:r>
        <w:rPr>
          <w:rFonts w:ascii="Times New Roman;Times;Serif" w:hAnsi="Times New Roman;Times;Serif"/>
          <w:b w:val="false"/>
          <w:i w:val="false"/>
          <w:caps w:val="false"/>
          <w:smallCaps w:val="false"/>
          <w:sz w:val="20"/>
        </w:rPr>
        <w:t xml:space="preserve">900.00 warrants to issue warrants to the Term Loan Lenders exercisable to purchase an aggregate of </w:t>
      </w:r>
      <w:bookmarkStart w:id="835" w:name="xdx_90E_eus-gaap--ClassOfWarrantOrRightN"/>
      <w:bookmarkEnd w:id="835"/>
      <w:r>
        <w:rPr>
          <w:rFonts w:ascii="Times New Roman;Times;Serif" w:hAnsi="Times New Roman;Times;Serif"/>
          <w:b w:val="false"/>
          <w:i w:val="false"/>
          <w:caps w:val="false"/>
          <w:smallCaps w:val="false"/>
          <w:sz w:val="20"/>
        </w:rPr>
        <w:t>17,778 shares of Common Stock at $</w:t>
      </w:r>
      <w:bookmarkStart w:id="836" w:name="xdx_908_eus-gaap--SharePrice_iI_pid_c202"/>
      <w:bookmarkEnd w:id="836"/>
      <w:r>
        <w:rPr>
          <w:rFonts w:ascii="Times New Roman;Times;Serif" w:hAnsi="Times New Roman;Times;Serif"/>
          <w:b w:val="false"/>
          <w:i w:val="false"/>
          <w:caps w:val="false"/>
          <w:smallCaps w:val="false"/>
          <w:sz w:val="20"/>
        </w:rPr>
        <w:t>900 per share (the “$10 Warrants” and, together with the Original Penny Warrants, the “Term Loan Warrants”). The $</w:t>
      </w:r>
      <w:bookmarkStart w:id="837" w:name="xdx_90A_eus-gaap--SharePrice_iI_pid_c202"/>
      <w:bookmarkEnd w:id="837"/>
      <w:r>
        <w:rPr>
          <w:rFonts w:ascii="Times New Roman;Times;Serif" w:hAnsi="Times New Roman;Times;Serif"/>
          <w:b w:val="false"/>
          <w:i w:val="false"/>
          <w:caps w:val="false"/>
          <w:smallCaps w:val="false"/>
          <w:sz w:val="20"/>
        </w:rPr>
        <w:t xml:space="preserve">10 Warrants were exercised on a cashless basis on October 10, 2022, with the Company issuing 5,079 shares of Common Stock in connection with such exercise. During the year ended December 31, 2023, Original Penny Warrant holders exercised </w:t>
      </w:r>
      <w:bookmarkStart w:id="838" w:name="xdx_902_eus-gaap--ClassOfWarrantOrRightN"/>
      <w:bookmarkEnd w:id="838"/>
      <w:r>
        <w:rPr>
          <w:rFonts w:ascii="Times New Roman;Times;Serif" w:hAnsi="Times New Roman;Times;Serif"/>
          <w:b w:val="false"/>
          <w:i w:val="false"/>
          <w:caps w:val="false"/>
          <w:smallCaps w:val="false"/>
          <w:sz w:val="20"/>
        </w:rPr>
        <w:t xml:space="preserve">22,222 warrants on a cashless basis, with the Company agreeing to issue </w:t>
      </w:r>
      <w:bookmarkStart w:id="839" w:name="xdx_903_eus-gaap--ClassOfWarrantOrRightN"/>
      <w:bookmarkEnd w:id="839"/>
      <w:r>
        <w:rPr>
          <w:rFonts w:ascii="Times New Roman;Times;Serif" w:hAnsi="Times New Roman;Times;Serif"/>
          <w:b w:val="false"/>
          <w:i w:val="false"/>
          <w:caps w:val="false"/>
          <w:smallCaps w:val="false"/>
          <w:sz w:val="20"/>
        </w:rPr>
        <w:t xml:space="preserve">22,181 shares of Common Stock in connection with such exercise. During the year ended December 31, 2023 the Company issued additional Original Penny Warrants to purchase </w:t>
      </w:r>
      <w:bookmarkStart w:id="840" w:name="xdx_90B_eus-gaap--ClassOfWarrantOrRightN"/>
      <w:bookmarkEnd w:id="840"/>
      <w:r>
        <w:rPr>
          <w:rFonts w:ascii="Times New Roman;Times;Serif" w:hAnsi="Times New Roman;Times;Serif"/>
          <w:b w:val="false"/>
          <w:i w:val="false"/>
          <w:caps w:val="false"/>
          <w:smallCaps w:val="false"/>
          <w:sz w:val="20"/>
        </w:rPr>
        <w:t xml:space="preserve">53 shares of Common Stock to the Term Loan Lenders in accordance with the anti-dilution provisions of the original penny warrants with respect to certain sales made by the Company under the ChEF Equity Facility. In addition, pursuant to the Company’s limited waiver agreement on December 29, 2023 between the Company and the lenders and lending agent, the Company agreed to issue to the lenders additional penny warrants exercisable to purchase an aggregate </w:t>
      </w:r>
      <w:bookmarkStart w:id="841" w:name="xdx_904_eus-gaap--ClassOfWarrantOrRightN"/>
      <w:bookmarkEnd w:id="841"/>
      <w:r>
        <w:rPr>
          <w:rFonts w:ascii="Times New Roman;Times;Serif" w:hAnsi="Times New Roman;Times;Serif"/>
          <w:b w:val="false"/>
          <w:i w:val="false"/>
          <w:caps w:val="false"/>
          <w:smallCaps w:val="false"/>
          <w:sz w:val="20"/>
        </w:rPr>
        <w:t>14,296 shares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13, 2024, the Company received the May 2024 Waiver in regards to its compliance with the Tests as of the last day of the quarter ended March 31, 2024. The May 2024 Waiver provided for a one-time issuance of the May 2024 Penny Warrants to purchase up to </w:t>
      </w:r>
      <w:bookmarkStart w:id="842" w:name="xdx_903_eus-gaap--ClassOfWarrantOrRightN"/>
      <w:bookmarkEnd w:id="842"/>
      <w:r>
        <w:rPr>
          <w:rFonts w:ascii="Times New Roman;Times;Serif" w:hAnsi="Times New Roman;Times;Serif"/>
          <w:b w:val="false"/>
          <w:i w:val="false"/>
          <w:caps w:val="false"/>
          <w:smallCaps w:val="false"/>
          <w:sz w:val="20"/>
        </w:rPr>
        <w:t>28,333 shares of the Company’s common stock, at an exercise price of $</w:t>
      </w:r>
      <w:bookmarkStart w:id="843" w:name="xdx_903_eus-gaap--ClassOfWarrantOrRightE"/>
      <w:bookmarkEnd w:id="843"/>
      <w:r>
        <w:rPr>
          <w:rFonts w:ascii="Times New Roman;Times;Serif" w:hAnsi="Times New Roman;Times;Serif"/>
          <w:b w:val="false"/>
          <w:i w:val="false"/>
          <w:caps w:val="false"/>
          <w:smallCaps w:val="false"/>
          <w:sz w:val="20"/>
        </w:rPr>
        <w:t xml:space="preserve">0.01 per share, in connection with the Term Loan Lenders’ agreement to waive the Tests under the Term Loan for the quarter ended March 31, 2024. The May 2024 Penny Warrants were immediately exercisable upon issuance and will expire </w:t>
      </w:r>
      <w:bookmarkStart w:id="844" w:name="xdx_90A_eus-gaap--WarrantsAndRightsOutst"/>
      <w:bookmarkEnd w:id="844"/>
      <w:r>
        <w:rPr>
          <w:rFonts w:ascii="Times New Roman;Times;Serif" w:hAnsi="Times New Roman;Times;Serif"/>
          <w:b w:val="false"/>
          <w:i w:val="false"/>
          <w:caps w:val="false"/>
          <w:smallCaps w:val="false"/>
          <w:sz w:val="20"/>
        </w:rPr>
        <w:t>ten years from the date of issuance.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9 - Warrants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28, 2024, the Company entered into the First Amendment to the Term Loan with the Term Loan Lenders in regards to its compliance with the Tests for the quarter ended June 30, 2024. The First Amendment provided for a one-time issuance of the June 2024 Penny Warrants to purchase up to </w:t>
      </w:r>
      <w:bookmarkStart w:id="845" w:name="xdx_90F_eus-gaap--ClassOfWarrantOrRightN"/>
      <w:bookmarkEnd w:id="845"/>
      <w:r>
        <w:rPr>
          <w:rFonts w:ascii="Times New Roman;Times;Serif" w:hAnsi="Times New Roman;Times;Serif"/>
          <w:b w:val="false"/>
          <w:i w:val="false"/>
          <w:caps w:val="false"/>
          <w:smallCaps w:val="false"/>
          <w:sz w:val="20"/>
        </w:rPr>
        <w:t>23,333 shares of the Company’s common stock, at an exercise price of $</w:t>
      </w:r>
      <w:bookmarkStart w:id="846" w:name="xdx_90C_eus-gaap--ClassOfWarrantOrRightE"/>
      <w:bookmarkEnd w:id="846"/>
      <w:r>
        <w:rPr>
          <w:rFonts w:ascii="Times New Roman;Times;Serif" w:hAnsi="Times New Roman;Times;Serif"/>
          <w:b w:val="false"/>
          <w:i w:val="false"/>
          <w:caps w:val="false"/>
          <w:smallCaps w:val="false"/>
          <w:sz w:val="20"/>
        </w:rPr>
        <w:t xml:space="preserve">0.01 per share, in connection with the Term Loan Lenders’ agreement to waive the Tests under the Term Loan for the quarter ended June 30, 2024 and certain amendments to the Term Loan. The June 2024 Penny Warrants are immediately exercisable upon issuance and will expire </w:t>
      </w:r>
      <w:bookmarkStart w:id="847" w:name="xdx_900_eus-gaap--WarrantsAndRightsOutst"/>
      <w:bookmarkEnd w:id="847"/>
      <w:r>
        <w:rPr>
          <w:rFonts w:ascii="Times New Roman;Times;Serif" w:hAnsi="Times New Roman;Times;Serif"/>
          <w:b w:val="false"/>
          <w:i w:val="false"/>
          <w:caps w:val="false"/>
          <w:smallCaps w:val="false"/>
          <w:sz w:val="20"/>
        </w:rPr>
        <w:t>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30, 2024, the Company entered into the Third Amendment to the Term Loan with the Term Loan Lenders in regards to its compliance with the Tests for the quarter ended September 30, 2024. The Third Amendment provided for a one-time issuance the September 2024 Penny Warrants to purchase up to </w:t>
      </w:r>
      <w:bookmarkStart w:id="848" w:name="xdx_90C_eus-gaap--ClassOfWarrantOrRightN"/>
      <w:bookmarkEnd w:id="848"/>
      <w:r>
        <w:rPr>
          <w:rFonts w:ascii="Times New Roman;Times;Serif" w:hAnsi="Times New Roman;Times;Serif"/>
          <w:b w:val="false"/>
          <w:i w:val="false"/>
          <w:caps w:val="false"/>
          <w:smallCaps w:val="false"/>
          <w:sz w:val="20"/>
        </w:rPr>
        <w:t>33,333 shares of the Company’s Common Stock, at an exercise price of $</w:t>
      </w:r>
      <w:bookmarkStart w:id="849" w:name="xdx_90E_eus-gaap--ClassOfWarrantOrRightE"/>
      <w:bookmarkEnd w:id="849"/>
      <w:r>
        <w:rPr>
          <w:rFonts w:ascii="Times New Roman;Times;Serif" w:hAnsi="Times New Roman;Times;Serif"/>
          <w:b w:val="false"/>
          <w:i w:val="false"/>
          <w:caps w:val="false"/>
          <w:smallCaps w:val="false"/>
          <w:sz w:val="20"/>
        </w:rPr>
        <w:t xml:space="preserve">0.01 per share, in connection with the Term Loan Lenders agreement to waive the Tests under the Term Loan for the quarter ended September 30, 2024 and to amend the Term Loan. The September 2024 Penny Warrants are immediately exercisable upon issuance and will expire </w:t>
      </w:r>
      <w:bookmarkStart w:id="850" w:name="xdx_905_eus-gaap--WarrantsAndRightsOutst"/>
      <w:bookmarkEnd w:id="850"/>
      <w:r>
        <w:rPr>
          <w:rFonts w:ascii="Times New Roman;Times;Serif" w:hAnsi="Times New Roman;Times;Serif"/>
          <w:b w:val="false"/>
          <w:i w:val="false"/>
          <w:caps w:val="false"/>
          <w:smallCaps w:val="false"/>
          <w:sz w:val="20"/>
        </w:rPr>
        <w:t>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31, 2024, the Company entered into the Fourth Amendment to the Term Loan with the Term Loan Lenders in regards to its compliance with the Tests for the quarter ended December 31, 2024. The Fourth Amendment provided for a one-time issuance the December 2024 Penny Warrants to purchase up to </w:t>
      </w:r>
      <w:bookmarkStart w:id="851" w:name="xdx_90D_eus-gaap--ClassOfWarrantOrRightN"/>
      <w:bookmarkEnd w:id="851"/>
      <w:r>
        <w:rPr>
          <w:rFonts w:ascii="Times New Roman;Times;Serif" w:hAnsi="Times New Roman;Times;Serif"/>
          <w:b w:val="false"/>
          <w:i w:val="false"/>
          <w:caps w:val="false"/>
          <w:smallCaps w:val="false"/>
          <w:sz w:val="20"/>
        </w:rPr>
        <w:t>35,000 shares of the Company’s Common Stock, at an exercise price of $</w:t>
      </w:r>
      <w:bookmarkStart w:id="852" w:name="xdx_904_eus-gaap--ClassOfWarrantOrRightE"/>
      <w:bookmarkEnd w:id="852"/>
      <w:r>
        <w:rPr>
          <w:rFonts w:ascii="Times New Roman;Times;Serif" w:hAnsi="Times New Roman;Times;Serif"/>
          <w:b w:val="false"/>
          <w:i w:val="false"/>
          <w:caps w:val="false"/>
          <w:smallCaps w:val="false"/>
          <w:sz w:val="20"/>
        </w:rPr>
        <w:t xml:space="preserve">0.01 per share, in connection with the Term Loan Lenders agreement to waive the Tests under the Term Loan for the quarter ended December 31, 2024 and to amend the Term Loan. During the year ended December 31, 2024 the Company issued additional Original Penny Warrants to purchase </w:t>
      </w:r>
      <w:bookmarkStart w:id="853" w:name="xdx_904_eus-gaap--ClassOfWarrantOrRightN"/>
      <w:bookmarkEnd w:id="853"/>
      <w:r>
        <w:rPr>
          <w:rFonts w:ascii="Times New Roman;Times;Serif" w:hAnsi="Times New Roman;Times;Serif"/>
          <w:b w:val="false"/>
          <w:i w:val="false"/>
          <w:caps w:val="false"/>
          <w:smallCaps w:val="false"/>
          <w:sz w:val="20"/>
        </w:rPr>
        <w:t>275 shares of Common Stock to the Term Loan Lenders in accordance with the anti-dilution provisions of the original penny warrants with respect to certain sales made by the Company under the ChEF Equity Facility. The December 2024 Penny Warrants are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26, 2025, the Company entered into the Fifth Amendment to the Term Loan with the Term Loan Lenders in connection with the February 2025 securities purchase agreement (see </w:t>
      </w:r>
      <w:r>
        <w:rPr>
          <w:rFonts w:ascii="Times New Roman;Times;Serif" w:hAnsi="Times New Roman;Times;Serif"/>
          <w:b/>
          <w:i w:val="false"/>
          <w:caps w:val="false"/>
          <w:smallCaps w:val="false"/>
          <w:sz w:val="20"/>
        </w:rPr>
        <w:t>Note 10</w:t>
      </w:r>
      <w:r>
        <w:rPr>
          <w:rFonts w:ascii="Times New Roman;Times;Serif" w:hAnsi="Times New Roman;Times;Serif"/>
          <w:b w:val="false"/>
          <w:i w:val="false"/>
          <w:caps w:val="false"/>
          <w:smallCaps w:val="false"/>
          <w:sz w:val="20"/>
        </w:rPr>
        <w:t xml:space="preserve">). The Fifth Amendment provided for a one-time issuance the February 2025 Penny Warrants to purchase up to </w:t>
      </w:r>
      <w:bookmarkStart w:id="854" w:name="xdx_905_eus-gaap--ClassOfWarrantOrRightN"/>
      <w:bookmarkEnd w:id="854"/>
      <w:r>
        <w:rPr>
          <w:rFonts w:ascii="Times New Roman;Times;Serif" w:hAnsi="Times New Roman;Times;Serif"/>
          <w:b w:val="false"/>
          <w:i w:val="false"/>
          <w:caps w:val="false"/>
          <w:smallCaps w:val="false"/>
          <w:sz w:val="20"/>
        </w:rPr>
        <w:t>33,000 shares of the Company’s Common Stock, at an exercise price of $</w:t>
      </w:r>
      <w:bookmarkStart w:id="855" w:name="xdx_902_eus-gaap--ClassOfWarrantOrRightE"/>
      <w:bookmarkEnd w:id="855"/>
      <w:r>
        <w:rPr>
          <w:rFonts w:ascii="Times New Roman;Times;Serif" w:hAnsi="Times New Roman;Times;Serif"/>
          <w:b w:val="false"/>
          <w:i w:val="false"/>
          <w:caps w:val="false"/>
          <w:smallCaps w:val="false"/>
          <w:sz w:val="20"/>
        </w:rPr>
        <w:t xml:space="preserve">0.01 per share. The February 2025 Penny Warrants are immediately exercisable upon issuance and will expire </w:t>
      </w:r>
      <w:bookmarkStart w:id="856" w:name="xdx_903_eus-gaap--WarrantsAndRightsOutst"/>
      <w:bookmarkEnd w:id="856"/>
      <w:r>
        <w:rPr>
          <w:rFonts w:ascii="Times New Roman;Times;Serif" w:hAnsi="Times New Roman;Times;Serif"/>
          <w:b w:val="false"/>
          <w:i w:val="false"/>
          <w:caps w:val="false"/>
          <w:smallCaps w:val="false"/>
          <w:sz w:val="20"/>
        </w:rPr>
        <w:t>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57" w:name="xdx_895_ecustom--ScheduleOfShareBasedPay"/>
      <w:bookmarkEnd w:id="857"/>
      <w:r>
        <w:rPr>
          <w:rFonts w:ascii="Times New Roman;Times;Serif" w:hAnsi="Times New Roman;Times;Serif"/>
          <w:b w:val="false"/>
          <w:i w:val="false"/>
          <w:caps w:val="false"/>
          <w:smallCaps w:val="false"/>
          <w:sz w:val="20"/>
        </w:rPr>
        <w:t>The May 2024 Penny Warrants, the June 2024 Penny Warrants, the September 2024 Penny Warrants, the December 2024 Penny Warrants, and the February 2025 Penny Warrants were valued utilizing a Black-Scholes model to estimate fair value at the grant date, with the following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858" w:name="xdx_8BE_z7KgFJU6EfY8"/>
      <w:bookmarkEnd w:id="858"/>
      <w:r>
        <w:rPr>
          <w:rFonts w:ascii="Times New Roman;Times;Serif" w:hAnsi="Times New Roman;Times;Serif"/>
          <w:b w:val="false"/>
          <w:i w:val="false"/>
          <w:caps w:val="false"/>
          <w:smallCaps w:val="false"/>
          <w:sz w:val="20"/>
        </w:rPr>
        <w:t>SCHEDULE OF PENNY WARRANTS</w:t>
      </w:r>
    </w:p>
    <w:tbl>
      <w:tblPr>
        <w:tblW w:w="10205" w:type="dxa"/>
        <w:jc w:val="left"/>
        <w:tblInd w:w="0" w:type="dxa"/>
        <w:tblLayout w:type="fixed"/>
        <w:tblCellMar>
          <w:top w:w="0" w:type="dxa"/>
          <w:left w:w="0" w:type="dxa"/>
          <w:bottom w:w="0" w:type="dxa"/>
          <w:right w:w="0" w:type="dxa"/>
        </w:tblCellMar>
      </w:tblPr>
      <w:tblGrid>
        <w:gridCol w:w="1307"/>
        <w:gridCol w:w="60"/>
        <w:gridCol w:w="246"/>
        <w:gridCol w:w="1224"/>
        <w:gridCol w:w="215"/>
        <w:gridCol w:w="60"/>
        <w:gridCol w:w="246"/>
        <w:gridCol w:w="1224"/>
        <w:gridCol w:w="215"/>
        <w:gridCol w:w="60"/>
        <w:gridCol w:w="312"/>
        <w:gridCol w:w="1249"/>
        <w:gridCol w:w="215"/>
        <w:gridCol w:w="60"/>
        <w:gridCol w:w="306"/>
        <w:gridCol w:w="1225"/>
        <w:gridCol w:w="215"/>
        <w:gridCol w:w="60"/>
        <w:gridCol w:w="294"/>
        <w:gridCol w:w="1177"/>
        <w:gridCol w:w="235"/>
      </w:tblGrid>
      <w:tr>
        <w:trPr/>
        <w:tc>
          <w:tcPr>
            <w:tcW w:w="13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center"/>
          </w:tcPr>
          <w:p>
            <w:pPr>
              <w:pStyle w:val="TableContents"/>
              <w:bidi w:val="0"/>
              <w:jc w:val="center"/>
              <w:rPr/>
            </w:pPr>
            <w:r>
              <w:rPr/>
              <w:t>May 2024</w:t>
            </w:r>
          </w:p>
          <w:p>
            <w:pPr>
              <w:pStyle w:val="TableContents"/>
              <w:bidi w:val="0"/>
              <w:spacing w:before="0" w:after="283"/>
              <w:jc w:val="center"/>
              <w:rPr/>
            </w:pPr>
            <w:r>
              <w:rPr/>
              <w:t>penny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center"/>
          </w:tcPr>
          <w:p>
            <w:pPr>
              <w:pStyle w:val="TableContents"/>
              <w:bidi w:val="0"/>
              <w:jc w:val="center"/>
              <w:rPr/>
            </w:pPr>
            <w:r>
              <w:rPr/>
              <w:t>June 2024</w:t>
            </w:r>
          </w:p>
          <w:p>
            <w:pPr>
              <w:pStyle w:val="TableContents"/>
              <w:bidi w:val="0"/>
              <w:spacing w:before="0" w:after="283"/>
              <w:jc w:val="center"/>
              <w:rPr/>
            </w:pPr>
            <w:r>
              <w:rPr/>
              <w:t>penny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1" w:type="dxa"/>
            <w:gridSpan w:val="2"/>
            <w:tcBorders>
              <w:bottom w:val="single" w:sz="8" w:space="0" w:color="000000"/>
            </w:tcBorders>
            <w:tcMar>
              <w:bottom w:w="28" w:type="dxa"/>
            </w:tcMar>
            <w:vAlign w:val="center"/>
          </w:tcPr>
          <w:p>
            <w:pPr>
              <w:pStyle w:val="TableContents"/>
              <w:bidi w:val="0"/>
              <w:jc w:val="center"/>
              <w:rPr/>
            </w:pPr>
            <w:r>
              <w:rPr/>
              <w:t>September 2024</w:t>
            </w:r>
          </w:p>
          <w:p>
            <w:pPr>
              <w:pStyle w:val="TableContents"/>
              <w:bidi w:val="0"/>
              <w:spacing w:before="0" w:after="283"/>
              <w:jc w:val="center"/>
              <w:rPr/>
            </w:pPr>
            <w:r>
              <w:rPr/>
              <w:t>penny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1" w:type="dxa"/>
            <w:gridSpan w:val="2"/>
            <w:tcBorders>
              <w:bottom w:val="single" w:sz="8" w:space="0" w:color="000000"/>
            </w:tcBorders>
            <w:tcMar>
              <w:bottom w:w="28" w:type="dxa"/>
            </w:tcMar>
            <w:vAlign w:val="center"/>
          </w:tcPr>
          <w:p>
            <w:pPr>
              <w:pStyle w:val="TableContents"/>
              <w:bidi w:val="0"/>
              <w:jc w:val="center"/>
              <w:rPr/>
            </w:pPr>
            <w:r>
              <w:rPr/>
              <w:t>December 2024</w:t>
            </w:r>
          </w:p>
          <w:p>
            <w:pPr>
              <w:pStyle w:val="TableContents"/>
              <w:bidi w:val="0"/>
              <w:spacing w:before="0" w:after="283"/>
              <w:jc w:val="center"/>
              <w:rPr/>
            </w:pPr>
            <w:r>
              <w:rPr/>
              <w:t>penny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1" w:type="dxa"/>
            <w:gridSpan w:val="2"/>
            <w:tcBorders>
              <w:bottom w:val="single" w:sz="8" w:space="0" w:color="000000"/>
            </w:tcBorders>
            <w:tcMar>
              <w:bottom w:w="28" w:type="dxa"/>
            </w:tcMar>
            <w:vAlign w:val="center"/>
          </w:tcPr>
          <w:p>
            <w:pPr>
              <w:pStyle w:val="TableContents"/>
              <w:bidi w:val="0"/>
              <w:jc w:val="center"/>
              <w:rPr/>
            </w:pPr>
            <w:r>
              <w:rPr/>
              <w:t>February 2025</w:t>
            </w:r>
          </w:p>
          <w:p>
            <w:pPr>
              <w:pStyle w:val="TableContents"/>
              <w:bidi w:val="0"/>
              <w:spacing w:before="0" w:after="283"/>
              <w:jc w:val="center"/>
              <w:rPr/>
            </w:pPr>
            <w:r>
              <w:rPr/>
              <w:t>penny warrants</w:t>
            </w:r>
          </w:p>
        </w:tc>
        <w:tc>
          <w:tcPr>
            <w:tcW w:w="235" w:type="dxa"/>
            <w:tcBorders/>
            <w:vAlign w:val="center"/>
          </w:tcPr>
          <w:p>
            <w:pPr>
              <w:pStyle w:val="TableContents"/>
              <w:bidi w:val="0"/>
              <w:spacing w:before="0" w:after="283"/>
              <w:jc w:val="left"/>
              <w:rPr/>
            </w:pPr>
            <w:r>
              <w:rPr/>
              <w:t> </w:t>
            </w:r>
          </w:p>
        </w:tc>
      </w:tr>
      <w:tr>
        <w:trPr/>
        <w:tc>
          <w:tcPr>
            <w:tcW w:w="1307"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bookmarkStart w:id="859" w:name="xdx_989_eus-gaap--SharePrice_iI_pid_c202"/>
            <w:bookmarkEnd w:id="859"/>
          </w:p>
        </w:tc>
        <w:tc>
          <w:tcPr>
            <w:tcW w:w="1224" w:type="dxa"/>
            <w:tcBorders/>
            <w:shd w:fill="CCEEFF" w:val="clear"/>
            <w:vAlign w:val="center"/>
          </w:tcPr>
          <w:p>
            <w:pPr>
              <w:pStyle w:val="TableContents"/>
              <w:bidi w:val="0"/>
              <w:spacing w:before="0" w:after="283"/>
              <w:jc w:val="right"/>
              <w:rPr/>
            </w:pPr>
            <w:r>
              <w:rPr/>
              <w:t>107.10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bookmarkStart w:id="860" w:name="xdx_98C_eus-gaap--SharePrice_iI_pid_c202"/>
            <w:bookmarkEnd w:id="860"/>
          </w:p>
        </w:tc>
        <w:tc>
          <w:tcPr>
            <w:tcW w:w="1224" w:type="dxa"/>
            <w:tcBorders/>
            <w:shd w:fill="CCEEFF" w:val="clear"/>
            <w:vAlign w:val="center"/>
          </w:tcPr>
          <w:p>
            <w:pPr>
              <w:pStyle w:val="TableContents"/>
              <w:bidi w:val="0"/>
              <w:spacing w:before="0" w:after="283"/>
              <w:jc w:val="right"/>
              <w:rPr/>
            </w:pPr>
            <w:r>
              <w:rPr/>
              <w:t>76.50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w:t>
            </w:r>
            <w:bookmarkStart w:id="861" w:name="xdx_987_eus-gaap--SharePrice_iI_pid_c202"/>
            <w:bookmarkEnd w:id="861"/>
          </w:p>
        </w:tc>
        <w:tc>
          <w:tcPr>
            <w:tcW w:w="1249" w:type="dxa"/>
            <w:tcBorders/>
            <w:shd w:fill="CCEEFF" w:val="clear"/>
            <w:vAlign w:val="center"/>
          </w:tcPr>
          <w:p>
            <w:pPr>
              <w:pStyle w:val="TableContents"/>
              <w:bidi w:val="0"/>
              <w:spacing w:before="0" w:after="283"/>
              <w:jc w:val="right"/>
              <w:rPr/>
            </w:pPr>
            <w:r>
              <w:rPr/>
              <w:t>47.70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bookmarkStart w:id="862" w:name="xdx_98E_eus-gaap--SharePrice_iI_pid_c202"/>
            <w:bookmarkEnd w:id="862"/>
          </w:p>
        </w:tc>
        <w:tc>
          <w:tcPr>
            <w:tcW w:w="1225" w:type="dxa"/>
            <w:tcBorders/>
            <w:shd w:fill="CCEEFF" w:val="clear"/>
            <w:vAlign w:val="center"/>
          </w:tcPr>
          <w:p>
            <w:pPr>
              <w:pStyle w:val="TableContents"/>
              <w:bidi w:val="0"/>
              <w:spacing w:before="0" w:after="283"/>
              <w:jc w:val="right"/>
              <w:rPr/>
            </w:pPr>
            <w:r>
              <w:rPr/>
              <w:t>27.80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bookmarkStart w:id="863" w:name="xdx_987_eus-gaap--SharePrice_iI_pid_c202"/>
            <w:bookmarkEnd w:id="863"/>
          </w:p>
        </w:tc>
        <w:tc>
          <w:tcPr>
            <w:tcW w:w="1177" w:type="dxa"/>
            <w:tcBorders/>
            <w:shd w:fill="CCEEFF" w:val="clear"/>
            <w:vAlign w:val="center"/>
          </w:tcPr>
          <w:p>
            <w:pPr>
              <w:pStyle w:val="TableContents"/>
              <w:bidi w:val="0"/>
              <w:spacing w:before="0" w:after="283"/>
              <w:jc w:val="right"/>
              <w:rPr/>
            </w:pPr>
            <w:r>
              <w:rPr/>
              <w:t>21.20</w:t>
            </w:r>
          </w:p>
        </w:tc>
        <w:tc>
          <w:tcPr>
            <w:tcW w:w="235" w:type="dxa"/>
            <w:tcBorders/>
            <w:shd w:fill="CCEEFF" w:val="clear"/>
            <w:vAlign w:val="center"/>
          </w:tcPr>
          <w:p>
            <w:pPr>
              <w:pStyle w:val="TableContents"/>
              <w:bidi w:val="0"/>
              <w:spacing w:before="0" w:after="283"/>
              <w:jc w:val="left"/>
              <w:rPr/>
            </w:pPr>
            <w:r>
              <w:rPr/>
              <w:t> </w:t>
            </w:r>
          </w:p>
        </w:tc>
      </w:tr>
      <w:tr>
        <w:trPr/>
        <w:tc>
          <w:tcPr>
            <w:tcW w:w="1307" w:type="dxa"/>
            <w:tcBorders/>
            <w:shd w:fill="FFFFFF" w:val="clear"/>
            <w:vAlign w:val="center"/>
          </w:tcPr>
          <w:p>
            <w:pPr>
              <w:pStyle w:val="TableContents"/>
              <w:bidi w:val="0"/>
              <w:spacing w:before="0" w:after="283"/>
              <w:jc w:val="left"/>
              <w:rPr/>
            </w:pPr>
            <w:r>
              <w:rPr/>
              <w:t>Strike price</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w:t>
            </w:r>
            <w:bookmarkStart w:id="864" w:name="xdx_981_eus-gaap--ShareBasedCompensation"/>
            <w:bookmarkEnd w:id="864"/>
          </w:p>
        </w:tc>
        <w:tc>
          <w:tcPr>
            <w:tcW w:w="1224" w:type="dxa"/>
            <w:tcBorders/>
            <w:shd w:fill="FFFFFF" w:val="clear"/>
            <w:vAlign w:val="center"/>
          </w:tcPr>
          <w:p>
            <w:pPr>
              <w:pStyle w:val="TableContents"/>
              <w:bidi w:val="0"/>
              <w:spacing w:before="0" w:after="283"/>
              <w:jc w:val="right"/>
              <w:rPr/>
            </w:pPr>
            <w:r>
              <w:rPr/>
              <w:t>0.01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w:t>
            </w:r>
            <w:bookmarkStart w:id="865" w:name="xdx_982_eus-gaap--ShareBasedCompensation"/>
            <w:bookmarkEnd w:id="865"/>
          </w:p>
        </w:tc>
        <w:tc>
          <w:tcPr>
            <w:tcW w:w="1224" w:type="dxa"/>
            <w:tcBorders/>
            <w:shd w:fill="FFFFFF" w:val="clear"/>
            <w:vAlign w:val="center"/>
          </w:tcPr>
          <w:p>
            <w:pPr>
              <w:pStyle w:val="TableContents"/>
              <w:bidi w:val="0"/>
              <w:spacing w:before="0" w:after="283"/>
              <w:jc w:val="right"/>
              <w:rPr/>
            </w:pPr>
            <w:r>
              <w:rPr/>
              <w:t>0.01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w:t>
            </w:r>
            <w:bookmarkStart w:id="866" w:name="xdx_986_eus-gaap--ShareBasedCompensation"/>
            <w:bookmarkEnd w:id="866"/>
          </w:p>
        </w:tc>
        <w:tc>
          <w:tcPr>
            <w:tcW w:w="1249" w:type="dxa"/>
            <w:tcBorders/>
            <w:shd w:fill="FFFFFF" w:val="clear"/>
            <w:vAlign w:val="center"/>
          </w:tcPr>
          <w:p>
            <w:pPr>
              <w:pStyle w:val="TableContents"/>
              <w:bidi w:val="0"/>
              <w:spacing w:before="0" w:after="283"/>
              <w:jc w:val="right"/>
              <w:rPr/>
            </w:pPr>
            <w:r>
              <w:rPr/>
              <w:t>0.01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w:t>
            </w:r>
            <w:bookmarkStart w:id="867" w:name="xdx_98E_eus-gaap--ShareBasedCompensation"/>
            <w:bookmarkEnd w:id="867"/>
          </w:p>
        </w:tc>
        <w:tc>
          <w:tcPr>
            <w:tcW w:w="1225" w:type="dxa"/>
            <w:tcBorders/>
            <w:shd w:fill="FFFFFF" w:val="clear"/>
            <w:vAlign w:val="center"/>
          </w:tcPr>
          <w:p>
            <w:pPr>
              <w:pStyle w:val="TableContents"/>
              <w:bidi w:val="0"/>
              <w:spacing w:before="0" w:after="283"/>
              <w:jc w:val="right"/>
              <w:rPr/>
            </w:pPr>
            <w:r>
              <w:rPr/>
              <w:t>0.01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w:t>
            </w:r>
            <w:bookmarkStart w:id="868" w:name="xdx_980_eus-gaap--ShareBasedCompensation"/>
            <w:bookmarkEnd w:id="868"/>
          </w:p>
        </w:tc>
        <w:tc>
          <w:tcPr>
            <w:tcW w:w="1177" w:type="dxa"/>
            <w:tcBorders/>
            <w:shd w:fill="FFFFFF" w:val="clear"/>
            <w:vAlign w:val="center"/>
          </w:tcPr>
          <w:p>
            <w:pPr>
              <w:pStyle w:val="TableContents"/>
              <w:bidi w:val="0"/>
              <w:spacing w:before="0" w:after="283"/>
              <w:jc w:val="right"/>
              <w:rPr/>
            </w:pPr>
            <w:r>
              <w:rPr/>
              <w:t>0.01</w:t>
            </w:r>
          </w:p>
        </w:tc>
        <w:tc>
          <w:tcPr>
            <w:tcW w:w="235" w:type="dxa"/>
            <w:tcBorders/>
            <w:shd w:fill="FFFFFF" w:val="clear"/>
            <w:vAlign w:val="center"/>
          </w:tcPr>
          <w:p>
            <w:pPr>
              <w:pStyle w:val="TableContents"/>
              <w:bidi w:val="0"/>
              <w:spacing w:before="0" w:after="283"/>
              <w:jc w:val="left"/>
              <w:rPr/>
            </w:pPr>
            <w:r>
              <w:rPr/>
              <w:t> </w:t>
            </w:r>
          </w:p>
        </w:tc>
      </w:tr>
      <w:tr>
        <w:trPr/>
        <w:tc>
          <w:tcPr>
            <w:tcW w:w="1307" w:type="dxa"/>
            <w:tcBorders/>
            <w:shd w:fill="CCEEFF" w:val="clear"/>
            <w:vAlign w:val="center"/>
          </w:tcPr>
          <w:p>
            <w:pPr>
              <w:pStyle w:val="TableContents"/>
              <w:bidi w:val="0"/>
              <w:spacing w:before="0" w:after="283"/>
              <w:jc w:val="left"/>
              <w:rPr/>
            </w:pPr>
            <w:r>
              <w:rPr/>
              <w:t>Term</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rFonts w:ascii="Times New Roman;Times;Serif" w:hAnsi="Times New Roman;Times;Serif"/>
                <w:sz w:val="20"/>
              </w:rPr>
            </w:pPr>
            <w:bookmarkStart w:id="869" w:name="xdx_902_eus-gaap--SharebasedCompensation"/>
            <w:bookmarkEnd w:id="869"/>
            <w:r>
              <w:rPr>
                <w:rFonts w:ascii="Times New Roman;Times;Serif" w:hAnsi="Times New Roman;Times;Serif"/>
                <w:sz w:val="20"/>
              </w:rPr>
              <w:t>10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rFonts w:ascii="Times New Roman;Times;Serif" w:hAnsi="Times New Roman;Times;Serif"/>
                <w:sz w:val="20"/>
              </w:rPr>
            </w:pPr>
            <w:bookmarkStart w:id="870" w:name="xdx_90D_eus-gaap--SharebasedCompensation"/>
            <w:bookmarkEnd w:id="870"/>
            <w:r>
              <w:rPr>
                <w:rFonts w:ascii="Times New Roman;Times;Serif" w:hAnsi="Times New Roman;Times;Serif"/>
                <w:sz w:val="20"/>
              </w:rPr>
              <w:t>10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rFonts w:ascii="Times New Roman;Times;Serif" w:hAnsi="Times New Roman;Times;Serif"/>
                <w:sz w:val="20"/>
              </w:rPr>
            </w:pPr>
            <w:bookmarkStart w:id="871" w:name="xdx_90F_eus-gaap--SharebasedCompensation"/>
            <w:bookmarkEnd w:id="871"/>
            <w:r>
              <w:rPr>
                <w:rFonts w:ascii="Times New Roman;Times;Serif" w:hAnsi="Times New Roman;Times;Serif"/>
                <w:sz w:val="20"/>
              </w:rPr>
              <w:t>10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sz w:val="20"/>
              </w:rPr>
            </w:pPr>
            <w:bookmarkStart w:id="872" w:name="xdx_907_eus-gaap--SharebasedCompensation"/>
            <w:bookmarkEnd w:id="872"/>
            <w:r>
              <w:rPr>
                <w:rFonts w:ascii="Times New Roman;Times;Serif" w:hAnsi="Times New Roman;Times;Serif"/>
                <w:sz w:val="20"/>
              </w:rPr>
              <w:t>10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rFonts w:ascii="Times New Roman;Times;Serif" w:hAnsi="Times New Roman;Times;Serif"/>
                <w:sz w:val="20"/>
              </w:rPr>
            </w:pPr>
            <w:bookmarkStart w:id="873" w:name="xdx_90D_eus-gaap--SharebasedCompensation"/>
            <w:bookmarkEnd w:id="873"/>
            <w:r>
              <w:rPr>
                <w:rFonts w:ascii="Times New Roman;Times;Serif" w:hAnsi="Times New Roman;Times;Serif"/>
                <w:sz w:val="20"/>
              </w:rPr>
              <w:t>10 years</w:t>
            </w:r>
          </w:p>
        </w:tc>
        <w:tc>
          <w:tcPr>
            <w:tcW w:w="235" w:type="dxa"/>
            <w:tcBorders/>
            <w:shd w:fill="CCEEFF" w:val="clear"/>
            <w:vAlign w:val="center"/>
          </w:tcPr>
          <w:p>
            <w:pPr>
              <w:pStyle w:val="TableContents"/>
              <w:bidi w:val="0"/>
              <w:spacing w:before="0" w:after="283"/>
              <w:jc w:val="left"/>
              <w:rPr/>
            </w:pPr>
            <w:r>
              <w:rPr/>
              <w:t> </w:t>
            </w:r>
          </w:p>
        </w:tc>
      </w:tr>
      <w:tr>
        <w:trPr/>
        <w:tc>
          <w:tcPr>
            <w:tcW w:w="1307"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bookmarkStart w:id="874" w:name="xdx_980_eus-gaap--ShareBasedCompensation"/>
            <w:bookmarkEnd w:id="874"/>
          </w:p>
        </w:tc>
        <w:tc>
          <w:tcPr>
            <w:tcW w:w="1224" w:type="dxa"/>
            <w:tcBorders/>
            <w:shd w:fill="FFFFFF" w:val="clear"/>
            <w:vAlign w:val="center"/>
          </w:tcPr>
          <w:p>
            <w:pPr>
              <w:pStyle w:val="TableContents"/>
              <w:bidi w:val="0"/>
              <w:spacing w:before="0" w:after="283"/>
              <w:jc w:val="right"/>
              <w:rPr/>
            </w:pPr>
            <w:r>
              <w:rPr/>
              <w:t>88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bookmarkStart w:id="875" w:name="xdx_98C_eus-gaap--ShareBasedCompensation"/>
            <w:bookmarkEnd w:id="875"/>
          </w:p>
        </w:tc>
        <w:tc>
          <w:tcPr>
            <w:tcW w:w="1224" w:type="dxa"/>
            <w:tcBorders/>
            <w:shd w:fill="FFFFFF" w:val="clear"/>
            <w:vAlign w:val="center"/>
          </w:tcPr>
          <w:p>
            <w:pPr>
              <w:pStyle w:val="TableContents"/>
              <w:bidi w:val="0"/>
              <w:spacing w:before="0" w:after="283"/>
              <w:jc w:val="right"/>
              <w:rPr/>
            </w:pPr>
            <w:r>
              <w:rPr/>
              <w:t>91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bookmarkStart w:id="876" w:name="xdx_98B_eus-gaap--ShareBasedCompensation"/>
            <w:bookmarkEnd w:id="876"/>
          </w:p>
        </w:tc>
        <w:tc>
          <w:tcPr>
            <w:tcW w:w="1249" w:type="dxa"/>
            <w:tcBorders/>
            <w:shd w:fill="FFFFFF" w:val="clear"/>
            <w:vAlign w:val="center"/>
          </w:tcPr>
          <w:p>
            <w:pPr>
              <w:pStyle w:val="TableContents"/>
              <w:bidi w:val="0"/>
              <w:spacing w:before="0" w:after="283"/>
              <w:jc w:val="right"/>
              <w:rPr/>
            </w:pPr>
            <w:r>
              <w:rPr/>
              <w:t>90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bookmarkStart w:id="877" w:name="xdx_989_eus-gaap--ShareBasedCompensation"/>
            <w:bookmarkEnd w:id="877"/>
          </w:p>
        </w:tc>
        <w:tc>
          <w:tcPr>
            <w:tcW w:w="1225" w:type="dxa"/>
            <w:tcBorders/>
            <w:shd w:fill="FFFFFF" w:val="clear"/>
            <w:vAlign w:val="center"/>
          </w:tcPr>
          <w:p>
            <w:pPr>
              <w:pStyle w:val="TableContents"/>
              <w:bidi w:val="0"/>
              <w:spacing w:before="0" w:after="283"/>
              <w:jc w:val="right"/>
              <w:rPr/>
            </w:pPr>
            <w:r>
              <w:rPr/>
              <w:t>90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bookmarkStart w:id="878" w:name="xdx_980_eus-gaap--ShareBasedCompensation"/>
            <w:bookmarkEnd w:id="878"/>
          </w:p>
        </w:tc>
        <w:tc>
          <w:tcPr>
            <w:tcW w:w="1177" w:type="dxa"/>
            <w:tcBorders/>
            <w:shd w:fill="FFFFFF" w:val="clear"/>
            <w:vAlign w:val="center"/>
          </w:tcPr>
          <w:p>
            <w:pPr>
              <w:pStyle w:val="TableContents"/>
              <w:bidi w:val="0"/>
              <w:spacing w:before="0" w:after="283"/>
              <w:jc w:val="right"/>
              <w:rPr/>
            </w:pPr>
            <w:r>
              <w:rPr/>
              <w:t>90</w:t>
            </w:r>
          </w:p>
        </w:tc>
        <w:tc>
          <w:tcPr>
            <w:tcW w:w="235" w:type="dxa"/>
            <w:tcBorders/>
            <w:shd w:fill="FFFFFF" w:val="clear"/>
            <w:vAlign w:val="center"/>
          </w:tcPr>
          <w:p>
            <w:pPr>
              <w:pStyle w:val="TableContents"/>
              <w:bidi w:val="0"/>
              <w:spacing w:before="0" w:after="283"/>
              <w:jc w:val="left"/>
              <w:rPr/>
            </w:pPr>
            <w:r>
              <w:rPr/>
              <w:t>%</w:t>
            </w:r>
          </w:p>
        </w:tc>
      </w:tr>
      <w:tr>
        <w:trPr/>
        <w:tc>
          <w:tcPr>
            <w:tcW w:w="1307"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bookmarkStart w:id="879" w:name="xdx_98F_eus-gaap--ShareBasedCompensation"/>
            <w:bookmarkEnd w:id="879"/>
          </w:p>
        </w:tc>
        <w:tc>
          <w:tcPr>
            <w:tcW w:w="1224" w:type="dxa"/>
            <w:tcBorders/>
            <w:shd w:fill="CCEEFF" w:val="clear"/>
            <w:vAlign w:val="center"/>
          </w:tcPr>
          <w:p>
            <w:pPr>
              <w:pStyle w:val="TableContents"/>
              <w:bidi w:val="0"/>
              <w:spacing w:before="0" w:after="283"/>
              <w:jc w:val="right"/>
              <w:rPr/>
            </w:pPr>
            <w:r>
              <w:rPr/>
              <w:t>4.5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bookmarkStart w:id="880" w:name="xdx_98C_eus-gaap--ShareBasedCompensation"/>
            <w:bookmarkEnd w:id="880"/>
          </w:p>
        </w:tc>
        <w:tc>
          <w:tcPr>
            <w:tcW w:w="1224" w:type="dxa"/>
            <w:tcBorders/>
            <w:shd w:fill="CCEEFF" w:val="clear"/>
            <w:vAlign w:val="center"/>
          </w:tcPr>
          <w:p>
            <w:pPr>
              <w:pStyle w:val="TableContents"/>
              <w:bidi w:val="0"/>
              <w:spacing w:before="0" w:after="283"/>
              <w:jc w:val="right"/>
              <w:rPr/>
            </w:pPr>
            <w:r>
              <w:rPr/>
              <w:t>4.4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bookmarkStart w:id="881" w:name="xdx_98D_eus-gaap--ShareBasedCompensation"/>
            <w:bookmarkEnd w:id="881"/>
          </w:p>
        </w:tc>
        <w:tc>
          <w:tcPr>
            <w:tcW w:w="1249" w:type="dxa"/>
            <w:tcBorders/>
            <w:shd w:fill="CCEEFF" w:val="clear"/>
            <w:vAlign w:val="center"/>
          </w:tcPr>
          <w:p>
            <w:pPr>
              <w:pStyle w:val="TableContents"/>
              <w:bidi w:val="0"/>
              <w:spacing w:before="0" w:after="283"/>
              <w:jc w:val="right"/>
              <w:rPr/>
            </w:pPr>
            <w:r>
              <w:rPr/>
              <w:t>3.8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bookmarkStart w:id="882" w:name="xdx_980_eus-gaap--ShareBasedCompensation"/>
            <w:bookmarkEnd w:id="882"/>
          </w:p>
        </w:tc>
        <w:tc>
          <w:tcPr>
            <w:tcW w:w="1225" w:type="dxa"/>
            <w:tcBorders/>
            <w:shd w:fill="CCEEFF" w:val="clear"/>
            <w:vAlign w:val="center"/>
          </w:tcPr>
          <w:p>
            <w:pPr>
              <w:pStyle w:val="TableContents"/>
              <w:bidi w:val="0"/>
              <w:spacing w:before="0" w:after="283"/>
              <w:jc w:val="right"/>
              <w:rPr/>
            </w:pPr>
            <w:r>
              <w:rPr/>
              <w:t>4.6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bookmarkStart w:id="883" w:name="xdx_984_eus-gaap--ShareBasedCompensation"/>
            <w:bookmarkEnd w:id="883"/>
          </w:p>
        </w:tc>
        <w:tc>
          <w:tcPr>
            <w:tcW w:w="1177" w:type="dxa"/>
            <w:tcBorders/>
            <w:shd w:fill="CCEEFF" w:val="clear"/>
            <w:vAlign w:val="center"/>
          </w:tcPr>
          <w:p>
            <w:pPr>
              <w:pStyle w:val="TableContents"/>
              <w:bidi w:val="0"/>
              <w:spacing w:before="0" w:after="283"/>
              <w:jc w:val="right"/>
              <w:rPr/>
            </w:pPr>
            <w:r>
              <w:rPr/>
              <w:t>4.3</w:t>
            </w:r>
          </w:p>
        </w:tc>
        <w:tc>
          <w:tcPr>
            <w:tcW w:w="23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884" w:name="xdx_8A8_zUMfQueNQJ1l"/>
      <w:bookmarkEnd w:id="88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the Penny Warrants are not considered indexed to the Company’s Common Stock and to be accounted for as liabilities under ASC 815. As such, the estimated fair value is recognized as a liability each reporting period, with changes in the fair value recognized within income each period. There were no Term Loan Warrants outstanding prior to the merger.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9 - Warrants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85" w:name="xdx_89C_ecustom--ScheduleOfShareBasedPay"/>
      <w:bookmarkEnd w:id="885"/>
      <w:r>
        <w:rPr>
          <w:rFonts w:ascii="Times New Roman;Times;Serif" w:hAnsi="Times New Roman;Times;Serif"/>
          <w:b w:val="false"/>
          <w:i w:val="false"/>
          <w:caps w:val="false"/>
          <w:smallCaps w:val="false"/>
          <w:sz w:val="20"/>
        </w:rPr>
        <w:t>The following table provides the significant inputs to the Black-Scholes method for the fair value of the Penny Warrants:</w:t>
      </w:r>
    </w:p>
    <w:p>
      <w:pPr>
        <w:pStyle w:val="TextBody"/>
        <w:bidi w:val="0"/>
        <w:spacing w:before="0" w:after="0"/>
        <w:ind w:left="0" w:right="0" w:hanging="0"/>
        <w:jc w:val="both"/>
        <w:rPr>
          <w:caps w:val="false"/>
          <w:smallCaps w:val="false"/>
        </w:rPr>
      </w:pPr>
      <w:r>
        <w:rPr>
          <w:caps w:val="false"/>
          <w:smallCaps w:val="false"/>
        </w:rPr>
        <w:t> </w:t>
      </w:r>
      <w:bookmarkStart w:id="886" w:name="xdx_8BD_zIhmcwtN6VNj"/>
      <w:bookmarkEnd w:id="886"/>
      <w:r>
        <w:rPr>
          <w:rFonts w:ascii="Times New Roman;Times;Serif" w:hAnsi="Times New Roman;Times;Serif"/>
          <w:b w:val="false"/>
          <w:i w:val="false"/>
          <w:caps w:val="false"/>
          <w:smallCaps w:val="false"/>
          <w:sz w:val="20"/>
        </w:rPr>
        <w:t>SCHEDULE OF SIGNIFICANT INPUTS OF FAIR VALUE OF WARRANTS</w:t>
      </w:r>
    </w:p>
    <w:tbl>
      <w:tblPr>
        <w:tblW w:w="6354" w:type="dxa"/>
        <w:jc w:val="left"/>
        <w:tblInd w:w="0" w:type="dxa"/>
        <w:tblLayout w:type="fixed"/>
        <w:tblCellMar>
          <w:top w:w="0" w:type="dxa"/>
          <w:left w:w="0" w:type="dxa"/>
          <w:bottom w:w="0" w:type="dxa"/>
          <w:right w:w="0" w:type="dxa"/>
        </w:tblCellMar>
      </w:tblPr>
      <w:tblGrid>
        <w:gridCol w:w="2000"/>
        <w:gridCol w:w="60"/>
        <w:gridCol w:w="361"/>
        <w:gridCol w:w="1533"/>
        <w:gridCol w:w="215"/>
        <w:gridCol w:w="60"/>
        <w:gridCol w:w="379"/>
        <w:gridCol w:w="1516"/>
        <w:gridCol w:w="230"/>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87" w:name="xdx_497_20250101__20251231__us-gaap--Sta"/>
            <w:bookmarkEnd w:id="887"/>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 of </w:t>
              <w:br/>
              <w:t>December 31,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88" w:name="xdx_497_20240101__20241231__us-gaap--Sta"/>
            <w:bookmarkEnd w:id="888"/>
          </w:p>
        </w:tc>
        <w:tc>
          <w:tcPr>
            <w:tcW w:w="189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 of </w:t>
              <w:br/>
              <w:t>December 31, 2024</w:t>
            </w:r>
          </w:p>
        </w:tc>
        <w:tc>
          <w:tcPr>
            <w:tcW w:w="230" w:type="dxa"/>
            <w:tcBorders/>
            <w:vAlign w:val="center"/>
          </w:tcPr>
          <w:p>
            <w:pPr>
              <w:pStyle w:val="TableContents"/>
              <w:bidi w:val="0"/>
              <w:spacing w:before="0" w:after="283"/>
              <w:jc w:val="left"/>
              <w:rPr/>
            </w:pPr>
            <w:r>
              <w:rPr/>
              <w:t> </w:t>
            </w:r>
            <w:bookmarkStart w:id="889" w:name="xdx_407_eus-gaap--SharePrice_iE_pid_z6lS"/>
            <w:bookmarkEnd w:id="889"/>
          </w:p>
        </w:tc>
      </w:tr>
      <w:tr>
        <w:trPr/>
        <w:tc>
          <w:tcPr>
            <w:tcW w:w="2000" w:type="dxa"/>
            <w:tcBorders/>
            <w:shd w:fill="CCEEFF" w:val="clear"/>
            <w:vAlign w:val="center"/>
          </w:tcPr>
          <w:p>
            <w:pPr>
              <w:pStyle w:val="TableContents"/>
              <w:bidi w:val="0"/>
              <w:spacing w:before="0" w:after="283"/>
              <w:jc w:val="left"/>
              <w:rPr/>
            </w:pPr>
            <w:r>
              <w:rPr/>
              <w:t>Common stock price</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1533" w:type="dxa"/>
            <w:tcBorders/>
            <w:shd w:fill="CCEEFF" w:val="clear"/>
            <w:vAlign w:val="center"/>
          </w:tcPr>
          <w:p>
            <w:pPr>
              <w:pStyle w:val="TableContents"/>
              <w:bidi w:val="0"/>
              <w:spacing w:before="0" w:after="283"/>
              <w:jc w:val="right"/>
              <w:rPr/>
            </w:pPr>
            <w:r>
              <w:rPr/>
              <w:t>3.25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2.78</w:t>
            </w:r>
          </w:p>
        </w:tc>
        <w:tc>
          <w:tcPr>
            <w:tcW w:w="230" w:type="dxa"/>
            <w:tcBorders/>
            <w:shd w:fill="CCEEFF" w:val="clear"/>
            <w:vAlign w:val="center"/>
          </w:tcPr>
          <w:p>
            <w:pPr>
              <w:pStyle w:val="TableContents"/>
              <w:bidi w:val="0"/>
              <w:spacing w:before="0" w:after="283"/>
              <w:jc w:val="left"/>
              <w:rPr/>
            </w:pPr>
            <w:r>
              <w:rPr/>
              <w:t> </w:t>
            </w:r>
            <w:bookmarkStart w:id="890" w:name="xdx_409_eus-gaap--ShareBasedCompensation"/>
            <w:bookmarkEnd w:id="890"/>
          </w:p>
        </w:tc>
      </w:tr>
      <w:tr>
        <w:trPr/>
        <w:tc>
          <w:tcPr>
            <w:tcW w:w="2000"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right"/>
              <w:rPr/>
            </w:pPr>
            <w:r>
              <w:rPr/>
              <w:t>0.01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0.09</w:t>
            </w:r>
          </w:p>
        </w:tc>
        <w:tc>
          <w:tcPr>
            <w:tcW w:w="230" w:type="dxa"/>
            <w:tcBorders/>
            <w:shd w:fill="FFFFFF" w:val="clear"/>
            <w:vAlign w:val="center"/>
          </w:tcPr>
          <w:p>
            <w:pPr>
              <w:pStyle w:val="TableContents"/>
              <w:bidi w:val="0"/>
              <w:spacing w:before="0" w:after="283"/>
              <w:jc w:val="left"/>
              <w:rPr/>
            </w:pPr>
            <w:r>
              <w:rPr/>
              <w:t> </w:t>
            </w:r>
            <w:bookmarkStart w:id="891" w:name="xdx_400_eus-gaap--ShareBasedCompensation"/>
            <w:bookmarkEnd w:id="891"/>
          </w:p>
        </w:tc>
      </w:tr>
      <w:tr>
        <w:trPr/>
        <w:tc>
          <w:tcPr>
            <w:tcW w:w="2000"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533" w:type="dxa"/>
            <w:tcBorders/>
            <w:shd w:fill="CCEEFF" w:val="clear"/>
            <w:vAlign w:val="center"/>
          </w:tcPr>
          <w:p>
            <w:pPr>
              <w:pStyle w:val="TableContents"/>
              <w:bidi w:val="0"/>
              <w:spacing w:before="0" w:after="283"/>
              <w:jc w:val="right"/>
              <w:rPr/>
            </w:pPr>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Term</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right"/>
              <w:rPr>
                <w:rFonts w:ascii="Times New Roman;Times;Serif" w:hAnsi="Times New Roman;Times;Serif"/>
                <w:sz w:val="20"/>
              </w:rPr>
            </w:pPr>
            <w:bookmarkStart w:id="892" w:name="xdx_90F_eus-gaap--SharebasedCompensation"/>
            <w:bookmarkEnd w:id="892"/>
            <w:r>
              <w:rPr>
                <w:rFonts w:ascii="Times New Roman;Times;Serif" w:hAnsi="Times New Roman;Times;Serif"/>
                <w:sz w:val="20"/>
              </w:rPr>
              <w:t>6.77-</w:t>
            </w:r>
            <w:bookmarkStart w:id="893" w:name="xdx_902_eus-gaap--SharebasedCompensation"/>
            <w:bookmarkEnd w:id="893"/>
            <w:r>
              <w:rPr>
                <w:rFonts w:ascii="Times New Roman;Times;Serif" w:hAnsi="Times New Roman;Times;Serif"/>
                <w:sz w:val="20"/>
              </w:rPr>
              <w:t>9.16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bookmarkStart w:id="894" w:name="xdx_903_eus-gaap--SharebasedCompensation"/>
            <w:bookmarkEnd w:id="894"/>
            <w:r>
              <w:rPr/>
              <w:t>7.77</w:t>
            </w:r>
          </w:p>
        </w:tc>
        <w:tc>
          <w:tcPr>
            <w:tcW w:w="230" w:type="dxa"/>
            <w:tcBorders/>
            <w:shd w:fill="FFFFFF" w:val="clear"/>
            <w:vAlign w:val="center"/>
          </w:tcPr>
          <w:p>
            <w:pPr>
              <w:pStyle w:val="TableContents"/>
              <w:bidi w:val="0"/>
              <w:spacing w:before="0" w:after="283"/>
              <w:jc w:val="left"/>
              <w:rPr/>
            </w:pPr>
            <w:r>
              <w:rPr/>
              <w:t> </w:t>
            </w:r>
            <w:bookmarkStart w:id="895" w:name="xdx_40A_eus-gaap--ShareBasedCompensation"/>
            <w:bookmarkEnd w:id="895"/>
          </w:p>
        </w:tc>
      </w:tr>
      <w:tr>
        <w:trPr/>
        <w:tc>
          <w:tcPr>
            <w:tcW w:w="2000"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533" w:type="dxa"/>
            <w:tcBorders/>
            <w:shd w:fill="CCEEFF" w:val="clear"/>
            <w:vAlign w:val="center"/>
          </w:tcPr>
          <w:p>
            <w:pPr>
              <w:pStyle w:val="TableContents"/>
              <w:bidi w:val="0"/>
              <w:spacing w:before="0" w:after="283"/>
              <w:jc w:val="right"/>
              <w:rPr/>
            </w:pPr>
            <w:r>
              <w:rPr/>
              <w:t>530.8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94.00</w:t>
            </w:r>
          </w:p>
        </w:tc>
        <w:tc>
          <w:tcPr>
            <w:tcW w:w="230" w:type="dxa"/>
            <w:tcBorders/>
            <w:shd w:fill="CCEEFF" w:val="clear"/>
            <w:vAlign w:val="center"/>
          </w:tcPr>
          <w:p>
            <w:pPr>
              <w:pStyle w:val="TableContents"/>
              <w:bidi w:val="0"/>
              <w:spacing w:before="0" w:after="283"/>
              <w:jc w:val="left"/>
              <w:rPr/>
            </w:pPr>
            <w:r>
              <w:rPr/>
              <w:t>%</w:t>
            </w:r>
            <w:bookmarkStart w:id="896" w:name="xdx_406_eus-gaap--ShareBasedCompensation"/>
            <w:bookmarkEnd w:id="896"/>
          </w:p>
        </w:tc>
      </w:tr>
      <w:tr>
        <w:trPr/>
        <w:tc>
          <w:tcPr>
            <w:tcW w:w="2000"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right"/>
              <w:rPr>
                <w:rFonts w:ascii="Times New Roman;Times;Serif" w:hAnsi="Times New Roman;Times;Serif"/>
                <w:sz w:val="20"/>
              </w:rPr>
            </w:pPr>
            <w:bookmarkStart w:id="897" w:name="xdx_90D_eus-gaap--ShareBasedCompensation"/>
            <w:bookmarkEnd w:id="897"/>
            <w:r>
              <w:rPr>
                <w:rFonts w:ascii="Times New Roman;Times;Serif" w:hAnsi="Times New Roman;Times;Serif"/>
                <w:sz w:val="20"/>
              </w:rPr>
              <w:t xml:space="preserve">4.0% - </w:t>
            </w:r>
            <w:bookmarkStart w:id="898" w:name="xdx_90D_eus-gaap--ShareBasedCompensation"/>
            <w:bookmarkEnd w:id="898"/>
            <w:r>
              <w:rPr>
                <w:rFonts w:ascii="Times New Roman;Times;Serif" w:hAnsi="Times New Roman;Times;Serif"/>
                <w:sz w:val="20"/>
              </w:rPr>
              <w:t>4.2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4.50</w:t>
            </w:r>
          </w:p>
        </w:tc>
        <w:tc>
          <w:tcPr>
            <w:tcW w:w="230" w:type="dxa"/>
            <w:tcBorders/>
            <w:shd w:fill="FFFFFF" w:val="clear"/>
            <w:vAlign w:val="center"/>
          </w:tcPr>
          <w:p>
            <w:pPr>
              <w:pStyle w:val="TableContents"/>
              <w:bidi w:val="0"/>
              <w:spacing w:before="0" w:after="283"/>
              <w:jc w:val="left"/>
              <w:rPr/>
            </w:pPr>
            <w:r>
              <w:rPr/>
              <w:t>%</w:t>
            </w:r>
            <w:bookmarkStart w:id="899" w:name="xdx_40F_ecustom--FairValueOfWarrant_iI_p"/>
            <w:bookmarkEnd w:id="899"/>
          </w:p>
        </w:tc>
      </w:tr>
      <w:tr>
        <w:trPr/>
        <w:tc>
          <w:tcPr>
            <w:tcW w:w="2000" w:type="dxa"/>
            <w:tcBorders/>
            <w:shd w:fill="CCEEFF" w:val="clear"/>
            <w:vAlign w:val="center"/>
          </w:tcPr>
          <w:p>
            <w:pPr>
              <w:pStyle w:val="TableContents"/>
              <w:bidi w:val="0"/>
              <w:spacing w:before="0" w:after="283"/>
              <w:jc w:val="left"/>
              <w:rPr/>
            </w:pPr>
            <w:r>
              <w:rPr/>
              <w:t>Fair value</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1533" w:type="dxa"/>
            <w:tcBorders/>
            <w:shd w:fill="CCEEFF" w:val="clear"/>
            <w:vAlign w:val="center"/>
          </w:tcPr>
          <w:p>
            <w:pPr>
              <w:pStyle w:val="TableContents"/>
              <w:bidi w:val="0"/>
              <w:spacing w:before="0" w:after="283"/>
              <w:jc w:val="right"/>
              <w:rPr/>
            </w:pPr>
            <w:r>
              <w:rPr/>
              <w:t>3.25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2.74</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significant inputs to the Black-Scholes method for the fair value of the Investor Warrants issued in the June 2023 Offering:</w:t>
      </w:r>
    </w:p>
    <w:p>
      <w:pPr>
        <w:pStyle w:val="TextBody"/>
        <w:bidi w:val="0"/>
        <w:spacing w:before="0" w:after="0"/>
        <w:ind w:left="0" w:right="0" w:hanging="0"/>
        <w:jc w:val="both"/>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2000"/>
        <w:gridCol w:w="60"/>
        <w:gridCol w:w="379"/>
        <w:gridCol w:w="1516"/>
        <w:gridCol w:w="215"/>
        <w:gridCol w:w="60"/>
        <w:gridCol w:w="379"/>
        <w:gridCol w:w="1516"/>
        <w:gridCol w:w="230"/>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00" w:name="xdx_49D_20250101__20251231__us-gaap--Sta"/>
            <w:bookmarkEnd w:id="900"/>
          </w:p>
        </w:tc>
        <w:tc>
          <w:tcPr>
            <w:tcW w:w="189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 of </w:t>
              <w:br/>
              <w:t>December 31,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01" w:name="xdx_496_20240101__20241231__us-gaap--Sta"/>
            <w:bookmarkEnd w:id="901"/>
          </w:p>
        </w:tc>
        <w:tc>
          <w:tcPr>
            <w:tcW w:w="189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 of </w:t>
              <w:br/>
              <w:t>December 31, 2024</w:t>
            </w:r>
          </w:p>
        </w:tc>
        <w:tc>
          <w:tcPr>
            <w:tcW w:w="230" w:type="dxa"/>
            <w:tcBorders/>
            <w:vAlign w:val="center"/>
          </w:tcPr>
          <w:p>
            <w:pPr>
              <w:pStyle w:val="TableContents"/>
              <w:bidi w:val="0"/>
              <w:spacing w:before="0" w:after="283"/>
              <w:jc w:val="left"/>
              <w:rPr/>
            </w:pPr>
            <w:r>
              <w:rPr/>
              <w:t> </w:t>
            </w:r>
            <w:bookmarkStart w:id="902" w:name="xdx_407_eus-gaap--SharePrice_iE_pid_z4GC"/>
            <w:bookmarkEnd w:id="902"/>
          </w:p>
        </w:tc>
      </w:tr>
      <w:tr>
        <w:trPr/>
        <w:tc>
          <w:tcPr>
            <w:tcW w:w="2000" w:type="dxa"/>
            <w:tcBorders/>
            <w:shd w:fill="CCEEFF" w:val="clear"/>
            <w:vAlign w:val="center"/>
          </w:tcPr>
          <w:p>
            <w:pPr>
              <w:pStyle w:val="TableContents"/>
              <w:bidi w:val="0"/>
              <w:spacing w:before="0" w:after="283"/>
              <w:jc w:val="left"/>
              <w:rPr/>
            </w:pPr>
            <w:r>
              <w:rPr/>
              <w:t>Common stock price</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3.25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2.78</w:t>
            </w:r>
          </w:p>
        </w:tc>
        <w:tc>
          <w:tcPr>
            <w:tcW w:w="230" w:type="dxa"/>
            <w:tcBorders/>
            <w:shd w:fill="CCEEFF" w:val="clear"/>
            <w:vAlign w:val="center"/>
          </w:tcPr>
          <w:p>
            <w:pPr>
              <w:pStyle w:val="TableContents"/>
              <w:bidi w:val="0"/>
              <w:spacing w:before="0" w:after="283"/>
              <w:jc w:val="left"/>
              <w:rPr/>
            </w:pPr>
            <w:r>
              <w:rPr/>
              <w:t> </w:t>
            </w:r>
            <w:bookmarkStart w:id="903" w:name="xdx_409_eus-gaap--ShareBasedCompensation"/>
            <w:bookmarkEnd w:id="903"/>
          </w:p>
        </w:tc>
      </w:tr>
      <w:tr>
        <w:trPr/>
        <w:tc>
          <w:tcPr>
            <w:tcW w:w="2000"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w:t>
            </w:r>
          </w:p>
        </w:tc>
        <w:tc>
          <w:tcPr>
            <w:tcW w:w="1516" w:type="dxa"/>
            <w:tcBorders/>
            <w:shd w:fill="FFFFFF" w:val="clear"/>
            <w:vAlign w:val="center"/>
          </w:tcPr>
          <w:p>
            <w:pPr>
              <w:pStyle w:val="TableContents"/>
              <w:bidi w:val="0"/>
              <w:spacing w:before="0" w:after="283"/>
              <w:jc w:val="right"/>
              <w:rPr/>
            </w:pPr>
            <w:r>
              <w:rPr/>
              <w:t>180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w:t>
            </w:r>
          </w:p>
        </w:tc>
        <w:tc>
          <w:tcPr>
            <w:tcW w:w="1516" w:type="dxa"/>
            <w:tcBorders/>
            <w:shd w:fill="FFFFFF" w:val="clear"/>
            <w:vAlign w:val="center"/>
          </w:tcPr>
          <w:p>
            <w:pPr>
              <w:pStyle w:val="TableContents"/>
              <w:bidi w:val="0"/>
              <w:spacing w:before="0" w:after="283"/>
              <w:jc w:val="right"/>
              <w:rPr/>
            </w:pPr>
            <w:r>
              <w:rPr/>
              <w:t>18.00</w:t>
            </w:r>
          </w:p>
        </w:tc>
        <w:tc>
          <w:tcPr>
            <w:tcW w:w="230" w:type="dxa"/>
            <w:tcBorders/>
            <w:shd w:fill="FFFFFF" w:val="clear"/>
            <w:vAlign w:val="center"/>
          </w:tcPr>
          <w:p>
            <w:pPr>
              <w:pStyle w:val="TableContents"/>
              <w:bidi w:val="0"/>
              <w:spacing w:before="0" w:after="283"/>
              <w:jc w:val="left"/>
              <w:rPr/>
            </w:pPr>
            <w:r>
              <w:rPr/>
              <w:t> </w:t>
            </w:r>
            <w:bookmarkStart w:id="904" w:name="xdx_400_eus-gaap--ShareBasedCompensation"/>
            <w:bookmarkEnd w:id="904"/>
          </w:p>
        </w:tc>
      </w:tr>
      <w:tr>
        <w:trPr/>
        <w:tc>
          <w:tcPr>
            <w:tcW w:w="2000"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Term</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bookmarkStart w:id="905" w:name="xdx_906_eus-gaap--SharebasedCompensation"/>
            <w:bookmarkEnd w:id="905"/>
            <w:r>
              <w:rPr/>
              <w:t>2.48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bookmarkStart w:id="906" w:name="xdx_908_eus-gaap--SharebasedCompensation"/>
            <w:bookmarkEnd w:id="906"/>
            <w:r>
              <w:rPr/>
              <w:t>3.47</w:t>
            </w:r>
          </w:p>
        </w:tc>
        <w:tc>
          <w:tcPr>
            <w:tcW w:w="230" w:type="dxa"/>
            <w:tcBorders/>
            <w:shd w:fill="FFFFFF" w:val="clear"/>
            <w:vAlign w:val="center"/>
          </w:tcPr>
          <w:p>
            <w:pPr>
              <w:pStyle w:val="TableContents"/>
              <w:bidi w:val="0"/>
              <w:spacing w:before="0" w:after="283"/>
              <w:jc w:val="left"/>
              <w:rPr/>
            </w:pPr>
            <w:r>
              <w:rPr/>
              <w:t> </w:t>
            </w:r>
            <w:bookmarkStart w:id="907" w:name="xdx_409_eus-gaap--ShareBasedCompensation"/>
            <w:bookmarkEnd w:id="907"/>
          </w:p>
        </w:tc>
      </w:tr>
      <w:tr>
        <w:trPr/>
        <w:tc>
          <w:tcPr>
            <w:tcW w:w="2000"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571.4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105</w:t>
            </w:r>
          </w:p>
        </w:tc>
        <w:tc>
          <w:tcPr>
            <w:tcW w:w="230" w:type="dxa"/>
            <w:tcBorders/>
            <w:shd w:fill="CCEEFF" w:val="clear"/>
            <w:vAlign w:val="center"/>
          </w:tcPr>
          <w:p>
            <w:pPr>
              <w:pStyle w:val="TableContents"/>
              <w:bidi w:val="0"/>
              <w:spacing w:before="0" w:after="283"/>
              <w:jc w:val="left"/>
              <w:rPr/>
            </w:pPr>
            <w:r>
              <w:rPr/>
              <w:t>%</w:t>
            </w:r>
            <w:bookmarkStart w:id="908" w:name="xdx_408_eus-gaap--ShareBasedCompensation"/>
            <w:bookmarkEnd w:id="908"/>
          </w:p>
        </w:tc>
      </w:tr>
      <w:tr>
        <w:trPr/>
        <w:tc>
          <w:tcPr>
            <w:tcW w:w="2000"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3.7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4.3</w:t>
            </w:r>
          </w:p>
        </w:tc>
        <w:tc>
          <w:tcPr>
            <w:tcW w:w="230" w:type="dxa"/>
            <w:tcBorders/>
            <w:shd w:fill="FFFFFF" w:val="clear"/>
            <w:vAlign w:val="center"/>
          </w:tcPr>
          <w:p>
            <w:pPr>
              <w:pStyle w:val="TableContents"/>
              <w:bidi w:val="0"/>
              <w:spacing w:before="0" w:after="283"/>
              <w:jc w:val="left"/>
              <w:rPr/>
            </w:pPr>
            <w:r>
              <w:rPr/>
              <w:t>%</w:t>
            </w:r>
            <w:bookmarkStart w:id="909" w:name="xdx_40B_ecustom--FairValueOfWarrant_iI_p"/>
            <w:bookmarkEnd w:id="909"/>
          </w:p>
        </w:tc>
      </w:tr>
      <w:tr>
        <w:trPr/>
        <w:tc>
          <w:tcPr>
            <w:tcW w:w="2000" w:type="dxa"/>
            <w:tcBorders/>
            <w:shd w:fill="CCEEFF" w:val="clear"/>
            <w:vAlign w:val="center"/>
          </w:tcPr>
          <w:p>
            <w:pPr>
              <w:pStyle w:val="TableContents"/>
              <w:bidi w:val="0"/>
              <w:spacing w:before="0" w:after="283"/>
              <w:jc w:val="left"/>
              <w:rPr/>
            </w:pPr>
            <w:r>
              <w:rPr/>
              <w:t>Fair value</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3.25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1.01</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10" w:name="xdx_8A5_zWteIqQb0CKh"/>
      <w:bookmarkEnd w:id="91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11" w:name="xdx_89E_eus-gaap--ScheduleOfShareBasedCo"/>
      <w:bookmarkEnd w:id="911"/>
      <w:r>
        <w:rPr>
          <w:rFonts w:ascii="Times New Roman;Times;Serif" w:hAnsi="Times New Roman;Times;Serif"/>
          <w:b w:val="false"/>
          <w:i w:val="false"/>
          <w:caps w:val="false"/>
          <w:smallCaps w:val="false"/>
          <w:sz w:val="20"/>
        </w:rPr>
        <w:t>The following table presents a roll-forward of the Company’s warrants from January 1, 2025 to December 31, 2025 and January 1, 2024 to December 31, 2024:</w:t>
      </w:r>
    </w:p>
    <w:p>
      <w:pPr>
        <w:pStyle w:val="TextBody"/>
        <w:bidi w:val="0"/>
        <w:spacing w:before="0" w:after="0"/>
        <w:ind w:left="0" w:right="0" w:hanging="0"/>
        <w:jc w:val="both"/>
        <w:rPr>
          <w:caps w:val="false"/>
          <w:smallCaps w:val="false"/>
        </w:rPr>
      </w:pPr>
      <w:r>
        <w:rPr>
          <w:caps w:val="false"/>
          <w:smallCaps w:val="false"/>
        </w:rPr>
        <w:t> </w:t>
      </w:r>
      <w:bookmarkStart w:id="912" w:name="xdx_8B0_zP8Vh7ER3Vh4"/>
      <w:bookmarkEnd w:id="912"/>
      <w:r>
        <w:rPr>
          <w:rFonts w:ascii="Times New Roman;Times;Serif" w:hAnsi="Times New Roman;Times;Serif"/>
          <w:b w:val="false"/>
          <w:i w:val="false"/>
          <w:caps w:val="false"/>
          <w:smallCaps w:val="false"/>
          <w:sz w:val="20"/>
        </w:rPr>
        <w:t>SCHEDULE OF ROLL FORWARD OF LIABILITY CLASSIFIED WARRANTS</w:t>
      </w:r>
    </w:p>
    <w:tbl>
      <w:tblPr>
        <w:tblW w:w="8088" w:type="dxa"/>
        <w:jc w:val="left"/>
        <w:tblInd w:w="0" w:type="dxa"/>
        <w:tblLayout w:type="fixed"/>
        <w:tblCellMar>
          <w:top w:w="0" w:type="dxa"/>
          <w:left w:w="0" w:type="dxa"/>
          <w:bottom w:w="0" w:type="dxa"/>
          <w:right w:w="0" w:type="dxa"/>
        </w:tblCellMar>
      </w:tblPr>
      <w:tblGrid>
        <w:gridCol w:w="4100"/>
        <w:gridCol w:w="60"/>
        <w:gridCol w:w="127"/>
        <w:gridCol w:w="1467"/>
        <w:gridCol w:w="60"/>
        <w:gridCol w:w="60"/>
        <w:gridCol w:w="79"/>
        <w:gridCol w:w="1065"/>
        <w:gridCol w:w="60"/>
        <w:gridCol w:w="60"/>
        <w:gridCol w:w="61"/>
        <w:gridCol w:w="814"/>
        <w:gridCol w:w="75"/>
      </w:tblGrid>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13" w:name="xdx_4B0_us-gaap--StatementEquityComponen"/>
            <w:bookmarkEnd w:id="913"/>
          </w:p>
        </w:tc>
        <w:tc>
          <w:tcPr>
            <w:tcW w:w="1594" w:type="dxa"/>
            <w:gridSpan w:val="2"/>
            <w:tcBorders>
              <w:bottom w:val="single" w:sz="8" w:space="0" w:color="000000"/>
            </w:tcBorders>
            <w:tcMar>
              <w:bottom w:w="28" w:type="dxa"/>
            </w:tcMar>
            <w:vAlign w:val="center"/>
          </w:tcPr>
          <w:p>
            <w:pPr>
              <w:pStyle w:val="TableContents"/>
              <w:bidi w:val="0"/>
              <w:spacing w:before="0" w:after="283"/>
              <w:jc w:val="center"/>
              <w:rPr/>
            </w:pPr>
            <w:r>
              <w:rPr/>
              <w:t>Private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14" w:name="xdx_4B3_us-gaap--StatementEquityComponen"/>
            <w:bookmarkEnd w:id="914"/>
          </w:p>
        </w:tc>
        <w:tc>
          <w:tcPr>
            <w:tcW w:w="114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Term Loan </w:t>
              <w:b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15" w:name="xdx_4B0_us-gaap--StatementEquityComponen"/>
            <w:bookmarkEnd w:id="915"/>
          </w:p>
        </w:tc>
        <w:tc>
          <w:tcPr>
            <w:tcW w:w="87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Investor </w:t>
              <w:br/>
              <w:t>Warrants</w:t>
            </w:r>
          </w:p>
        </w:tc>
        <w:tc>
          <w:tcPr>
            <w:tcW w:w="75" w:type="dxa"/>
            <w:tcBorders/>
            <w:vAlign w:val="center"/>
          </w:tcPr>
          <w:p>
            <w:pPr>
              <w:pStyle w:val="TableContents"/>
              <w:bidi w:val="0"/>
              <w:spacing w:before="0" w:after="283"/>
              <w:jc w:val="left"/>
              <w:rPr/>
            </w:pPr>
            <w:r>
              <w:rPr/>
              <w:t> </w:t>
            </w:r>
            <w:bookmarkStart w:id="916" w:name="xdx_43D_c20250101__20251231_eus-gaap--Sh"/>
            <w:bookmarkEnd w:id="916"/>
          </w:p>
        </w:tc>
      </w:tr>
      <w:tr>
        <w:trPr/>
        <w:tc>
          <w:tcPr>
            <w:tcW w:w="4100" w:type="dxa"/>
            <w:tcBorders/>
            <w:shd w:fill="CCEEFF" w:val="clear"/>
            <w:vAlign w:val="center"/>
          </w:tcPr>
          <w:p>
            <w:pPr>
              <w:pStyle w:val="TableContents"/>
              <w:bidi w:val="0"/>
              <w:spacing w:before="0" w:after="283"/>
              <w:jc w:val="left"/>
              <w:rPr/>
            </w:pPr>
            <w:r>
              <w:rPr/>
              <w:t>Warrants Outstanding, January 1, 2025</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16,682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141,215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123,688</w:t>
            </w:r>
          </w:p>
        </w:tc>
        <w:tc>
          <w:tcPr>
            <w:tcW w:w="75" w:type="dxa"/>
            <w:tcBorders/>
            <w:shd w:fill="CCEEFF" w:val="clear"/>
            <w:vAlign w:val="center"/>
          </w:tcPr>
          <w:p>
            <w:pPr>
              <w:pStyle w:val="TableContents"/>
              <w:bidi w:val="0"/>
              <w:spacing w:before="0" w:after="283"/>
              <w:jc w:val="left"/>
              <w:rPr/>
            </w:pPr>
            <w:r>
              <w:rPr/>
              <w:t> </w:t>
            </w:r>
            <w:bookmarkStart w:id="917" w:name="xdx_407_eus-gaap--ShareBasedCompensation"/>
            <w:bookmarkEnd w:id="917"/>
          </w:p>
        </w:tc>
      </w:tr>
      <w:tr>
        <w:trPr/>
        <w:tc>
          <w:tcPr>
            <w:tcW w:w="410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918" w:name="xdx_40F_eus-gaap--ShareBasedCompensation"/>
            <w:bookmarkEnd w:id="918"/>
          </w:p>
        </w:tc>
      </w:tr>
      <w:tr>
        <w:trPr/>
        <w:tc>
          <w:tcPr>
            <w:tcW w:w="4100" w:type="dxa"/>
            <w:tcBorders/>
            <w:shd w:fill="CCEEFF" w:val="clear"/>
            <w:vAlign w:val="center"/>
          </w:tcPr>
          <w:p>
            <w:pPr>
              <w:pStyle w:val="TableContents"/>
              <w:bidi w:val="0"/>
              <w:spacing w:before="0" w:after="283"/>
              <w:jc w:val="both"/>
              <w:rPr/>
            </w:pPr>
            <w:r>
              <w:rPr/>
              <w:t>Warrants issued</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33,000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919" w:name="xdx_434_c20250101__20251231_eus-gaap--Sh"/>
            <w:bookmarkEnd w:id="919"/>
          </w:p>
        </w:tc>
      </w:tr>
      <w:tr>
        <w:trPr/>
        <w:tc>
          <w:tcPr>
            <w:tcW w:w="4100" w:type="dxa"/>
            <w:tcBorders/>
            <w:shd w:fill="FFFFFF" w:val="clear"/>
            <w:vAlign w:val="center"/>
          </w:tcPr>
          <w:p>
            <w:pPr>
              <w:pStyle w:val="TableContents"/>
              <w:bidi w:val="0"/>
              <w:spacing w:before="0" w:after="283"/>
              <w:jc w:val="left"/>
              <w:rPr/>
            </w:pPr>
            <w:r>
              <w:rPr/>
              <w:t>Warrants Outstanding, December 31, 2025</w:t>
            </w:r>
          </w:p>
        </w:tc>
        <w:tc>
          <w:tcPr>
            <w:tcW w:w="60" w:type="dxa"/>
            <w:tcBorders/>
            <w:shd w:fill="FFFFFF" w:val="clear"/>
            <w:vAlign w:val="center"/>
          </w:tcPr>
          <w:p>
            <w:pPr>
              <w:pStyle w:val="TableContents"/>
              <w:bidi w:val="0"/>
              <w:spacing w:before="0" w:after="283"/>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67" w:type="dxa"/>
            <w:tcBorders>
              <w:bottom w:val="double" w:sz="6" w:space="0" w:color="000000"/>
            </w:tcBorders>
            <w:shd w:fill="FFFFFF" w:val="clear"/>
            <w:tcMar>
              <w:bottom w:w="28" w:type="dxa"/>
            </w:tcMar>
            <w:vAlign w:val="center"/>
          </w:tcPr>
          <w:p>
            <w:pPr>
              <w:pStyle w:val="TableContents"/>
              <w:bidi w:val="0"/>
              <w:spacing w:before="0" w:after="283"/>
              <w:jc w:val="right"/>
              <w:rPr/>
            </w:pPr>
            <w:r>
              <w:rPr/>
              <w:t>16,682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pPr>
            <w:r>
              <w:rPr/>
              <w:t>174,215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double" w:sz="6" w:space="0" w:color="000000"/>
            </w:tcBorders>
            <w:shd w:fill="FFFFFF" w:val="clear"/>
            <w:tcMar>
              <w:bottom w:w="28" w:type="dxa"/>
            </w:tcMar>
            <w:vAlign w:val="center"/>
          </w:tcPr>
          <w:p>
            <w:pPr>
              <w:pStyle w:val="TableContents"/>
              <w:bidi w:val="0"/>
              <w:spacing w:before="0" w:after="283"/>
              <w:jc w:val="right"/>
              <w:rPr/>
            </w:pPr>
            <w:r>
              <w:rPr/>
              <w:t>123,688</w:t>
            </w:r>
          </w:p>
        </w:tc>
        <w:tc>
          <w:tcPr>
            <w:tcW w:w="7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920" w:name="xdx_436_c20240101__20241231_eus-gaap--Sh"/>
            <w:bookmarkEnd w:id="920"/>
          </w:p>
        </w:tc>
      </w:tr>
      <w:tr>
        <w:trPr/>
        <w:tc>
          <w:tcPr>
            <w:tcW w:w="4100" w:type="dxa"/>
            <w:tcBorders/>
            <w:shd w:fill="FFFFFF" w:val="clear"/>
            <w:vAlign w:val="center"/>
          </w:tcPr>
          <w:p>
            <w:pPr>
              <w:pStyle w:val="TableContents"/>
              <w:bidi w:val="0"/>
              <w:spacing w:before="0" w:after="283"/>
              <w:jc w:val="left"/>
              <w:rPr/>
            </w:pPr>
            <w:r>
              <w:rPr/>
              <w:t>Warrants Outstanding, January 1, 2024</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16,682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20,939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123,688</w:t>
            </w:r>
          </w:p>
        </w:tc>
        <w:tc>
          <w:tcPr>
            <w:tcW w:w="75" w:type="dxa"/>
            <w:tcBorders/>
            <w:shd w:fill="FFFFFF" w:val="clear"/>
            <w:vAlign w:val="center"/>
          </w:tcPr>
          <w:p>
            <w:pPr>
              <w:pStyle w:val="TableContents"/>
              <w:bidi w:val="0"/>
              <w:spacing w:before="0" w:after="283"/>
              <w:jc w:val="left"/>
              <w:rPr/>
            </w:pPr>
            <w:r>
              <w:rPr/>
              <w:t> </w:t>
            </w:r>
            <w:bookmarkStart w:id="921" w:name="xdx_433_c20240101__20241231_eus-gaap--Sh"/>
            <w:bookmarkEnd w:id="921"/>
          </w:p>
        </w:tc>
      </w:tr>
      <w:tr>
        <w:trPr/>
        <w:tc>
          <w:tcPr>
            <w:tcW w:w="4100" w:type="dxa"/>
            <w:tcBorders/>
            <w:shd w:fill="FFFFFF" w:val="clear"/>
            <w:vAlign w:val="center"/>
          </w:tcPr>
          <w:p>
            <w:pPr>
              <w:pStyle w:val="TableContents"/>
              <w:bidi w:val="0"/>
              <w:spacing w:before="0" w:after="283"/>
              <w:jc w:val="left"/>
              <w:rPr/>
            </w:pPr>
            <w:r>
              <w:rPr/>
              <w:t>Warrants Outstanding</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467" w:type="dxa"/>
            <w:tcBorders/>
            <w:shd w:fill="FFFFFF" w:val="clear"/>
            <w:vAlign w:val="center"/>
          </w:tcPr>
          <w:p>
            <w:pPr>
              <w:pStyle w:val="TableContents"/>
              <w:bidi w:val="0"/>
              <w:spacing w:before="0" w:after="283"/>
              <w:jc w:val="right"/>
              <w:rPr/>
            </w:pPr>
            <w:r>
              <w:rPr/>
              <w:t>16,682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20,939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123,688</w:t>
            </w:r>
          </w:p>
        </w:tc>
        <w:tc>
          <w:tcPr>
            <w:tcW w:w="75" w:type="dxa"/>
            <w:tcBorders/>
            <w:shd w:fill="FFFFFF" w:val="clear"/>
            <w:vAlign w:val="center"/>
          </w:tcPr>
          <w:p>
            <w:pPr>
              <w:pStyle w:val="TableContents"/>
              <w:bidi w:val="0"/>
              <w:spacing w:before="0" w:after="283"/>
              <w:jc w:val="left"/>
              <w:rPr/>
            </w:pPr>
            <w:r>
              <w:rPr/>
              <w:t> </w:t>
            </w:r>
            <w:bookmarkStart w:id="922" w:name="xdx_407_eus-gaap--ShareBasedCompensation"/>
            <w:bookmarkEnd w:id="922"/>
          </w:p>
        </w:tc>
      </w:tr>
      <w:tr>
        <w:trPr/>
        <w:tc>
          <w:tcPr>
            <w:tcW w:w="4100" w:type="dxa"/>
            <w:tcBorders/>
            <w:shd w:fill="CCEEFF" w:val="clear"/>
            <w:vAlign w:val="center"/>
          </w:tcPr>
          <w:p>
            <w:pPr>
              <w:pStyle w:val="TableContents"/>
              <w:bidi w:val="0"/>
              <w:spacing w:before="0" w:after="283"/>
              <w:jc w:val="both"/>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923" w:name="xdx_402_eus-gaap--ShareBasedCompensation"/>
            <w:bookmarkEnd w:id="923"/>
          </w:p>
        </w:tc>
      </w:tr>
      <w:tr>
        <w:trPr/>
        <w:tc>
          <w:tcPr>
            <w:tcW w:w="4100" w:type="dxa"/>
            <w:tcBorders/>
            <w:shd w:fill="FFFFFF" w:val="clear"/>
            <w:vAlign w:val="center"/>
          </w:tcPr>
          <w:p>
            <w:pPr>
              <w:pStyle w:val="TableContents"/>
              <w:bidi w:val="0"/>
              <w:spacing w:before="0" w:after="283"/>
              <w:jc w:val="both"/>
              <w:rPr/>
            </w:pPr>
            <w:r>
              <w:rPr/>
              <w:t>Warrants issued</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pPr>
            <w:r>
              <w:rPr/>
              <w:t>120,276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924" w:name="xdx_431_c20240101__20241231_eus-gaap--Sh"/>
            <w:bookmarkEnd w:id="924"/>
          </w:p>
        </w:tc>
      </w:tr>
      <w:tr>
        <w:trPr/>
        <w:tc>
          <w:tcPr>
            <w:tcW w:w="4100" w:type="dxa"/>
            <w:tcBorders/>
            <w:shd w:fill="CCEEFF" w:val="clear"/>
            <w:vAlign w:val="center"/>
          </w:tcPr>
          <w:p>
            <w:pPr>
              <w:pStyle w:val="TableContents"/>
              <w:bidi w:val="0"/>
              <w:spacing w:before="0" w:after="283"/>
              <w:jc w:val="both"/>
              <w:rPr/>
            </w:pPr>
            <w:r>
              <w:rPr/>
              <w:t>Warrants Outstanding, December 31, 2024</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67" w:type="dxa"/>
            <w:tcBorders>
              <w:bottom w:val="double" w:sz="6" w:space="0" w:color="000000"/>
            </w:tcBorders>
            <w:shd w:fill="CCEEFF" w:val="clear"/>
            <w:tcMar>
              <w:bottom w:w="28" w:type="dxa"/>
            </w:tcMar>
            <w:vAlign w:val="center"/>
          </w:tcPr>
          <w:p>
            <w:pPr>
              <w:pStyle w:val="TableContents"/>
              <w:bidi w:val="0"/>
              <w:spacing w:before="0" w:after="283"/>
              <w:jc w:val="right"/>
              <w:rPr/>
            </w:pPr>
            <w:r>
              <w:rPr/>
              <w:t>16,682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double" w:sz="6" w:space="0" w:color="000000"/>
            </w:tcBorders>
            <w:shd w:fill="CCEEFF" w:val="clear"/>
            <w:tcMar>
              <w:bottom w:w="28" w:type="dxa"/>
            </w:tcMar>
            <w:vAlign w:val="center"/>
          </w:tcPr>
          <w:p>
            <w:pPr>
              <w:pStyle w:val="TableContents"/>
              <w:bidi w:val="0"/>
              <w:spacing w:before="0" w:after="283"/>
              <w:jc w:val="right"/>
              <w:rPr/>
            </w:pPr>
            <w:r>
              <w:rPr/>
              <w:t>141,215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double" w:sz="6" w:space="0" w:color="000000"/>
            </w:tcBorders>
            <w:shd w:fill="CCEEFF" w:val="clear"/>
            <w:tcMar>
              <w:bottom w:w="28" w:type="dxa"/>
            </w:tcMar>
            <w:vAlign w:val="center"/>
          </w:tcPr>
          <w:p>
            <w:pPr>
              <w:pStyle w:val="TableContents"/>
              <w:bidi w:val="0"/>
              <w:spacing w:before="0" w:after="283"/>
              <w:jc w:val="right"/>
              <w:rPr/>
            </w:pPr>
            <w:r>
              <w:rPr/>
              <w:t>123,688</w:t>
            </w:r>
          </w:p>
        </w:tc>
        <w:tc>
          <w:tcPr>
            <w:tcW w:w="75" w:type="dxa"/>
            <w:tcBorders/>
            <w:shd w:fill="CCEEFF" w:val="clear"/>
            <w:vAlign w:val="center"/>
          </w:tcPr>
          <w:p>
            <w:pPr>
              <w:pStyle w:val="TableContents"/>
              <w:bidi w:val="0"/>
              <w:spacing w:before="0" w:after="283"/>
              <w:jc w:val="left"/>
              <w:rPr/>
            </w:pPr>
            <w:r>
              <w:rPr/>
              <w:t> </w:t>
            </w:r>
            <w:bookmarkStart w:id="925" w:name="xdx_437_c20240101__20241231_eus-gaap--Sh"/>
            <w:bookmarkEnd w:id="925"/>
          </w:p>
        </w:tc>
      </w:tr>
      <w:tr>
        <w:trPr/>
        <w:tc>
          <w:tcPr>
            <w:tcW w:w="4100" w:type="dxa"/>
            <w:tcBorders/>
            <w:shd w:fill="CCEEFF" w:val="clear"/>
            <w:vAlign w:val="center"/>
          </w:tcPr>
          <w:p>
            <w:pPr>
              <w:pStyle w:val="TableContents"/>
              <w:bidi w:val="0"/>
              <w:spacing w:before="0" w:after="283"/>
              <w:jc w:val="both"/>
              <w:rPr/>
            </w:pPr>
            <w:r>
              <w:rPr/>
              <w:t>Warrants Outstanding</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67" w:type="dxa"/>
            <w:tcBorders>
              <w:bottom w:val="double" w:sz="6" w:space="0" w:color="000000"/>
            </w:tcBorders>
            <w:shd w:fill="CCEEFF" w:val="clear"/>
            <w:tcMar>
              <w:bottom w:w="28" w:type="dxa"/>
            </w:tcMar>
            <w:vAlign w:val="center"/>
          </w:tcPr>
          <w:p>
            <w:pPr>
              <w:pStyle w:val="TableContents"/>
              <w:bidi w:val="0"/>
              <w:spacing w:before="0" w:after="283"/>
              <w:jc w:val="right"/>
              <w:rPr/>
            </w:pPr>
            <w:r>
              <w:rPr/>
              <w:t>16,682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double" w:sz="6" w:space="0" w:color="000000"/>
            </w:tcBorders>
            <w:shd w:fill="CCEEFF" w:val="clear"/>
            <w:tcMar>
              <w:bottom w:w="28" w:type="dxa"/>
            </w:tcMar>
            <w:vAlign w:val="center"/>
          </w:tcPr>
          <w:p>
            <w:pPr>
              <w:pStyle w:val="TableContents"/>
              <w:bidi w:val="0"/>
              <w:spacing w:before="0" w:after="283"/>
              <w:jc w:val="right"/>
              <w:rPr/>
            </w:pPr>
            <w:r>
              <w:rPr/>
              <w:t>141,215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double" w:sz="6" w:space="0" w:color="000000"/>
            </w:tcBorders>
            <w:shd w:fill="CCEEFF" w:val="clear"/>
            <w:tcMar>
              <w:bottom w:w="28" w:type="dxa"/>
            </w:tcMar>
            <w:vAlign w:val="center"/>
          </w:tcPr>
          <w:p>
            <w:pPr>
              <w:pStyle w:val="TableContents"/>
              <w:bidi w:val="0"/>
              <w:spacing w:before="0" w:after="283"/>
              <w:jc w:val="right"/>
              <w:rPr/>
            </w:pPr>
            <w:r>
              <w:rPr/>
              <w:t>123,688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26" w:name="xdx_8A8_z43xCkPGKUpg"/>
      <w:bookmarkEnd w:id="92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9 - Warrants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 forward of the aggregate fair values of the Company’s warrant liabilities for which fair value is determined by Level 2 Inputs. The only class of warrants that were determined to be Level 2 were the term loan and June offering investor warrants. Due to Black Scholes calculation being utilized on all fair value measurement of warrant liabilities as of December 31, 2024, the fair value warrant liabilities were transferred from Level 3 to Level 2. This is due to the observable inputs (such as the Company’s stock price and comparable company volatility calculations) included in the Black Scholes calculation, which makes the fair value measurement of the warrant liabilities more closely aligned with Level 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27" w:name="xdx_8B5_zFthxZFSiXha"/>
      <w:bookmarkStart w:id="928" w:name="xdx_892_eus-gaap--FairValueLiabilitiesMe"/>
      <w:bookmarkEnd w:id="927"/>
      <w:bookmarkEnd w:id="928"/>
      <w:r>
        <w:rPr>
          <w:rFonts w:ascii="Times New Roman;Times;Serif" w:hAnsi="Times New Roman;Times;Serif"/>
          <w:b w:val="false"/>
          <w:i w:val="false"/>
          <w:caps w:val="false"/>
          <w:smallCaps w:val="false"/>
          <w:sz w:val="20"/>
        </w:rPr>
        <w:t>SCHEDULE OF ROLL FORWARD OF AGGREGATE FAIR VALUES OF WARRANT LIABILITIES </w:t>
      </w:r>
    </w:p>
    <w:tbl>
      <w:tblPr>
        <w:tblW w:w="4889" w:type="dxa"/>
        <w:jc w:val="left"/>
        <w:tblInd w:w="0" w:type="dxa"/>
        <w:tblLayout w:type="fixed"/>
        <w:tblCellMar>
          <w:top w:w="0" w:type="dxa"/>
          <w:left w:w="0" w:type="dxa"/>
          <w:bottom w:w="0" w:type="dxa"/>
          <w:right w:w="0" w:type="dxa"/>
        </w:tblCellMar>
      </w:tblPr>
      <w:tblGrid>
        <w:gridCol w:w="3080"/>
        <w:gridCol w:w="60"/>
        <w:gridCol w:w="295"/>
        <w:gridCol w:w="1344"/>
        <w:gridCol w:w="11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9" w:name="xdx_4B1_us-gaap--StatementEquityComponen"/>
            <w:bookmarkEnd w:id="929"/>
          </w:p>
        </w:tc>
        <w:tc>
          <w:tcPr>
            <w:tcW w:w="1639" w:type="dxa"/>
            <w:gridSpan w:val="2"/>
            <w:tcBorders>
              <w:bottom w:val="single" w:sz="8" w:space="0" w:color="000000"/>
            </w:tcBorders>
            <w:tcMar>
              <w:bottom w:w="28" w:type="dxa"/>
            </w:tcMar>
            <w:vAlign w:val="center"/>
          </w:tcPr>
          <w:p>
            <w:pPr>
              <w:pStyle w:val="TableContents"/>
              <w:bidi w:val="0"/>
              <w:spacing w:before="0" w:after="283"/>
              <w:jc w:val="center"/>
              <w:rPr/>
            </w:pPr>
            <w:r>
              <w:rPr/>
              <w:t>Warrant Liability</w:t>
            </w:r>
          </w:p>
        </w:tc>
        <w:tc>
          <w:tcPr>
            <w:tcW w:w="110" w:type="dxa"/>
            <w:tcBorders/>
            <w:vAlign w:val="center"/>
          </w:tcPr>
          <w:p>
            <w:pPr>
              <w:pStyle w:val="TableContents"/>
              <w:bidi w:val="0"/>
              <w:spacing w:before="0" w:after="283"/>
              <w:jc w:val="left"/>
              <w:rPr/>
            </w:pPr>
            <w:r>
              <w:rPr/>
              <w:t> </w:t>
            </w:r>
            <w:bookmarkStart w:id="930" w:name="xdx_433_c20250101__20251231_eus-gaap--Fa"/>
            <w:bookmarkEnd w:id="930"/>
          </w:p>
        </w:tc>
      </w:tr>
      <w:tr>
        <w:trPr/>
        <w:tc>
          <w:tcPr>
            <w:tcW w:w="3080" w:type="dxa"/>
            <w:tcBorders/>
            <w:shd w:fill="CCEEFF" w:val="clear"/>
            <w:vAlign w:val="center"/>
          </w:tcPr>
          <w:p>
            <w:pPr>
              <w:pStyle w:val="TableContents"/>
              <w:bidi w:val="0"/>
              <w:spacing w:before="0" w:after="283"/>
              <w:jc w:val="both"/>
              <w:rPr/>
            </w:pPr>
            <w:r>
              <w:rPr/>
              <w:t>Balances, January 1, 2025</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344" w:type="dxa"/>
            <w:tcBorders/>
            <w:shd w:fill="CCEEFF" w:val="clear"/>
            <w:vAlign w:val="center"/>
          </w:tcPr>
          <w:p>
            <w:pPr>
              <w:pStyle w:val="TableContents"/>
              <w:bidi w:val="0"/>
              <w:spacing w:before="0" w:after="283"/>
              <w:jc w:val="right"/>
              <w:rPr/>
            </w:pPr>
            <w:r>
              <w:rPr/>
              <w:t>5,133</w:t>
            </w:r>
          </w:p>
        </w:tc>
        <w:tc>
          <w:tcPr>
            <w:tcW w:w="110" w:type="dxa"/>
            <w:tcBorders/>
            <w:shd w:fill="CCEEFF" w:val="clear"/>
            <w:vAlign w:val="center"/>
          </w:tcPr>
          <w:p>
            <w:pPr>
              <w:pStyle w:val="TableContents"/>
              <w:bidi w:val="0"/>
              <w:spacing w:before="0" w:after="283"/>
              <w:jc w:val="left"/>
              <w:rPr/>
            </w:pPr>
            <w:r>
              <w:rPr/>
              <w:t> </w:t>
            </w:r>
            <w:bookmarkStart w:id="931" w:name="xdx_400_eus-gaap--FairValueMeasurementWi"/>
            <w:bookmarkEnd w:id="931"/>
          </w:p>
        </w:tc>
      </w:tr>
      <w:tr>
        <w:trPr/>
        <w:tc>
          <w:tcPr>
            <w:tcW w:w="3080" w:type="dxa"/>
            <w:tcBorders/>
            <w:shd w:fill="FFFFFF" w:val="clear"/>
            <w:vAlign w:val="center"/>
          </w:tcPr>
          <w:p>
            <w:pPr>
              <w:pStyle w:val="TableContents"/>
              <w:bidi w:val="0"/>
              <w:spacing w:before="0" w:after="283"/>
              <w:jc w:val="both"/>
              <w:rPr/>
            </w:pPr>
            <w:r>
              <w:rPr/>
              <w:t>Issuance of warrants</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pPr>
            <w:r>
              <w:rPr/>
              <w:t>697</w:t>
            </w:r>
          </w:p>
        </w:tc>
        <w:tc>
          <w:tcPr>
            <w:tcW w:w="110" w:type="dxa"/>
            <w:tcBorders/>
            <w:shd w:fill="FFFFFF" w:val="clear"/>
            <w:vAlign w:val="center"/>
          </w:tcPr>
          <w:p>
            <w:pPr>
              <w:pStyle w:val="TableContents"/>
              <w:bidi w:val="0"/>
              <w:spacing w:before="0" w:after="283"/>
              <w:jc w:val="left"/>
              <w:rPr/>
            </w:pPr>
            <w:r>
              <w:rPr/>
              <w:t> </w:t>
            </w:r>
            <w:bookmarkStart w:id="932" w:name="xdx_404_ecustom--FairValueMeasurementWit"/>
            <w:bookmarkEnd w:id="932"/>
          </w:p>
        </w:tc>
      </w:tr>
      <w:tr>
        <w:trPr/>
        <w:tc>
          <w:tcPr>
            <w:tcW w:w="3080" w:type="dxa"/>
            <w:tcBorders/>
            <w:shd w:fill="CCEEFF" w:val="clear"/>
            <w:vAlign w:val="center"/>
          </w:tcPr>
          <w:p>
            <w:pPr>
              <w:pStyle w:val="TableContents"/>
              <w:bidi w:val="0"/>
              <w:spacing w:before="0" w:after="283"/>
              <w:jc w:val="both"/>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933" w:name="xdx_405_eus-gaap--FairValueMeasurementWi"/>
            <w:bookmarkEnd w:id="933"/>
          </w:p>
        </w:tc>
      </w:tr>
      <w:tr>
        <w:trPr/>
        <w:tc>
          <w:tcPr>
            <w:tcW w:w="3080" w:type="dxa"/>
            <w:tcBorders/>
            <w:shd w:fill="FFFFFF" w:val="clear"/>
            <w:vAlign w:val="center"/>
          </w:tcPr>
          <w:p>
            <w:pPr>
              <w:pStyle w:val="TableContents"/>
              <w:bidi w:val="0"/>
              <w:spacing w:before="0" w:after="283"/>
              <w:jc w:val="both"/>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4" w:type="dxa"/>
            <w:tcBorders>
              <w:bottom w:val="single" w:sz="8" w:space="0" w:color="000000"/>
            </w:tcBorders>
            <w:shd w:fill="FFFFFF" w:val="clear"/>
            <w:tcMar>
              <w:bottom w:w="28" w:type="dxa"/>
            </w:tcMar>
            <w:vAlign w:val="center"/>
          </w:tcPr>
          <w:p>
            <w:pPr>
              <w:pStyle w:val="TableContents"/>
              <w:bidi w:val="0"/>
              <w:spacing w:before="0" w:after="283"/>
              <w:jc w:val="right"/>
              <w:rPr/>
            </w:pPr>
            <w:r>
              <w:rPr/>
              <w:t>(5,117</w:t>
            </w:r>
          </w:p>
        </w:tc>
        <w:tc>
          <w:tcPr>
            <w:tcW w:w="110" w:type="dxa"/>
            <w:tcBorders/>
            <w:shd w:fill="FFFFFF" w:val="clear"/>
            <w:vAlign w:val="center"/>
          </w:tcPr>
          <w:p>
            <w:pPr>
              <w:pStyle w:val="TableContents"/>
              <w:bidi w:val="0"/>
              <w:spacing w:before="0" w:after="283"/>
              <w:jc w:val="left"/>
              <w:rPr/>
            </w:pPr>
            <w:r>
              <w:rPr/>
              <w:t>)</w:t>
            </w:r>
            <w:bookmarkStart w:id="934" w:name="xdx_436_c20250101__20251231_eus-gaap--Fa"/>
            <w:bookmarkEnd w:id="934"/>
          </w:p>
        </w:tc>
      </w:tr>
      <w:tr>
        <w:trPr/>
        <w:tc>
          <w:tcPr>
            <w:tcW w:w="3080" w:type="dxa"/>
            <w:tcBorders/>
            <w:shd w:fill="CCEEFF" w:val="clear"/>
            <w:vAlign w:val="center"/>
          </w:tcPr>
          <w:p>
            <w:pPr>
              <w:pStyle w:val="TableContents"/>
              <w:bidi w:val="0"/>
              <w:spacing w:before="0" w:after="283"/>
              <w:jc w:val="both"/>
              <w:rPr/>
            </w:pPr>
            <w:r>
              <w:rPr/>
              <w:t>Balances, December 31, 2025</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344" w:type="dxa"/>
            <w:tcBorders>
              <w:bottom w:val="single" w:sz="8" w:space="0" w:color="000000"/>
            </w:tcBorders>
            <w:shd w:fill="CCEEFF" w:val="clear"/>
            <w:tcMar>
              <w:bottom w:w="28" w:type="dxa"/>
            </w:tcMar>
            <w:vAlign w:val="center"/>
          </w:tcPr>
          <w:p>
            <w:pPr>
              <w:pStyle w:val="TableContents"/>
              <w:bidi w:val="0"/>
              <w:spacing w:before="0" w:after="283"/>
              <w:jc w:val="right"/>
              <w:rPr/>
            </w:pPr>
            <w:r>
              <w:rPr/>
              <w:t>713</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35" w:name="xdx_43D_c20240101__20241231_eus-gaap--Fa"/>
            <w:bookmarkEnd w:id="935"/>
          </w:p>
        </w:tc>
      </w:tr>
      <w:tr>
        <w:trPr/>
        <w:tc>
          <w:tcPr>
            <w:tcW w:w="3080" w:type="dxa"/>
            <w:tcBorders/>
            <w:shd w:fill="CCEEFF" w:val="clear"/>
            <w:vAlign w:val="center"/>
          </w:tcPr>
          <w:p>
            <w:pPr>
              <w:pStyle w:val="TableContents"/>
              <w:bidi w:val="0"/>
              <w:spacing w:before="0" w:after="283"/>
              <w:jc w:val="both"/>
              <w:rPr/>
            </w:pPr>
            <w:r>
              <w:rPr/>
              <w:t>Balances, January 1, 2024</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344" w:type="dxa"/>
            <w:tcBorders/>
            <w:shd w:fill="CCEEFF" w:val="clear"/>
            <w:vAlign w:val="center"/>
          </w:tcPr>
          <w:p>
            <w:pPr>
              <w:pStyle w:val="TableContents"/>
              <w:bidi w:val="0"/>
              <w:spacing w:before="0" w:after="283"/>
              <w:jc w:val="right"/>
              <w:rPr/>
            </w:pPr>
            <w:r>
              <w:rPr/>
              <w:t>4,448</w:t>
            </w:r>
          </w:p>
        </w:tc>
        <w:tc>
          <w:tcPr>
            <w:tcW w:w="110" w:type="dxa"/>
            <w:tcBorders/>
            <w:shd w:fill="CCEEFF" w:val="clear"/>
            <w:vAlign w:val="center"/>
          </w:tcPr>
          <w:p>
            <w:pPr>
              <w:pStyle w:val="TableContents"/>
              <w:bidi w:val="0"/>
              <w:spacing w:before="0" w:after="283"/>
              <w:jc w:val="left"/>
              <w:rPr/>
            </w:pPr>
            <w:r>
              <w:rPr/>
              <w:t> </w:t>
            </w:r>
            <w:bookmarkStart w:id="936" w:name="xdx_43D_c20240101__20241231_eus-gaap--Fa"/>
            <w:bookmarkEnd w:id="936"/>
          </w:p>
        </w:tc>
      </w:tr>
      <w:tr>
        <w:trPr/>
        <w:tc>
          <w:tcPr>
            <w:tcW w:w="3080" w:type="dxa"/>
            <w:tcBorders/>
            <w:shd w:fill="CCEEFF" w:val="clear"/>
            <w:vAlign w:val="center"/>
          </w:tcPr>
          <w:p>
            <w:pPr>
              <w:pStyle w:val="TableContents"/>
              <w:bidi w:val="0"/>
              <w:spacing w:before="0" w:after="283"/>
              <w:jc w:val="both"/>
              <w:rPr/>
            </w:pPr>
            <w:r>
              <w:rPr/>
              <w:t>Warrant Liability, Balances</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344" w:type="dxa"/>
            <w:tcBorders/>
            <w:shd w:fill="CCEEFF" w:val="clear"/>
            <w:vAlign w:val="center"/>
          </w:tcPr>
          <w:p>
            <w:pPr>
              <w:pStyle w:val="TableContents"/>
              <w:bidi w:val="0"/>
              <w:spacing w:before="0" w:after="283"/>
              <w:jc w:val="right"/>
              <w:rPr/>
            </w:pPr>
            <w:r>
              <w:rPr/>
              <w:t>4,448</w:t>
            </w:r>
          </w:p>
        </w:tc>
        <w:tc>
          <w:tcPr>
            <w:tcW w:w="110" w:type="dxa"/>
            <w:tcBorders/>
            <w:shd w:fill="CCEEFF" w:val="clear"/>
            <w:vAlign w:val="center"/>
          </w:tcPr>
          <w:p>
            <w:pPr>
              <w:pStyle w:val="TableContents"/>
              <w:bidi w:val="0"/>
              <w:spacing w:before="0" w:after="283"/>
              <w:jc w:val="left"/>
              <w:rPr/>
            </w:pPr>
            <w:r>
              <w:rPr/>
              <w:t> </w:t>
            </w:r>
            <w:bookmarkStart w:id="937" w:name="xdx_40C_eus-gaap--FairValueMeasurementWi"/>
            <w:bookmarkEnd w:id="937"/>
          </w:p>
        </w:tc>
      </w:tr>
      <w:tr>
        <w:trPr/>
        <w:tc>
          <w:tcPr>
            <w:tcW w:w="3080" w:type="dxa"/>
            <w:tcBorders/>
            <w:shd w:fill="FFFFFF" w:val="clear"/>
            <w:vAlign w:val="center"/>
          </w:tcPr>
          <w:p>
            <w:pPr>
              <w:pStyle w:val="TableContents"/>
              <w:bidi w:val="0"/>
              <w:spacing w:before="0" w:after="283"/>
              <w:jc w:val="both"/>
              <w:rPr/>
            </w:pPr>
            <w:r>
              <w:rPr/>
              <w:t>Issuance of warrants</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pPr>
            <w:r>
              <w:rPr/>
              <w:t>7,354</w:t>
            </w:r>
          </w:p>
        </w:tc>
        <w:tc>
          <w:tcPr>
            <w:tcW w:w="110" w:type="dxa"/>
            <w:tcBorders/>
            <w:shd w:fill="FFFFFF" w:val="clear"/>
            <w:vAlign w:val="center"/>
          </w:tcPr>
          <w:p>
            <w:pPr>
              <w:pStyle w:val="TableContents"/>
              <w:bidi w:val="0"/>
              <w:spacing w:before="0" w:after="283"/>
              <w:jc w:val="left"/>
              <w:rPr/>
            </w:pPr>
            <w:r>
              <w:rPr/>
              <w:t> </w:t>
            </w:r>
            <w:bookmarkStart w:id="938" w:name="xdx_401_ecustom--FairValueMeasurementWit"/>
            <w:bookmarkEnd w:id="938"/>
          </w:p>
        </w:tc>
      </w:tr>
      <w:tr>
        <w:trPr/>
        <w:tc>
          <w:tcPr>
            <w:tcW w:w="3080" w:type="dxa"/>
            <w:tcBorders/>
            <w:shd w:fill="CCEEFF" w:val="clear"/>
            <w:vAlign w:val="center"/>
          </w:tcPr>
          <w:p>
            <w:pPr>
              <w:pStyle w:val="TableContents"/>
              <w:bidi w:val="0"/>
              <w:spacing w:before="0" w:after="283"/>
              <w:jc w:val="both"/>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939" w:name="xdx_40B_eus-gaap--FairValueMeasurementWi"/>
            <w:bookmarkEnd w:id="939"/>
          </w:p>
        </w:tc>
      </w:tr>
      <w:tr>
        <w:trPr/>
        <w:tc>
          <w:tcPr>
            <w:tcW w:w="3080" w:type="dxa"/>
            <w:tcBorders/>
            <w:shd w:fill="FFFFFF" w:val="clear"/>
            <w:vAlign w:val="center"/>
          </w:tcPr>
          <w:p>
            <w:pPr>
              <w:pStyle w:val="TableContents"/>
              <w:bidi w:val="0"/>
              <w:spacing w:before="0" w:after="283"/>
              <w:jc w:val="both"/>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4" w:type="dxa"/>
            <w:tcBorders>
              <w:bottom w:val="single" w:sz="8" w:space="0" w:color="000000"/>
            </w:tcBorders>
            <w:shd w:fill="FFFFFF" w:val="clear"/>
            <w:tcMar>
              <w:bottom w:w="28" w:type="dxa"/>
            </w:tcMar>
            <w:vAlign w:val="center"/>
          </w:tcPr>
          <w:p>
            <w:pPr>
              <w:pStyle w:val="TableContents"/>
              <w:bidi w:val="0"/>
              <w:spacing w:before="0" w:after="283"/>
              <w:jc w:val="right"/>
              <w:rPr/>
            </w:pPr>
            <w:r>
              <w:rPr/>
              <w:t>(6,669</w:t>
            </w:r>
          </w:p>
        </w:tc>
        <w:tc>
          <w:tcPr>
            <w:tcW w:w="110" w:type="dxa"/>
            <w:tcBorders/>
            <w:shd w:fill="FFFFFF" w:val="clear"/>
            <w:vAlign w:val="center"/>
          </w:tcPr>
          <w:p>
            <w:pPr>
              <w:pStyle w:val="TableContents"/>
              <w:bidi w:val="0"/>
              <w:spacing w:before="0" w:after="283"/>
              <w:jc w:val="left"/>
              <w:rPr/>
            </w:pPr>
            <w:r>
              <w:rPr/>
              <w:t>)</w:t>
            </w:r>
            <w:bookmarkStart w:id="940" w:name="xdx_43E_c20240101__20241231_eus-gaap--Fa"/>
            <w:bookmarkEnd w:id="940"/>
          </w:p>
        </w:tc>
      </w:tr>
      <w:tr>
        <w:trPr/>
        <w:tc>
          <w:tcPr>
            <w:tcW w:w="3080" w:type="dxa"/>
            <w:tcBorders/>
            <w:shd w:fill="CCEEFF" w:val="clear"/>
            <w:vAlign w:val="center"/>
          </w:tcPr>
          <w:p>
            <w:pPr>
              <w:pStyle w:val="TableContents"/>
              <w:bidi w:val="0"/>
              <w:spacing w:before="0" w:after="283"/>
              <w:jc w:val="both"/>
              <w:rPr/>
            </w:pPr>
            <w:r>
              <w:rPr/>
              <w:t>Balances, December 31, 2024</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4" w:type="dxa"/>
            <w:tcBorders>
              <w:bottom w:val="double" w:sz="6" w:space="0" w:color="000000"/>
            </w:tcBorders>
            <w:shd w:fill="CCEEFF" w:val="clear"/>
            <w:tcMar>
              <w:bottom w:w="28" w:type="dxa"/>
            </w:tcMar>
            <w:vAlign w:val="center"/>
          </w:tcPr>
          <w:p>
            <w:pPr>
              <w:pStyle w:val="TableContents"/>
              <w:bidi w:val="0"/>
              <w:spacing w:before="0" w:after="283"/>
              <w:jc w:val="right"/>
              <w:rPr/>
            </w:pPr>
            <w:r>
              <w:rPr/>
              <w:t>5,133</w:t>
            </w:r>
          </w:p>
        </w:tc>
        <w:tc>
          <w:tcPr>
            <w:tcW w:w="110" w:type="dxa"/>
            <w:tcBorders/>
            <w:shd w:fill="CCEEFF" w:val="clear"/>
            <w:vAlign w:val="center"/>
          </w:tcPr>
          <w:p>
            <w:pPr>
              <w:pStyle w:val="TableContents"/>
              <w:bidi w:val="0"/>
              <w:spacing w:before="0" w:after="283"/>
              <w:jc w:val="left"/>
              <w:rPr/>
            </w:pPr>
            <w:r>
              <w:rPr/>
              <w:t> </w:t>
            </w:r>
            <w:bookmarkStart w:id="941" w:name="xdx_43B_c20240101__20241231_eus-gaap--Fa"/>
            <w:bookmarkEnd w:id="941"/>
          </w:p>
        </w:tc>
      </w:tr>
      <w:tr>
        <w:trPr/>
        <w:tc>
          <w:tcPr>
            <w:tcW w:w="3080" w:type="dxa"/>
            <w:tcBorders/>
            <w:shd w:fill="CCEEFF" w:val="clear"/>
            <w:vAlign w:val="center"/>
          </w:tcPr>
          <w:p>
            <w:pPr>
              <w:pStyle w:val="TableContents"/>
              <w:bidi w:val="0"/>
              <w:spacing w:before="0" w:after="283"/>
              <w:jc w:val="both"/>
              <w:rPr/>
            </w:pPr>
            <w:r>
              <w:rPr/>
              <w:t>Warrant Liability, Balance</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4" w:type="dxa"/>
            <w:tcBorders>
              <w:bottom w:val="double" w:sz="6" w:space="0" w:color="000000"/>
            </w:tcBorders>
            <w:shd w:fill="CCEEFF" w:val="clear"/>
            <w:tcMar>
              <w:bottom w:w="28" w:type="dxa"/>
            </w:tcMar>
            <w:vAlign w:val="center"/>
          </w:tcPr>
          <w:p>
            <w:pPr>
              <w:pStyle w:val="TableContents"/>
              <w:bidi w:val="0"/>
              <w:spacing w:before="0" w:after="283"/>
              <w:jc w:val="right"/>
              <w:rPr/>
            </w:pPr>
            <w:r>
              <w:rPr/>
              <w:t>5,133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42" w:name="xdx_8A9_zPUThnxdhasi"/>
      <w:bookmarkEnd w:id="94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Convertible Preferred Warrants classified as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2025, in connection with a private placement offering of Series A Convertible Preferred Stock (see </w:t>
      </w:r>
      <w:r>
        <w:rPr>
          <w:rFonts w:ascii="Times New Roman;Times;Serif" w:hAnsi="Times New Roman;Times;Serif"/>
          <w:b/>
          <w:i w:val="false"/>
          <w:caps w:val="false"/>
          <w:smallCaps w:val="false"/>
          <w:sz w:val="20"/>
        </w:rPr>
        <w:t>Note 10</w:t>
      </w:r>
      <w:r>
        <w:rPr>
          <w:rFonts w:ascii="Times New Roman;Times;Serif" w:hAnsi="Times New Roman;Times;Serif"/>
          <w:b w:val="false"/>
          <w:i w:val="false"/>
          <w:caps w:val="false"/>
          <w:smallCaps w:val="false"/>
          <w:sz w:val="20"/>
        </w:rPr>
        <w:t xml:space="preserve">), the Company issued </w:t>
      </w:r>
      <w:bookmarkStart w:id="943" w:name="xdx_901_eus-gaap--SharesIssued_iI_c20250"/>
      <w:bookmarkEnd w:id="943"/>
      <w:r>
        <w:rPr>
          <w:rFonts w:ascii="Times New Roman;Times;Serif" w:hAnsi="Times New Roman;Times;Serif"/>
          <w:b w:val="false"/>
          <w:i w:val="false"/>
          <w:caps w:val="false"/>
          <w:smallCaps w:val="false"/>
          <w:sz w:val="20"/>
        </w:rPr>
        <w:t xml:space="preserve">20 Private Placement Warrants. Each warrant entitles the holder to purchase up to </w:t>
      </w:r>
      <w:bookmarkStart w:id="944" w:name="xdx_902_eus-gaap--ClassOfWarrantOrRightN"/>
      <w:bookmarkEnd w:id="944"/>
      <w:r>
        <w:rPr>
          <w:rFonts w:ascii="Times New Roman;Times;Serif" w:hAnsi="Times New Roman;Times;Serif"/>
          <w:b w:val="false"/>
          <w:i w:val="false"/>
          <w:caps w:val="false"/>
          <w:smallCaps w:val="false"/>
          <w:sz w:val="20"/>
        </w:rPr>
        <w:t>200 shares of Series A Preferred Stock at an exercise price of $</w:t>
      </w:r>
      <w:bookmarkStart w:id="945" w:name="xdx_908_eus-gaap--ClassOfWarrantOrRightE"/>
      <w:bookmarkEnd w:id="945"/>
      <w:r>
        <w:rPr>
          <w:rFonts w:ascii="Times New Roman;Times;Serif" w:hAnsi="Times New Roman;Times;Serif"/>
          <w:b w:val="false"/>
          <w:i w:val="false"/>
          <w:caps w:val="false"/>
          <w:smallCaps w:val="false"/>
          <w:sz w:val="20"/>
        </w:rPr>
        <w:t>10,000 per share. The warrants are exercisable immediately and expire five years from the date of issuance. The number of underlying shares and the exercise price are subject to adjustment in the event of stock splits, combinations, dividends, reclassifications, or other similar events. Upon exercise of the warrants, the Series A Preferred Stock is convertible into common stock at a conversion price that is subject to a floor of $</w:t>
      </w:r>
      <w:bookmarkStart w:id="946" w:name="xdx_900_eus-gaap--PreferredStockConverti"/>
      <w:bookmarkEnd w:id="946"/>
      <w:r>
        <w:rPr>
          <w:rFonts w:ascii="Times New Roman;Times;Serif" w:hAnsi="Times New Roman;Times;Serif"/>
          <w:b w:val="false"/>
          <w:i w:val="false"/>
          <w:caps w:val="false"/>
          <w:smallCaps w:val="false"/>
          <w:sz w:val="20"/>
        </w:rPr>
        <w:t>0.424 per share, pursuant to the terms set forth in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Private Placement Convertible Preferred Warrants issued in connection with the initial offering in accordance with the guidance contained in ASC 815-40. Such guidance provides that because the Private Placement Convertible Preferred Warrants do not meet the criteria for equity treatment thereunder, each Private Placement Convertible Preferred Warrant must be recorded as a derivative liability with the initial fair value of approximately $</w:t>
      </w:r>
      <w:bookmarkStart w:id="947" w:name="xdx_90E_eus-gaap--DerivativeLiabilities_"/>
      <w:bookmarkEnd w:id="947"/>
      <w:r>
        <w:rPr>
          <w:rFonts w:ascii="Times New Roman;Times;Serif" w:hAnsi="Times New Roman;Times;Serif"/>
          <w:b w:val="false"/>
          <w:i w:val="false"/>
          <w:caps w:val="false"/>
          <w:smallCaps w:val="false"/>
          <w:sz w:val="20"/>
        </w:rPr>
        <w:t xml:space="preserve">120. This liability is subject to re-measurement at each balance sheet date, with changes recorded in the consolidated statement of operations and comprehensive loss. However, the Company has deemed the fair value at inception as immaterial for initial recognition of the liability and will continue to monitor the change in fair value for subsequent periods. On June 23, 2025, the Company and the holder of the Company’s Series A Convertible Preferred Stock agreed to cancel such holder’s warrants to purchase up to an aggregate of </w:t>
      </w:r>
      <w:bookmarkStart w:id="948" w:name="xdx_900_eus-gaap--ClassOfWarrantOrRightN"/>
      <w:bookmarkEnd w:id="948"/>
      <w:r>
        <w:rPr>
          <w:rFonts w:ascii="Times New Roman;Times;Serif" w:hAnsi="Times New Roman;Times;Serif"/>
          <w:b w:val="false"/>
          <w:i w:val="false"/>
          <w:caps w:val="false"/>
          <w:smallCaps w:val="false"/>
          <w:sz w:val="20"/>
        </w:rPr>
        <w:t>4,000 shares of Series A Preferred Stock, with an exercise price of $</w:t>
      </w:r>
      <w:bookmarkStart w:id="949" w:name="xdx_904_eus-gaap--ClassOfWarrantOrRightE"/>
      <w:bookmarkEnd w:id="949"/>
      <w:r>
        <w:rPr>
          <w:rFonts w:ascii="Times New Roman;Times;Serif" w:hAnsi="Times New Roman;Times;Serif"/>
          <w:b w:val="false"/>
          <w:i w:val="false"/>
          <w:caps w:val="false"/>
          <w:smallCaps w:val="false"/>
          <w:sz w:val="20"/>
        </w:rPr>
        <w:t>10,000 per share of Series A Preferred Stock. As a result, the Warrants are no longer outstanding. Please see Note 10 for more information as related to the aforementioned initial closing of the Private Placement.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9 - Warrants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50" w:name="xdx_89F_ecustom--ScheduleOfPrivatePlacem"/>
      <w:bookmarkEnd w:id="950"/>
      <w:r>
        <w:rPr>
          <w:rFonts w:ascii="Times New Roman;Times;Serif" w:hAnsi="Times New Roman;Times;Serif"/>
          <w:b w:val="false"/>
          <w:i w:val="false"/>
          <w:caps w:val="false"/>
          <w:smallCaps w:val="false"/>
          <w:sz w:val="20"/>
        </w:rPr>
        <w:t>The following table presents a roll-forward of the Company’s Private Placement Convertible Preferred Warrants from January 1, 2025 to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951" w:name="xdx_8B6_zhiG0OchAAOl"/>
      <w:bookmarkEnd w:id="951"/>
      <w:r>
        <w:rPr>
          <w:rFonts w:ascii="Times New Roman;Times;Serif" w:hAnsi="Times New Roman;Times;Serif"/>
          <w:b w:val="false"/>
          <w:i w:val="false"/>
          <w:caps w:val="false"/>
          <w:smallCaps w:val="false"/>
          <w:sz w:val="20"/>
        </w:rPr>
        <w:t>SCHEDULE OF ROLL FORWARD OF PRIVATE PLACEMENT CONVERTIBLE PREFERRED WARRANTS</w:t>
      </w:r>
    </w:p>
    <w:tbl>
      <w:tblPr>
        <w:tblW w:w="10205" w:type="dxa"/>
        <w:jc w:val="left"/>
        <w:tblInd w:w="0" w:type="dxa"/>
        <w:tblLayout w:type="fixed"/>
        <w:tblCellMar>
          <w:top w:w="0" w:type="dxa"/>
          <w:left w:w="0" w:type="dxa"/>
          <w:bottom w:w="0" w:type="dxa"/>
          <w:right w:w="0" w:type="dxa"/>
        </w:tblCellMar>
      </w:tblPr>
      <w:tblGrid>
        <w:gridCol w:w="2851"/>
        <w:gridCol w:w="60"/>
        <w:gridCol w:w="224"/>
        <w:gridCol w:w="1265"/>
        <w:gridCol w:w="95"/>
        <w:gridCol w:w="60"/>
        <w:gridCol w:w="215"/>
        <w:gridCol w:w="2308"/>
        <w:gridCol w:w="95"/>
        <w:gridCol w:w="60"/>
        <w:gridCol w:w="153"/>
        <w:gridCol w:w="2705"/>
        <w:gridCol w:w="114"/>
      </w:tblGrid>
      <w:tr>
        <w:trPr/>
        <w:tc>
          <w:tcPr>
            <w:tcW w:w="28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52" w:name="xdx_4B1_us-gaap--ClassOfWarrantOrRightAx"/>
            <w:bookmarkEnd w:id="952"/>
          </w:p>
        </w:tc>
        <w:tc>
          <w:tcPr>
            <w:tcW w:w="1489" w:type="dxa"/>
            <w:gridSpan w:val="2"/>
            <w:tcBorders>
              <w:bottom w:val="single" w:sz="8" w:space="0" w:color="000000"/>
            </w:tcBorders>
            <w:tcMar>
              <w:bottom w:w="28" w:type="dxa"/>
            </w:tcMar>
            <w:vAlign w:val="center"/>
          </w:tcPr>
          <w:p>
            <w:pPr>
              <w:pStyle w:val="TableContents"/>
              <w:bidi w:val="0"/>
              <w:spacing w:before="0" w:after="283"/>
              <w:jc w:val="left"/>
              <w:rPr/>
            </w:pPr>
            <w:r>
              <w:rPr/>
              <w:t>Number of 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53" w:name="xdx_4BB_us-gaap--ClassOfWarrantOrRightAx"/>
            <w:bookmarkEnd w:id="953"/>
          </w:p>
        </w:tc>
        <w:tc>
          <w:tcPr>
            <w:tcW w:w="2523" w:type="dxa"/>
            <w:gridSpan w:val="2"/>
            <w:tcBorders>
              <w:bottom w:val="single" w:sz="8" w:space="0" w:color="000000"/>
            </w:tcBorders>
            <w:tcMar>
              <w:bottom w:w="28" w:type="dxa"/>
            </w:tcMar>
            <w:vAlign w:val="center"/>
          </w:tcPr>
          <w:p>
            <w:pPr>
              <w:pStyle w:val="TableContents"/>
              <w:bidi w:val="0"/>
              <w:spacing w:before="0" w:after="283"/>
              <w:jc w:val="left"/>
              <w:rPr/>
            </w:pPr>
            <w:r>
              <w:rPr/>
              <w:t>Preferred Shares Underlying 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54" w:name="xdx_4BB_us-gaap--ClassOfWarrantOrRightAx"/>
            <w:bookmarkEnd w:id="954"/>
          </w:p>
        </w:tc>
        <w:tc>
          <w:tcPr>
            <w:tcW w:w="2858" w:type="dxa"/>
            <w:gridSpan w:val="2"/>
            <w:tcBorders>
              <w:bottom w:val="single" w:sz="8" w:space="0" w:color="000000"/>
            </w:tcBorders>
            <w:tcMar>
              <w:bottom w:w="28" w:type="dxa"/>
            </w:tcMar>
            <w:vAlign w:val="center"/>
          </w:tcPr>
          <w:p>
            <w:pPr>
              <w:pStyle w:val="TableContents"/>
              <w:bidi w:val="0"/>
              <w:spacing w:before="0" w:after="283"/>
              <w:jc w:val="left"/>
              <w:rPr/>
            </w:pPr>
            <w:r>
              <w:rPr/>
              <w:t>Common Shares Underlying (at $1.00 floor)</w:t>
            </w:r>
          </w:p>
        </w:tc>
        <w:tc>
          <w:tcPr>
            <w:tcW w:w="114" w:type="dxa"/>
            <w:tcBorders/>
            <w:vAlign w:val="center"/>
          </w:tcPr>
          <w:p>
            <w:pPr>
              <w:pStyle w:val="TableContents"/>
              <w:bidi w:val="0"/>
              <w:spacing w:before="0" w:after="283"/>
              <w:jc w:val="left"/>
              <w:rPr/>
            </w:pPr>
            <w:r>
              <w:rPr/>
              <w:t> </w:t>
            </w:r>
            <w:bookmarkStart w:id="955" w:name="xdx_434_c20250101__20251231_eus-gaap--Sh"/>
            <w:bookmarkEnd w:id="955"/>
          </w:p>
        </w:tc>
      </w:tr>
      <w:tr>
        <w:trPr/>
        <w:tc>
          <w:tcPr>
            <w:tcW w:w="2851" w:type="dxa"/>
            <w:tcBorders/>
            <w:shd w:fill="CCEEFF" w:val="clear"/>
            <w:vAlign w:val="center"/>
          </w:tcPr>
          <w:p>
            <w:pPr>
              <w:pStyle w:val="TableContents"/>
              <w:bidi w:val="0"/>
              <w:spacing w:before="0" w:after="283"/>
              <w:jc w:val="both"/>
              <w:rPr/>
            </w:pPr>
            <w:r>
              <w:rPr/>
              <w:t>Warrants Outstanding, January 1, 2025</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230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70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956" w:name="xdx_43B_c20250101__20251231_eus-gaap--Sh"/>
            <w:bookmarkEnd w:id="956"/>
          </w:p>
        </w:tc>
      </w:tr>
      <w:tr>
        <w:trPr/>
        <w:tc>
          <w:tcPr>
            <w:tcW w:w="2851"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 Outstanding, Beginning balance</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230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70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957" w:name="xdx_403_eus-gaap--ShareBasedCompensation"/>
            <w:bookmarkEnd w:id="957"/>
          </w:p>
        </w:tc>
      </w:tr>
      <w:tr>
        <w:trPr/>
        <w:tc>
          <w:tcPr>
            <w:tcW w:w="2851"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30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70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958" w:name="xdx_401_eus-gaap--ShareBasedCompensation"/>
            <w:bookmarkEnd w:id="958"/>
          </w:p>
        </w:tc>
      </w:tr>
      <w:tr>
        <w:trPr/>
        <w:tc>
          <w:tcPr>
            <w:tcW w:w="2851" w:type="dxa"/>
            <w:tcBorders/>
            <w:shd w:fill="CCEEFF" w:val="clear"/>
            <w:vAlign w:val="center"/>
          </w:tcPr>
          <w:p>
            <w:pPr>
              <w:pStyle w:val="TableContents"/>
              <w:bidi w:val="0"/>
              <w:spacing w:before="0" w:after="283"/>
              <w:jc w:val="both"/>
              <w:rPr/>
            </w:pPr>
            <w:r>
              <w:rPr/>
              <w:t>Warrants issued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2308" w:type="dxa"/>
            <w:tcBorders/>
            <w:shd w:fill="CCEEFF" w:val="clear"/>
            <w:vAlign w:val="center"/>
          </w:tcPr>
          <w:p>
            <w:pPr>
              <w:pStyle w:val="TableContents"/>
              <w:bidi w:val="0"/>
              <w:spacing w:before="0" w:after="283"/>
              <w:jc w:val="right"/>
              <w:rPr/>
            </w:pPr>
            <w:r>
              <w:rPr/>
              <w:t>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705" w:type="dxa"/>
            <w:tcBorders/>
            <w:shd w:fill="CCEEFF" w:val="clear"/>
            <w:vAlign w:val="center"/>
          </w:tcPr>
          <w:p>
            <w:pPr>
              <w:pStyle w:val="TableContents"/>
              <w:bidi w:val="0"/>
              <w:spacing w:before="0" w:after="283"/>
              <w:jc w:val="right"/>
              <w:rPr/>
            </w:pPr>
            <w:r>
              <w:rPr/>
              <w:t>4,800,000</w:t>
            </w:r>
          </w:p>
        </w:tc>
        <w:tc>
          <w:tcPr>
            <w:tcW w:w="114" w:type="dxa"/>
            <w:tcBorders/>
            <w:shd w:fill="CCEEFF" w:val="clear"/>
            <w:vAlign w:val="center"/>
          </w:tcPr>
          <w:p>
            <w:pPr>
              <w:pStyle w:val="TableContents"/>
              <w:bidi w:val="0"/>
              <w:spacing w:before="0" w:after="283"/>
              <w:jc w:val="left"/>
              <w:rPr/>
            </w:pPr>
            <w:r>
              <w:rPr/>
              <w:t> </w:t>
            </w:r>
            <w:bookmarkStart w:id="959" w:name="xdx_404_eus-gaap--ShareBasedCompensation"/>
            <w:bookmarkEnd w:id="959"/>
          </w:p>
        </w:tc>
      </w:tr>
      <w:tr>
        <w:trPr/>
        <w:tc>
          <w:tcPr>
            <w:tcW w:w="2851" w:type="dxa"/>
            <w:tcBorders/>
            <w:shd w:fill="FFFFFF" w:val="clear"/>
            <w:vAlign w:val="center"/>
          </w:tcPr>
          <w:p>
            <w:pPr>
              <w:pStyle w:val="TableContents"/>
              <w:bidi w:val="0"/>
              <w:spacing w:before="0" w:after="283"/>
              <w:jc w:val="both"/>
              <w:rPr/>
            </w:pPr>
            <w:r>
              <w:rPr/>
              <w:t>Cancellation of warrants</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08" w:type="dxa"/>
            <w:tcBorders>
              <w:bottom w:val="single" w:sz="8" w:space="0" w:color="000000"/>
            </w:tcBorders>
            <w:shd w:fill="FFFFFF" w:val="clear"/>
            <w:tcMar>
              <w:bottom w:w="28" w:type="dxa"/>
            </w:tcMar>
            <w:vAlign w:val="center"/>
          </w:tcPr>
          <w:p>
            <w:pPr>
              <w:pStyle w:val="TableContents"/>
              <w:bidi w:val="0"/>
              <w:spacing w:before="0" w:after="283"/>
              <w:jc w:val="right"/>
              <w:rPr/>
            </w:pPr>
            <w:r>
              <w:rPr/>
              <w:t>(4,000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705" w:type="dxa"/>
            <w:tcBorders>
              <w:bottom w:val="single" w:sz="8" w:space="0" w:color="000000"/>
            </w:tcBorders>
            <w:shd w:fill="FFFFFF" w:val="clear"/>
            <w:tcMar>
              <w:bottom w:w="28" w:type="dxa"/>
            </w:tcMar>
            <w:vAlign w:val="center"/>
          </w:tcPr>
          <w:p>
            <w:pPr>
              <w:pStyle w:val="TableContents"/>
              <w:bidi w:val="0"/>
              <w:spacing w:before="0" w:after="283"/>
              <w:jc w:val="right"/>
              <w:rPr/>
            </w:pPr>
            <w:r>
              <w:rPr/>
              <w:t>(4,800,000</w:t>
            </w:r>
          </w:p>
        </w:tc>
        <w:tc>
          <w:tcPr>
            <w:tcW w:w="114" w:type="dxa"/>
            <w:tcBorders/>
            <w:shd w:fill="FFFFFF" w:val="clear"/>
            <w:vAlign w:val="center"/>
          </w:tcPr>
          <w:p>
            <w:pPr>
              <w:pStyle w:val="TableContents"/>
              <w:bidi w:val="0"/>
              <w:spacing w:before="0" w:after="283"/>
              <w:jc w:val="left"/>
              <w:rPr/>
            </w:pPr>
            <w:r>
              <w:rPr/>
              <w:t>)</w:t>
            </w:r>
            <w:bookmarkStart w:id="960" w:name="xdx_43B_c20250101__20251231_eus-gaap--Sh"/>
            <w:bookmarkEnd w:id="960"/>
          </w:p>
        </w:tc>
      </w:tr>
      <w:tr>
        <w:trPr/>
        <w:tc>
          <w:tcPr>
            <w:tcW w:w="2851" w:type="dxa"/>
            <w:tcBorders/>
            <w:shd w:fill="CCEEFF" w:val="clear"/>
            <w:vAlign w:val="center"/>
          </w:tcPr>
          <w:p>
            <w:pPr>
              <w:pStyle w:val="TableContents"/>
              <w:bidi w:val="0"/>
              <w:spacing w:before="0" w:after="283"/>
              <w:jc w:val="both"/>
              <w:rPr/>
            </w:pPr>
            <w:r>
              <w:rPr/>
              <w:t>Warrants Outstanding, December 31, 2025</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230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70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961" w:name="xdx_430_c20250101__20251231_eus-gaap--Sh"/>
            <w:bookmarkEnd w:id="961"/>
          </w:p>
        </w:tc>
      </w:tr>
      <w:tr>
        <w:trPr/>
        <w:tc>
          <w:tcPr>
            <w:tcW w:w="2851"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 Outstanding, Ending balance</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230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70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62" w:name="xdx_8A5_z1MebTFIckW2"/>
      <w:bookmarkEnd w:id="96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3" w:name="xdx_809_eus-gaap--PreferredStockTextBloc"/>
      <w:bookmarkEnd w:id="963"/>
      <w:r>
        <w:rPr>
          <w:rFonts w:ascii="Times New Roman;Times;Serif" w:hAnsi="Times New Roman;Times;Serif"/>
          <w:b/>
          <w:i w:val="false"/>
          <w:caps w:val="false"/>
          <w:smallCaps w:val="false"/>
          <w:sz w:val="20"/>
        </w:rPr>
        <w:t xml:space="preserve">NOTE 10 – </w:t>
      </w:r>
      <w:bookmarkStart w:id="964" w:name="xdx_82C_zQGBNuogbhaj"/>
      <w:bookmarkEnd w:id="964"/>
      <w:r>
        <w:rPr>
          <w:rFonts w:ascii="Times New Roman;Times;Serif" w:hAnsi="Times New Roman;Times;Serif"/>
          <w:b/>
          <w:i w:val="false"/>
          <w:caps w:val="false"/>
          <w:smallCaps w:val="false"/>
          <w:sz w:val="20"/>
        </w:rPr>
        <w:t>REDEEMABLE PREFERRED STOCK</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2025, the Company entered into the Purchase Agreement with an institutional investor. Pursuant to the Purchase Agreement, the investor agreed to purchase in a registered direct offering (the “Registered Direct Offering”) from the Company </w:t>
      </w:r>
      <w:bookmarkStart w:id="965" w:name="xdx_90E_eus-gaap--StockIssuedDuringPerio"/>
      <w:bookmarkEnd w:id="965"/>
      <w:r>
        <w:rPr>
          <w:rFonts w:ascii="Times New Roman;Times;Serif" w:hAnsi="Times New Roman;Times;Serif"/>
          <w:b w:val="false"/>
          <w:i w:val="false"/>
          <w:caps w:val="false"/>
          <w:smallCaps w:val="false"/>
          <w:sz w:val="20"/>
        </w:rPr>
        <w:t>180 shares of Series A Preferred Stock, at a price of $</w:t>
      </w:r>
      <w:bookmarkStart w:id="966" w:name="xdx_907_eus-gaap--SaleOfStockPricePerSha"/>
      <w:bookmarkEnd w:id="966"/>
      <w:r>
        <w:rPr>
          <w:rFonts w:ascii="Times New Roman;Times;Serif" w:hAnsi="Times New Roman;Times;Serif"/>
          <w:b w:val="false"/>
          <w:i w:val="false"/>
          <w:caps w:val="false"/>
          <w:smallCaps w:val="false"/>
          <w:sz w:val="20"/>
        </w:rPr>
        <w:t>10,000 per share, initially convertible into shares of common stock of the Company, at a conversion price of $</w:t>
      </w:r>
      <w:bookmarkStart w:id="967" w:name="xdx_903_eus-gaap--PreferredStockConverti"/>
      <w:bookmarkEnd w:id="967"/>
      <w:r>
        <w:rPr>
          <w:rFonts w:ascii="Times New Roman;Times;Serif" w:hAnsi="Times New Roman;Times;Serif"/>
          <w:b w:val="false"/>
          <w:i w:val="false"/>
          <w:caps w:val="false"/>
          <w:smallCaps w:val="false"/>
          <w:sz w:val="20"/>
        </w:rPr>
        <w:t>2.332 per share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conducted an initial offering (the “Initial Closing”), which included the sale of Series A Preferred Stock through a Registered Direct Offering (the “Registered Direct Offering”) and a Private Placement pursuant to the Purchase Agreement (the “Private Placement”). In the Private Placement, the Company agreed to sell: (i) </w:t>
      </w:r>
      <w:bookmarkStart w:id="968" w:name="xdx_903_eus-gaap--StockIssuedDuringPerio"/>
      <w:bookmarkEnd w:id="968"/>
      <w:r>
        <w:rPr>
          <w:rFonts w:ascii="Times New Roman;Times;Serif" w:hAnsi="Times New Roman;Times;Serif"/>
          <w:b w:val="false"/>
          <w:i w:val="false"/>
          <w:caps w:val="false"/>
          <w:smallCaps w:val="false"/>
          <w:sz w:val="20"/>
        </w:rPr>
        <w:t>170 additional shares of Series A Preferred Stock at the same price as in the Registered Direct Offering, with a conversion price of $</w:t>
      </w:r>
      <w:bookmarkStart w:id="969" w:name="xdx_907_eus-gaap--PreferredStockConverti"/>
      <w:bookmarkEnd w:id="969"/>
      <w:r>
        <w:rPr>
          <w:rFonts w:ascii="Times New Roman;Times;Serif" w:hAnsi="Times New Roman;Times;Serif"/>
          <w:b w:val="false"/>
          <w:i w:val="false"/>
          <w:caps w:val="false"/>
          <w:smallCaps w:val="false"/>
          <w:sz w:val="20"/>
        </w:rPr>
        <w:t xml:space="preserve">2.332 per share, and (ii) </w:t>
      </w:r>
      <w:bookmarkStart w:id="970" w:name="xdx_90E_eus-gaap--ClassOfWarrantOrRightN"/>
      <w:bookmarkEnd w:id="970"/>
      <w:r>
        <w:rPr>
          <w:rFonts w:ascii="Times New Roman;Times;Serif" w:hAnsi="Times New Roman;Times;Serif"/>
          <w:b w:val="false"/>
          <w:i w:val="false"/>
          <w:caps w:val="false"/>
          <w:smallCaps w:val="false"/>
          <w:sz w:val="20"/>
        </w:rPr>
        <w:t xml:space="preserve">20 warrants (the “Private Placement Convertible Preferred Warrants”) to purchase up to </w:t>
      </w:r>
      <w:bookmarkStart w:id="971" w:name="xdx_903_eus-gaap--ClassOfWarrantOrRightN"/>
      <w:bookmarkEnd w:id="971"/>
      <w:r>
        <w:rPr>
          <w:rFonts w:ascii="Times New Roman;Times;Serif" w:hAnsi="Times New Roman;Times;Serif"/>
          <w:b w:val="false"/>
          <w:i w:val="false"/>
          <w:caps w:val="false"/>
          <w:smallCaps w:val="false"/>
          <w:sz w:val="20"/>
        </w:rPr>
        <w:t>4,000 shares of Series A Preferred Stock at $</w:t>
      </w:r>
      <w:bookmarkStart w:id="972" w:name="xdx_90C_eus-gaap--SharePrice_iI_pid_c202"/>
      <w:bookmarkEnd w:id="972"/>
      <w:r>
        <w:rPr>
          <w:rFonts w:ascii="Times New Roman;Times;Serif" w:hAnsi="Times New Roman;Times;Serif"/>
          <w:b w:val="false"/>
          <w:i w:val="false"/>
          <w:caps w:val="false"/>
          <w:smallCaps w:val="false"/>
          <w:sz w:val="20"/>
        </w:rPr>
        <w:t>10,000 per share. The Floor Price for the Series A Preferred Stock sold in the Initial Closing was $</w:t>
      </w:r>
      <w:bookmarkStart w:id="973" w:name="xdx_90F_eus-gaap--DerivativeFloorPrice_i"/>
      <w:bookmarkEnd w:id="973"/>
      <w:r>
        <w:rPr>
          <w:rFonts w:ascii="Times New Roman;Times;Serif" w:hAnsi="Times New Roman;Times;Serif"/>
          <w:b w:val="false"/>
          <w:i w:val="false"/>
          <w:caps w:val="false"/>
          <w:smallCaps w:val="false"/>
          <w:sz w:val="20"/>
        </w:rPr>
        <w:t>0.424. These terms are subject to adjustments for corporate events like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total, the Company sold </w:t>
      </w:r>
      <w:bookmarkStart w:id="974" w:name="xdx_908_eus-gaap--SaleOfStockNumberOfSha"/>
      <w:bookmarkEnd w:id="974"/>
      <w:r>
        <w:rPr>
          <w:rFonts w:ascii="Times New Roman;Times;Serif" w:hAnsi="Times New Roman;Times;Serif"/>
          <w:b w:val="false"/>
          <w:i w:val="false"/>
          <w:caps w:val="false"/>
          <w:smallCaps w:val="false"/>
          <w:sz w:val="20"/>
        </w:rPr>
        <w:t xml:space="preserve">350 shares of Series A Preferred Stock and </w:t>
      </w:r>
      <w:bookmarkStart w:id="975" w:name="xdx_90C_eus-gaap--SaleOfStockNumberOfSha"/>
      <w:bookmarkEnd w:id="975"/>
      <w:r>
        <w:rPr>
          <w:rFonts w:ascii="Times New Roman;Times;Serif" w:hAnsi="Times New Roman;Times;Serif"/>
          <w:b w:val="false"/>
          <w:i w:val="false"/>
          <w:caps w:val="false"/>
          <w:smallCaps w:val="false"/>
          <w:sz w:val="20"/>
        </w:rPr>
        <w:t>20 Private Placement Convertible Preferred Warrants, raising $</w:t>
      </w:r>
      <w:bookmarkStart w:id="976" w:name="xdx_908_eus-gaap--ProceedsFromIssuanceOr"/>
      <w:bookmarkEnd w:id="976"/>
      <w:r>
        <w:rPr>
          <w:rFonts w:ascii="Times New Roman;Times;Serif" w:hAnsi="Times New Roman;Times;Serif"/>
          <w:b w:val="false"/>
          <w:i w:val="false"/>
          <w:caps w:val="false"/>
          <w:smallCaps w:val="false"/>
          <w:sz w:val="20"/>
        </w:rPr>
        <w:t>3,180 in net proceeds, which will be used for working capital and other general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28, 2025, the Company completed the second closing of the Private Placement (the “Second Closing”) pursuant to the Purchase Agreement. In connection with the Second Closing, the investor purchased an additional </w:t>
      </w:r>
      <w:bookmarkStart w:id="977" w:name="xdx_90C_eus-gaap--StockIssuedDuringPerio"/>
      <w:bookmarkEnd w:id="977"/>
      <w:r>
        <w:rPr>
          <w:rFonts w:ascii="Times New Roman;Times;Serif" w:hAnsi="Times New Roman;Times;Serif"/>
          <w:b w:val="false"/>
          <w:i w:val="false"/>
          <w:caps w:val="false"/>
          <w:smallCaps w:val="false"/>
          <w:sz w:val="20"/>
        </w:rPr>
        <w:t>450 shares of Series A Preferred Stock at a price of $</w:t>
      </w:r>
      <w:bookmarkStart w:id="978" w:name="xdx_90C_eus-gaap--SaleOfStockPricePerSha"/>
      <w:bookmarkEnd w:id="978"/>
      <w:r>
        <w:rPr>
          <w:rFonts w:ascii="Times New Roman;Times;Serif" w:hAnsi="Times New Roman;Times;Serif"/>
          <w:b w:val="false"/>
          <w:i w:val="false"/>
          <w:caps w:val="false"/>
          <w:smallCaps w:val="false"/>
          <w:sz w:val="20"/>
        </w:rPr>
        <w:t>10,000 per share, resulting in net proceeds of $</w:t>
      </w:r>
      <w:bookmarkStart w:id="979" w:name="xdx_900_eus-gaap--ProceedsFromIssuanceOf"/>
      <w:bookmarkEnd w:id="979"/>
      <w:r>
        <w:rPr>
          <w:rFonts w:ascii="Times New Roman;Times;Serif" w:hAnsi="Times New Roman;Times;Serif"/>
          <w:b w:val="false"/>
          <w:i w:val="false"/>
          <w:caps w:val="false"/>
          <w:smallCaps w:val="false"/>
          <w:sz w:val="20"/>
        </w:rPr>
        <w:t>4,150, which the Company received during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Series A Preferred Stock issued in the Second Closing were substantially similar to those issued in the Initial Closing, except that the initial conversion price was set at $</w:t>
      </w:r>
      <w:bookmarkStart w:id="980" w:name="xdx_903_eus-gaap--PreferredStockConverti"/>
      <w:bookmarkEnd w:id="980"/>
      <w:r>
        <w:rPr>
          <w:rFonts w:ascii="Times New Roman;Times;Serif" w:hAnsi="Times New Roman;Times;Serif"/>
          <w:b w:val="false"/>
          <w:i w:val="false"/>
          <w:caps w:val="false"/>
          <w:smallCaps w:val="false"/>
          <w:sz w:val="20"/>
        </w:rPr>
        <w:t>0.594 per share, with a Floor Price of $</w:t>
      </w:r>
      <w:bookmarkStart w:id="981" w:name="xdx_906_eus-gaap--DerivativeFloorPrice_i"/>
      <w:bookmarkEnd w:id="981"/>
      <w:r>
        <w:rPr>
          <w:rFonts w:ascii="Times New Roman;Times;Serif" w:hAnsi="Times New Roman;Times;Serif"/>
          <w:b w:val="false"/>
          <w:i w:val="false"/>
          <w:caps w:val="false"/>
          <w:smallCaps w:val="false"/>
          <w:sz w:val="20"/>
        </w:rPr>
        <w:t>0.10902 per share. The Second Closing shares were convertible into common stock at the option of the holder, subject to certain limitations and adjustments.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REDEEMABLE PREFERRED STOCK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Convertible Preferred Stock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the host contract is considered as an equity classified instrument, it includes provisions that allow the investor to redeem the instrument for cash or other assets upon the occurrence of events that are not solely within the company’s control. Because of the Series A Preferred Stock containing this redemption feature, it was originally classified as mezzanine equity. From the issuance date through December 31, 2025, </w:t>
      </w:r>
      <w:bookmarkStart w:id="982" w:name="xdx_90E_eus-gaap--ConversionOfStockShare"/>
      <w:bookmarkEnd w:id="982"/>
      <w:r>
        <w:rPr>
          <w:rFonts w:ascii="Times New Roman;Times;Serif" w:hAnsi="Times New Roman;Times;Serif"/>
          <w:b w:val="false"/>
          <w:i w:val="false"/>
          <w:caps w:val="false"/>
          <w:smallCaps w:val="false"/>
          <w:sz w:val="20"/>
        </w:rPr>
        <w:t xml:space="preserve">800 shares of Series A Preferred Stock were converted into </w:t>
      </w:r>
      <w:bookmarkStart w:id="983" w:name="xdx_90D_eus-gaap--ConversionOfStockShare"/>
      <w:bookmarkEnd w:id="983"/>
      <w:r>
        <w:rPr>
          <w:rFonts w:ascii="Times New Roman;Times;Serif" w:hAnsi="Times New Roman;Times;Serif"/>
          <w:b w:val="false"/>
          <w:i w:val="false"/>
          <w:caps w:val="false"/>
          <w:smallCaps w:val="false"/>
          <w:sz w:val="20"/>
        </w:rPr>
        <w:t>3,231,462 shares of common stock. As a result, $</w:t>
      </w:r>
      <w:bookmarkStart w:id="984" w:name="xdx_90F_eus-gaap--ProceedsFromIssuanceOf"/>
      <w:bookmarkEnd w:id="984"/>
      <w:r>
        <w:rPr>
          <w:rFonts w:ascii="Times New Roman;Times;Serif" w:hAnsi="Times New Roman;Times;Serif"/>
          <w:b w:val="false"/>
          <w:i w:val="false"/>
          <w:caps w:val="false"/>
          <w:smallCaps w:val="false"/>
          <w:sz w:val="20"/>
        </w:rPr>
        <w:t>7,330 (net of offering costs) was reclassified from mezzanine equity to common stock and additional paid 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June 30, 2025, the Company did not have a sufficient number of registered shares to fully satisfy the conversion of the remaining </w:t>
      </w:r>
      <w:bookmarkStart w:id="985" w:name="xdx_901_eus-gaap--PreferredStockSharesOu"/>
      <w:bookmarkEnd w:id="985"/>
      <w:r>
        <w:rPr>
          <w:rFonts w:ascii="Times New Roman;Times;Serif" w:hAnsi="Times New Roman;Times;Serif"/>
          <w:b w:val="false"/>
          <w:i w:val="false"/>
          <w:caps w:val="false"/>
          <w:smallCaps w:val="false"/>
          <w:sz w:val="20"/>
        </w:rPr>
        <w:t>133 Series A Preferred Stock under either the floor conversion price of $</w:t>
      </w:r>
      <w:bookmarkStart w:id="986" w:name="xdx_90D_ecustom--FloorConversionPrice_iI"/>
      <w:bookmarkEnd w:id="986"/>
      <w:r>
        <w:rPr>
          <w:rFonts w:ascii="Times New Roman;Times;Serif" w:hAnsi="Times New Roman;Times;Serif"/>
          <w:b w:val="false"/>
          <w:i w:val="false"/>
          <w:caps w:val="false"/>
          <w:smallCaps w:val="false"/>
          <w:sz w:val="20"/>
        </w:rPr>
        <w:t xml:space="preserve">0.424, which would have required approximately </w:t>
      </w:r>
      <w:bookmarkStart w:id="987" w:name="xdx_909_eus-gaap--PreferredStockConverti"/>
      <w:bookmarkEnd w:id="987"/>
      <w:r>
        <w:rPr>
          <w:rFonts w:ascii="Times New Roman;Times;Serif" w:hAnsi="Times New Roman;Times;Serif"/>
          <w:b w:val="false"/>
          <w:i w:val="false"/>
          <w:caps w:val="false"/>
          <w:smallCaps w:val="false"/>
          <w:sz w:val="20"/>
        </w:rPr>
        <w:t>319,811 shares, or the Alternate Conversion Price of $</w:t>
      </w:r>
      <w:bookmarkStart w:id="988" w:name="xdx_90D_eus-gaap--PreferredStockConverti"/>
      <w:bookmarkEnd w:id="988"/>
      <w:r>
        <w:rPr>
          <w:rFonts w:ascii="Times New Roman;Times;Serif" w:hAnsi="Times New Roman;Times;Serif"/>
          <w:b w:val="false"/>
          <w:i w:val="false"/>
          <w:caps w:val="false"/>
          <w:smallCaps w:val="false"/>
          <w:sz w:val="20"/>
        </w:rPr>
        <w:t xml:space="preserve">1.44, which would have required approximately </w:t>
      </w:r>
      <w:bookmarkStart w:id="989" w:name="xdx_90C_eus-gaap--PreferredStockConverti"/>
      <w:bookmarkEnd w:id="989"/>
      <w:r>
        <w:rPr>
          <w:rFonts w:ascii="Times New Roman;Times;Serif" w:hAnsi="Times New Roman;Times;Serif"/>
          <w:b w:val="false"/>
          <w:i w:val="false"/>
          <w:caps w:val="false"/>
          <w:smallCaps w:val="false"/>
          <w:sz w:val="20"/>
        </w:rPr>
        <w:t>940,767 shares (based on 90% of the lowest VWAP over the 10 trading days prior to June 30, 2025). The impact of the Company not having a sufficient number of registered shares to fully satisfy the conversion of the remaining Series A Preferred Stock would be an immaterial reclass to a derivative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20, 2025, the Company entered into a Settlement and Release Agreement (the “Release Agreement”) with the holder of the outstanding shares of Series A Preferred Stock. Pursuant to the terms of the Release Agreement, the Company issued and delivered </w:t>
      </w:r>
      <w:bookmarkStart w:id="990" w:name="xdx_909_eus-gaap--ConversionOfStockShare"/>
      <w:bookmarkEnd w:id="990"/>
      <w:r>
        <w:rPr>
          <w:rFonts w:ascii="Times New Roman;Times;Serif" w:hAnsi="Times New Roman;Times;Serif"/>
          <w:b w:val="false"/>
          <w:i w:val="false"/>
          <w:caps w:val="false"/>
          <w:smallCaps w:val="false"/>
          <w:sz w:val="20"/>
        </w:rPr>
        <w:t>210,000 shares of common stock to the holder and the holder surrendered to the Company all of the outstanding shares of Series A Preferred Stock. In addition, under the Release Agreement, upon the issuance of the shares of common stock, the Company’s obligations under the Purchase Agreement, the Certificate of Designation governing the Series A Preferred Stock and the other agreements entered into in connection with the offering of the Series A Preferred Stock were satisfied in full and the Purchase Agreement and the other agreements were deemed terminated and any remaining shares of Series A Preferred Stock that were outstanding or deemed to be outstanding were deemed cancelled and no longer outstanding. The Company has no further obligation to issue any shares of common stock or Series A Preferred Stock to the holder under the Purchase Agreement or otherwise. Under the Release Agreement, each party also provided a full release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all of the Company’s Series A preferred stock was converted into </w:t>
      </w:r>
      <w:bookmarkStart w:id="991" w:name="xdx_909_eus-gaap--ConversionOfStockShare"/>
      <w:bookmarkEnd w:id="991"/>
      <w:r>
        <w:rPr>
          <w:rFonts w:ascii="Times New Roman;Times;Serif" w:hAnsi="Times New Roman;Times;Serif"/>
          <w:b w:val="false"/>
          <w:i w:val="false"/>
          <w:caps w:val="false"/>
          <w:smallCaps w:val="false"/>
          <w:sz w:val="20"/>
        </w:rPr>
        <w:t xml:space="preserve">3,231,462 shares of common stock in accordance with their respective terms. As of December 31, 2025, </w:t>
      </w:r>
      <w:bookmarkStart w:id="992" w:name="xdx_90B_eus-gaap--TemporaryEquitySharesO"/>
      <w:bookmarkEnd w:id="992"/>
      <w:r>
        <w:rPr>
          <w:rFonts w:ascii="Times New Roman;Times;Serif" w:hAnsi="Times New Roman;Times;Serif"/>
          <w:b w:val="false"/>
          <w:i w:val="false"/>
          <w:caps w:val="false"/>
          <w:smallCaps w:val="false"/>
          <w:sz w:val="20"/>
        </w:rPr>
        <w:t>no Series A preferred stock remains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20, 2025, the Company entered into the Sixth Amendment to the Term Loan (see </w:t>
      </w:r>
      <w:r>
        <w:rPr>
          <w:rFonts w:ascii="Times New Roman;Times;Serif" w:hAnsi="Times New Roman;Times;Serif"/>
          <w:b/>
          <w:i w:val="false"/>
          <w:caps w:val="false"/>
          <w:smallCaps w:val="false"/>
          <w:sz w:val="20"/>
        </w:rPr>
        <w:t>Note 6</w:t>
      </w:r>
      <w:r>
        <w:rPr>
          <w:rFonts w:ascii="Times New Roman;Times;Serif" w:hAnsi="Times New Roman;Times;Serif"/>
          <w:b w:val="false"/>
          <w:i w:val="false"/>
          <w:caps w:val="false"/>
          <w:smallCaps w:val="false"/>
          <w:sz w:val="20"/>
        </w:rPr>
        <w:t>). Under this amendment, the Company agreed to enter into a series of transactions with the lenders. The Company and the lenders agreed to exchange $</w:t>
      </w:r>
      <w:bookmarkStart w:id="993" w:name="xdx_908_eus-gaap--DebtInstrumentFaceAmou"/>
      <w:bookmarkEnd w:id="993"/>
      <w:r>
        <w:rPr>
          <w:rFonts w:ascii="Times New Roman;Times;Serif" w:hAnsi="Times New Roman;Times;Serif"/>
          <w:b w:val="false"/>
          <w:i w:val="false"/>
          <w:caps w:val="false"/>
          <w:smallCaps w:val="false"/>
          <w:sz w:val="20"/>
        </w:rPr>
        <w:t>25 million in outstanding principal balance of existing principal into $</w:t>
      </w:r>
      <w:bookmarkStart w:id="994" w:name="xdx_90D_eus-gaap--DebtInstrumentIssuedPr"/>
      <w:bookmarkEnd w:id="994"/>
      <w:r>
        <w:rPr>
          <w:rFonts w:ascii="Times New Roman;Times;Serif" w:hAnsi="Times New Roman;Times;Serif"/>
          <w:b w:val="false"/>
          <w:i w:val="false"/>
          <w:caps w:val="false"/>
          <w:smallCaps w:val="false"/>
          <w:sz w:val="20"/>
        </w:rPr>
        <w:t>25 million aggregate principal amount of the newly created Series B Preferred Stock of the Company. The terms of the exchange were finalized in November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w:t>
      </w:r>
      <w:bookmarkStart w:id="995" w:name="xdx_906_eus-gaap--PreferredStockSharesIs"/>
      <w:bookmarkEnd w:id="995"/>
      <w:r>
        <w:rPr>
          <w:rFonts w:ascii="Times New Roman;Times;Serif" w:hAnsi="Times New Roman;Times;Serif"/>
          <w:b w:val="false"/>
          <w:i w:val="false"/>
          <w:caps w:val="false"/>
          <w:smallCaps w:val="false"/>
          <w:sz w:val="20"/>
        </w:rPr>
        <w:t>25,000 shares of Series B Preferred Stock, each with a base liquidation preference of $</w:t>
      </w:r>
      <w:bookmarkStart w:id="996" w:name="xdx_90A_eus-gaap--PreferredStockValueOut"/>
      <w:bookmarkEnd w:id="996"/>
      <w:r>
        <w:rPr>
          <w:rFonts w:ascii="Times New Roman;Times;Serif" w:hAnsi="Times New Roman;Times;Serif"/>
          <w:b w:val="false"/>
          <w:i w:val="false"/>
          <w:caps w:val="false"/>
          <w:smallCaps w:val="false"/>
          <w:sz w:val="20"/>
        </w:rPr>
        <w:t>1,000, for an aggregate base liquidation preference of $</w:t>
      </w:r>
      <w:bookmarkStart w:id="997" w:name="xdx_90B_eus-gaap--PreferredStockLiquidat"/>
      <w:bookmarkEnd w:id="997"/>
      <w:r>
        <w:rPr>
          <w:rFonts w:ascii="Times New Roman;Times;Serif" w:hAnsi="Times New Roman;Times;Serif"/>
          <w:b w:val="false"/>
          <w:i w:val="false"/>
          <w:caps w:val="false"/>
          <w:smallCaps w:val="false"/>
          <w:sz w:val="20"/>
        </w:rPr>
        <w:t>25.0 million. Dividends on the Series B Preferred Stock accrue at a rate of 10% per annum, subject to increases upon the occurrence of certain default events. Eighty percent of accrued dividends are payable in cash and 20% are payable in kind (“PIK”) and added to the liquidation preference. Any unpaid cash dividends may also be settled in kind and added to the liquidation preference. The Series B Preferred Stock is non-voting. Upon any liquidation, dissolution or winding up of the Company, holders of the Series B Preferred Stock are entitled to receive, prior and in preference to any distribution to holders of common stock, an amount per share equal to the liquidation preference of $</w:t>
      </w:r>
      <w:bookmarkStart w:id="998" w:name="xdx_902_eus-gaap--PreferredStockLiquidat"/>
      <w:bookmarkEnd w:id="998"/>
      <w:r>
        <w:rPr>
          <w:rFonts w:ascii="Times New Roman;Times;Serif" w:hAnsi="Times New Roman;Times;Serif"/>
          <w:b w:val="false"/>
          <w:i w:val="false"/>
          <w:caps w:val="false"/>
          <w:smallCaps w:val="false"/>
          <w:sz w:val="20"/>
        </w:rPr>
        <w:t>1,000 per share, plus any accrued and unpaid PIK dividends and any capitalized cash dividends.</w:t>
      </w:r>
    </w:p>
    <w:p>
      <w:pPr>
        <w:pStyle w:val="TextBody"/>
        <w:bidi w:val="0"/>
        <w:spacing w:before="0" w:after="0"/>
        <w:ind w:left="0" w:right="0" w:hanging="0"/>
        <w:jc w:val="center"/>
        <w:rPr>
          <w:caps/>
        </w:rPr>
      </w:pPr>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REDEEMABLE PREFERRED STOCK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 Convertible Preferred Stock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B Preferred Stock is convertible, at the option of the holder, into shares of the Company’s common stock at a fixed conversion price of $</w:t>
      </w:r>
      <w:bookmarkStart w:id="999" w:name="xdx_90E_eus-gaap--DebtInstrumentConverti"/>
      <w:bookmarkEnd w:id="999"/>
      <w:r>
        <w:rPr>
          <w:rFonts w:ascii="Times New Roman;Times;Serif" w:hAnsi="Times New Roman;Times;Serif"/>
          <w:b w:val="false"/>
          <w:i w:val="false"/>
          <w:caps w:val="false"/>
          <w:smallCaps w:val="false"/>
          <w:sz w:val="20"/>
        </w:rPr>
        <w:t>3.15 per share at any time on or after six months following the original issuance date, subject to a minimum aggregate value of $</w:t>
      </w:r>
      <w:bookmarkStart w:id="1000" w:name="xdx_908_eus-gaap--StockIssuedDuringPerio"/>
      <w:bookmarkEnd w:id="1000"/>
      <w:r>
        <w:rPr>
          <w:rFonts w:ascii="Times New Roman;Times;Serif" w:hAnsi="Times New Roman;Times;Serif"/>
          <w:b w:val="false"/>
          <w:i w:val="false"/>
          <w:caps w:val="false"/>
          <w:smallCaps w:val="false"/>
          <w:sz w:val="20"/>
        </w:rPr>
        <w:t>500,000 per conversion, except in the case of a final conversion of all of a holder’s outstanding Series B Preferred Stock. Conversions are further subject to a beneficial ownership limitation of 4.99% and an overall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 Preferred Stock is redeemable under certain circumstances. At the Company’s option, the Company may redeem all or a portion of the outstanding Series B Preferred Stock at a price per share equal to the greater of (i) the liquidation preference of such share, plus any accrued but unpaid dividends thereon, and (ii) the As-Converted Value (as defined below) of such share, with the redemption amount effectively varying based on the volume-weighted average price (“VWAP”) of the Company’s common stock during the two-year period following issuance. Prior to the end of such two-year period (or earlier upon a default in dividend payments), any such redemption by the Company is at its option. In addition, if the Company consummates an equity issuance, it is required to use a portion of the net proceeds to redeem Series B Preferred Stock in an amount equal to 50% of such net proceeds if the redemption occurs prior to the maturity date and 75% of such net proceeds if the redemption occurs after the maturity date, in each case at a price per share equal to the greater of (1) the liquidation preference of the shares being redeemed as of the applicable equity issuance redemption date and (2) the As-Converted Value of the shares being redeemed as of such date (the “Equity Issuance Redemption Price”). This feature represents a contingent redemption obligation that becomes mandatory upon the occurrence of an equity issuance, an event that is within the control of the Company. Beginning two years after the original issuance date (or earlier upon non-payment of dividends), each holder has the right to require the Company to redeem all or a portion of such holder’s outstanding 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As-Converted Value</w:t>
      </w:r>
      <w:r>
        <w:rPr>
          <w:rFonts w:ascii="Times New Roman;Times;Serif" w:hAnsi="Times New Roman;Times;Serif"/>
          <w:b w:val="false"/>
          <w:i w:val="false"/>
          <w:caps w:val="false"/>
          <w:smallCaps w:val="false"/>
          <w:sz w:val="20"/>
        </w:rPr>
        <w:t>. With respect to each share of Series B Preferred Stock as of any date of determination, an amount equal to the product of (A) the number of shares of common stock into which the liquidation preference of such share would be convertible on such date pursuant to the then-applicable conversion rate and (B) the arithmetic average of the VWAPs of the Company’s common stock for each of the five trading days immediately preceding such date of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Fundamental Transaction</w:t>
      </w:r>
      <w:r>
        <w:rPr>
          <w:rFonts w:ascii="Times New Roman;Times;Serif" w:hAnsi="Times New Roman;Times;Serif"/>
          <w:b w:val="false"/>
          <w:i w:val="false"/>
          <w:caps w:val="false"/>
          <w:smallCaps w:val="false"/>
          <w:sz w:val="20"/>
        </w:rPr>
        <w:t>. Generally includes certain mergers, consolidations, asset sales and similar transactions. Unless all outstanding shares of Series B Preferred Stock have been redeemed prior to the consummation of a Fundamental Transaction, the Company may not consummate such transaction unless it ensures that holders of Series B Preferred Stock will receive, in the surviving or successor entity, securities having rights, preferences and privileges that are, in the aggregate, substantially equivalent to those of the Series B Preferred Stock prior to such transaction. In addition, in a Fundamental Transaction, holders are entitled to receive the same number of shares of common stock (or equivalent successor securities) that they would have received had all shares of Series B Preferred Stock been converted into common stock immediately prior to the transaction, in lieu of any other assets otherwise distributable with respect to the 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in Control (as defined in the Certificate of Designation), unless all outstanding shares of Series B Preferred Stock have been previously redeemed, each holder may require the Company, at or immediately after (but not before) the closing of such Change in Control, to exchange all or a portion of such holder’s outstanding Series B Preferred Stock for consideration per share equal to the greater of (i) the liquidation preference of such share, plus any accrued but unpaid dividends thereon, and (ii) the As-Converted Value of such share, in each case plus any other amounts then owed to such holder under the Certificate of Designation or any related transaction document that have not otherwise been paid or satisfied.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REDEEMABLE PREFERRED STOCK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 Convertible Preferred Stock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features of the Series B Preferred Stock to determine whether the contract should be classified as a liability, temporary or permanent equity, or if the underlying conversion option or redemption features would require them to be bifurcated from the host contract as embedded derivatives. The Company concluded that the Series B Preferred Stock was not a liability under the provisions of ASC 480, Distinguishing Liabilities from Equity, as the stock was not mandatorily redeemable and did not otherwise meet the definition of a liability based on that guidance. The Company then evaluated the relevant guidance under ASC 815, Derivatives and Hedging. The Company determined that the host contract was more akin to debt and therefore concluded that while the redemption features are clearly and closely related to the host contract, the conversion feature is not, and therefore it was assessed for bifurcation as a derivative. Based on the Company’s assessment, the conversion feature met the scope exceptions for being considered indexed to the Company’s stock and for the settlement provision since the conversion price is fixed. While the host contract is considered as an equity classified instrument, it includes provisions that allow the investor to redeem the instrument for cash or other assets upon the occurrence of events that are not solely within the company’s control, therefore the Series B Preferred Stock is classified as temporary equity, and is presented in them mezzanine, or temporary, equity section of the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equity is measured initially at fair value, therefore the Company determined the fair value by measuring the present value of the contractual redemption feature by discounting the redemption value of $</w:t>
      </w:r>
      <w:bookmarkStart w:id="1001" w:name="xdx_906_eus-gaap--TemporaryEquityAccreti"/>
      <w:bookmarkEnd w:id="1001"/>
      <w:r>
        <w:rPr>
          <w:rFonts w:ascii="Times New Roman;Times;Serif" w:hAnsi="Times New Roman;Times;Serif"/>
          <w:b w:val="false"/>
          <w:i w:val="false"/>
          <w:caps w:val="false"/>
          <w:smallCaps w:val="false"/>
          <w:sz w:val="20"/>
        </w:rPr>
        <w:t>25 million at the stated dividend rate of 10% over the expected two-year redemption period, and adding the fair value of the conversion feature by utilizing a Black-Scholes valuation model. The initial carrying value of the Series B Preferred Stock will be accreted to redemption value and accrued or paid in kind dividends added to the carrying value by recognizing preferred dividends. The conversion feature (equity-linked) portion of the carrying value will also be re-measured at each reporting period. The Company recognized accreted dividends related to the Series B Preferred Stock of $</w:t>
      </w:r>
      <w:bookmarkStart w:id="1002" w:name="xdx_903_eus-gaap--TemporaryEquityAccreti"/>
      <w:bookmarkEnd w:id="1002"/>
      <w:r>
        <w:rPr>
          <w:rFonts w:ascii="Times New Roman;Times;Serif" w:hAnsi="Times New Roman;Times;Serif"/>
          <w:b w:val="false"/>
          <w:i w:val="false"/>
          <w:caps w:val="false"/>
          <w:smallCaps w:val="false"/>
          <w:sz w:val="20"/>
        </w:rPr>
        <w:t>473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003" w:name="xdx_80C_eus-gaap--StockholdersEquityNote"/>
      <w:bookmarkEnd w:id="1003"/>
      <w:r>
        <w:rPr>
          <w:rFonts w:ascii="Times New Roman;Times;Serif" w:hAnsi="Times New Roman;Times;Serif"/>
          <w:b/>
          <w:i w:val="false"/>
          <w:caps/>
          <w:sz w:val="20"/>
        </w:rPr>
        <w:t xml:space="preserve">Note 11 - </w:t>
      </w:r>
      <w:bookmarkStart w:id="1004" w:name="xdx_822_zqss8U9qRKra"/>
      <w:bookmarkEnd w:id="1004"/>
      <w:r>
        <w:rPr>
          <w:rFonts w:ascii="Times New Roman;Times;Serif" w:hAnsi="Times New Roman;Times;Serif"/>
          <w:b/>
          <w:i w:val="false"/>
          <w:caps/>
          <w:sz w:val="20"/>
        </w:rPr>
        <w:t>COMMON STOCK</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up to </w:t>
      </w:r>
      <w:bookmarkStart w:id="1005" w:name="xdx_902_eus-gaap--CommonStockSharesAutho"/>
      <w:bookmarkEnd w:id="1005"/>
      <w:r>
        <w:rPr>
          <w:rFonts w:ascii="Times New Roman;Times;Serif" w:hAnsi="Times New Roman;Times;Serif"/>
          <w:b w:val="false"/>
          <w:i w:val="false"/>
          <w:caps w:val="false"/>
          <w:smallCaps w:val="false"/>
          <w:sz w:val="20"/>
        </w:rPr>
        <w:t>400,000,000 shares of common stock with $</w:t>
      </w:r>
      <w:bookmarkStart w:id="1006" w:name="xdx_901_eus-gaap--CommonStockParOrStated"/>
      <w:bookmarkEnd w:id="1006"/>
      <w:r>
        <w:rPr>
          <w:rFonts w:ascii="Times New Roman;Times;Serif" w:hAnsi="Times New Roman;Times;Serif"/>
          <w:b w:val="false"/>
          <w:i w:val="false"/>
          <w:caps w:val="false"/>
          <w:smallCaps w:val="false"/>
          <w:sz w:val="20"/>
        </w:rPr>
        <w:t xml:space="preserve">0.0001 par value. Common stockholders are entitled to dividends if and when declared by the Board of Directors subject to the rights of the preferred stockholders. As of December 31, 2025 and 2024, there were </w:t>
      </w:r>
      <w:bookmarkStart w:id="1007" w:name="xdx_907_eus-gaap--CommonStockSharesOutst"/>
      <w:bookmarkStart w:id="1008" w:name="xdx_90D_eus-gaap--CommonStockSharesIssue"/>
      <w:bookmarkEnd w:id="1007"/>
      <w:bookmarkEnd w:id="1008"/>
      <w:r>
        <w:rPr>
          <w:rFonts w:ascii="Times New Roman;Times;Serif" w:hAnsi="Times New Roman;Times;Serif"/>
          <w:b w:val="false"/>
          <w:i w:val="false"/>
          <w:caps w:val="false"/>
          <w:smallCaps w:val="false"/>
          <w:sz w:val="20"/>
        </w:rPr>
        <w:t xml:space="preserve">12,078,713 and </w:t>
      </w:r>
      <w:bookmarkStart w:id="1009" w:name="xdx_900_eus-gaap--CommonStockSharesOutst"/>
      <w:bookmarkStart w:id="1010" w:name="xdx_90F_eus-gaap--CommonStockSharesIssue"/>
      <w:bookmarkEnd w:id="1009"/>
      <w:bookmarkEnd w:id="1010"/>
      <w:r>
        <w:rPr>
          <w:rFonts w:ascii="Times New Roman;Times;Serif" w:hAnsi="Times New Roman;Times;Serif"/>
          <w:b w:val="false"/>
          <w:i w:val="false"/>
          <w:caps w:val="false"/>
          <w:smallCaps w:val="false"/>
          <w:sz w:val="20"/>
        </w:rPr>
        <w:t>723,265 shares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on common stock had been declared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11" w:name="xdx_899_eus-gaap--ScheduleOfStockholders"/>
      <w:bookmarkEnd w:id="1011"/>
      <w:r>
        <w:rPr>
          <w:rFonts w:ascii="Times New Roman;Times;Serif" w:hAnsi="Times New Roman;Times;Serif"/>
          <w:b w:val="false"/>
          <w:i w:val="false"/>
          <w:caps w:val="false"/>
          <w:smallCaps w:val="false"/>
          <w:sz w:val="20"/>
        </w:rPr>
        <w:t>For the years ended December 31, 2025 and 2024, the Company had reserved shares of common stock for issuance as follows:</w:t>
      </w:r>
    </w:p>
    <w:p>
      <w:pPr>
        <w:pStyle w:val="TextBody"/>
        <w:bidi w:val="0"/>
        <w:spacing w:before="0" w:after="0"/>
        <w:ind w:left="0" w:right="0" w:hanging="0"/>
        <w:jc w:val="both"/>
        <w:rPr>
          <w:caps w:val="false"/>
          <w:smallCaps w:val="false"/>
        </w:rPr>
      </w:pPr>
      <w:r>
        <w:rPr>
          <w:caps w:val="false"/>
          <w:smallCaps w:val="false"/>
        </w:rPr>
        <w:t> </w:t>
      </w:r>
      <w:bookmarkStart w:id="1012" w:name="xdx_8BB_z8ktLURq3LOa"/>
      <w:bookmarkEnd w:id="1012"/>
      <w:r>
        <w:rPr>
          <w:rFonts w:ascii="Times New Roman;Times;Serif" w:hAnsi="Times New Roman;Times;Serif"/>
          <w:b w:val="false"/>
          <w:i w:val="false"/>
          <w:caps w:val="false"/>
          <w:smallCaps w:val="false"/>
          <w:sz w:val="20"/>
        </w:rPr>
        <w:t>SUMMARY OF RESERVED SHARES OF COMMON STOCK FOR ISSUANCE</w:t>
      </w:r>
    </w:p>
    <w:tbl>
      <w:tblPr>
        <w:tblW w:w="6448" w:type="dxa"/>
        <w:jc w:val="left"/>
        <w:tblInd w:w="0" w:type="dxa"/>
        <w:tblLayout w:type="fixed"/>
        <w:tblCellMar>
          <w:top w:w="0" w:type="dxa"/>
          <w:left w:w="0" w:type="dxa"/>
          <w:bottom w:w="0" w:type="dxa"/>
          <w:right w:w="0" w:type="dxa"/>
        </w:tblCellMar>
      </w:tblPr>
      <w:tblGrid>
        <w:gridCol w:w="3365"/>
        <w:gridCol w:w="60"/>
        <w:gridCol w:w="73"/>
        <w:gridCol w:w="1341"/>
        <w:gridCol w:w="60"/>
        <w:gridCol w:w="60"/>
        <w:gridCol w:w="81"/>
        <w:gridCol w:w="1333"/>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3" w:name="xdx_494_20251231_zeJBZ23MbvMk"/>
            <w:bookmarkEnd w:id="1013"/>
          </w:p>
        </w:tc>
        <w:tc>
          <w:tcPr>
            <w:tcW w:w="141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4" w:name="xdx_494_20241231_zIcQ2rYhdOsk"/>
            <w:bookmarkEnd w:id="1014"/>
          </w:p>
        </w:tc>
        <w:tc>
          <w:tcPr>
            <w:tcW w:w="141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December 31, </w:t>
              <w:br/>
              <w:t>2024</w:t>
            </w:r>
          </w:p>
        </w:tc>
        <w:tc>
          <w:tcPr>
            <w:tcW w:w="75" w:type="dxa"/>
            <w:tcBorders/>
            <w:vAlign w:val="center"/>
          </w:tcPr>
          <w:p>
            <w:pPr>
              <w:pStyle w:val="TableContents"/>
              <w:bidi w:val="0"/>
              <w:spacing w:before="0" w:after="283"/>
              <w:jc w:val="left"/>
              <w:rPr/>
            </w:pPr>
            <w:r>
              <w:rPr/>
              <w:t> </w:t>
            </w:r>
            <w:bookmarkStart w:id="1015" w:name="xdx_40C_ecustom--ShareBasedCompensationA"/>
            <w:bookmarkEnd w:id="1015"/>
          </w:p>
        </w:tc>
      </w:tr>
      <w:tr>
        <w:trPr/>
        <w:tc>
          <w:tcPr>
            <w:tcW w:w="3365" w:type="dxa"/>
            <w:tcBorders/>
            <w:shd w:fill="CCEEFF" w:val="clear"/>
            <w:vAlign w:val="center"/>
          </w:tcPr>
          <w:p>
            <w:pPr>
              <w:pStyle w:val="TableContents"/>
              <w:bidi w:val="0"/>
              <w:spacing w:before="0" w:after="283"/>
              <w:jc w:val="left"/>
              <w:rPr/>
            </w:pPr>
            <w:r>
              <w:rPr/>
              <w:t>Options issued and outstanding</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13,407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16,881</w:t>
            </w:r>
          </w:p>
        </w:tc>
        <w:tc>
          <w:tcPr>
            <w:tcW w:w="75" w:type="dxa"/>
            <w:tcBorders/>
            <w:shd w:fill="CCEEFF" w:val="clear"/>
            <w:vAlign w:val="center"/>
          </w:tcPr>
          <w:p>
            <w:pPr>
              <w:pStyle w:val="TableContents"/>
              <w:bidi w:val="0"/>
              <w:spacing w:before="0" w:after="283"/>
              <w:jc w:val="left"/>
              <w:rPr/>
            </w:pPr>
            <w:r>
              <w:rPr/>
              <w:t> </w:t>
            </w:r>
            <w:bookmarkStart w:id="1016" w:name="xdx_40F_eus-gaap--CommonStockSharesOutst"/>
            <w:bookmarkEnd w:id="1016"/>
          </w:p>
        </w:tc>
      </w:tr>
      <w:tr>
        <w:trPr/>
        <w:tc>
          <w:tcPr>
            <w:tcW w:w="3365" w:type="dxa"/>
            <w:tcBorders/>
            <w:shd w:fill="FFFFFF" w:val="clear"/>
            <w:vAlign w:val="center"/>
          </w:tcPr>
          <w:p>
            <w:pPr>
              <w:pStyle w:val="TableContents"/>
              <w:bidi w:val="0"/>
              <w:spacing w:before="0" w:after="283"/>
              <w:jc w:val="left"/>
              <w:rPr/>
            </w:pPr>
            <w:r>
              <w:rPr/>
              <w:t>Common stock outstanding</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12,078,713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723,265</w:t>
            </w:r>
          </w:p>
        </w:tc>
        <w:tc>
          <w:tcPr>
            <w:tcW w:w="75" w:type="dxa"/>
            <w:tcBorders/>
            <w:shd w:fill="FFFFFF" w:val="clear"/>
            <w:vAlign w:val="center"/>
          </w:tcPr>
          <w:p>
            <w:pPr>
              <w:pStyle w:val="TableContents"/>
              <w:bidi w:val="0"/>
              <w:spacing w:before="0" w:after="283"/>
              <w:jc w:val="left"/>
              <w:rPr/>
            </w:pPr>
            <w:r>
              <w:rPr/>
              <w:t> </w:t>
            </w:r>
            <w:bookmarkStart w:id="1017" w:name="xdx_40C_eus-gaap--ClassOfWarrantOrRightO"/>
            <w:bookmarkEnd w:id="1017"/>
          </w:p>
        </w:tc>
      </w:tr>
      <w:tr>
        <w:trPr/>
        <w:tc>
          <w:tcPr>
            <w:tcW w:w="3365" w:type="dxa"/>
            <w:tcBorders/>
            <w:shd w:fill="CCEEFF" w:val="clear"/>
            <w:vAlign w:val="center"/>
          </w:tcPr>
          <w:p>
            <w:pPr>
              <w:pStyle w:val="TableContents"/>
              <w:bidi w:val="0"/>
              <w:spacing w:before="0" w:after="283"/>
              <w:jc w:val="left"/>
              <w:rPr/>
            </w:pPr>
            <w:r>
              <w:rPr/>
              <w:t>Warrants outstanding</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925,616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392,616</w:t>
            </w:r>
          </w:p>
        </w:tc>
        <w:tc>
          <w:tcPr>
            <w:tcW w:w="75" w:type="dxa"/>
            <w:tcBorders/>
            <w:shd w:fill="CCEEFF" w:val="clear"/>
            <w:vAlign w:val="center"/>
          </w:tcPr>
          <w:p>
            <w:pPr>
              <w:pStyle w:val="TableContents"/>
              <w:bidi w:val="0"/>
              <w:spacing w:before="0" w:after="283"/>
              <w:jc w:val="left"/>
              <w:rPr/>
            </w:pPr>
            <w:r>
              <w:rPr/>
              <w:t> </w:t>
            </w:r>
            <w:bookmarkStart w:id="1018" w:name="xdx_40F_ecustom--EarnoutShares_iI_pid_zJ"/>
            <w:bookmarkEnd w:id="1018"/>
          </w:p>
        </w:tc>
      </w:tr>
      <w:tr>
        <w:trPr/>
        <w:tc>
          <w:tcPr>
            <w:tcW w:w="3365" w:type="dxa"/>
            <w:tcBorders/>
            <w:shd w:fill="FFFFFF" w:val="clear"/>
            <w:vAlign w:val="center"/>
          </w:tcPr>
          <w:p>
            <w:pPr>
              <w:pStyle w:val="TableContents"/>
              <w:bidi w:val="0"/>
              <w:spacing w:before="0" w:after="283"/>
              <w:jc w:val="left"/>
              <w:rPr/>
            </w:pPr>
            <w:r>
              <w:rPr/>
              <w:t>Earnout shares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277,778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277,778</w:t>
            </w:r>
          </w:p>
        </w:tc>
        <w:tc>
          <w:tcPr>
            <w:tcW w:w="75" w:type="dxa"/>
            <w:tcBorders/>
            <w:shd w:fill="FFFFFF" w:val="clear"/>
            <w:vAlign w:val="center"/>
          </w:tcPr>
          <w:p>
            <w:pPr>
              <w:pStyle w:val="TableContents"/>
              <w:bidi w:val="0"/>
              <w:spacing w:before="0" w:after="283"/>
              <w:jc w:val="left"/>
              <w:rPr/>
            </w:pPr>
            <w:r>
              <w:rPr/>
              <w:t> </w:t>
            </w:r>
            <w:bookmarkStart w:id="1019" w:name="xdx_40D_eus-gaap--ShareBasedCompensation"/>
            <w:bookmarkEnd w:id="1019"/>
          </w:p>
        </w:tc>
      </w:tr>
      <w:tr>
        <w:trPr/>
        <w:tc>
          <w:tcPr>
            <w:tcW w:w="3365" w:type="dxa"/>
            <w:tcBorders/>
            <w:shd w:fill="CCEEFF" w:val="clear"/>
            <w:vAlign w:val="center"/>
          </w:tcPr>
          <w:p>
            <w:pPr>
              <w:pStyle w:val="TableContents"/>
              <w:bidi w:val="0"/>
              <w:spacing w:before="0" w:after="283"/>
              <w:jc w:val="left"/>
              <w:rPr/>
            </w:pPr>
            <w:r>
              <w:rPr/>
              <w:t>Shares available for future issuance</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CCEEFF" w:val="clear"/>
            <w:tcMar>
              <w:bottom w:w="28" w:type="dxa"/>
            </w:tcMar>
            <w:vAlign w:val="center"/>
          </w:tcPr>
          <w:p>
            <w:pPr>
              <w:pStyle w:val="TableContents"/>
              <w:bidi w:val="0"/>
              <w:spacing w:before="0" w:after="283"/>
              <w:jc w:val="right"/>
              <w:rPr/>
            </w:pPr>
            <w:r>
              <w:rPr/>
              <w:t>1,017,131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CCEEFF" w:val="clear"/>
            <w:tcMar>
              <w:bottom w:w="28" w:type="dxa"/>
            </w:tcMar>
            <w:vAlign w:val="center"/>
          </w:tcPr>
          <w:p>
            <w:pPr>
              <w:pStyle w:val="TableContents"/>
              <w:bidi w:val="0"/>
              <w:spacing w:before="0" w:after="283"/>
              <w:jc w:val="right"/>
              <w:rPr/>
            </w:pPr>
            <w:r>
              <w:rPr/>
              <w:t>85,441</w:t>
            </w:r>
          </w:p>
        </w:tc>
        <w:tc>
          <w:tcPr>
            <w:tcW w:w="75" w:type="dxa"/>
            <w:tcBorders/>
            <w:shd w:fill="CCEEFF" w:val="clear"/>
            <w:vAlign w:val="center"/>
          </w:tcPr>
          <w:p>
            <w:pPr>
              <w:pStyle w:val="TableContents"/>
              <w:bidi w:val="0"/>
              <w:spacing w:before="0" w:after="283"/>
              <w:jc w:val="left"/>
              <w:rPr/>
            </w:pPr>
            <w:r>
              <w:rPr/>
              <w:t> </w:t>
            </w:r>
            <w:bookmarkStart w:id="1020" w:name="xdx_407_eus-gaap--CommonStockCapitalShar"/>
            <w:bookmarkEnd w:id="1020"/>
          </w:p>
        </w:tc>
      </w:tr>
      <w:tr>
        <w:trPr/>
        <w:tc>
          <w:tcPr>
            <w:tcW w:w="336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double" w:sz="6" w:space="0" w:color="000000"/>
            </w:tcBorders>
            <w:shd w:fill="FFFFFF" w:val="clear"/>
            <w:tcMar>
              <w:bottom w:w="28" w:type="dxa"/>
            </w:tcMar>
            <w:vAlign w:val="center"/>
          </w:tcPr>
          <w:p>
            <w:pPr>
              <w:pStyle w:val="TableContents"/>
              <w:bidi w:val="0"/>
              <w:spacing w:before="0" w:after="283"/>
              <w:jc w:val="right"/>
              <w:rPr/>
            </w:pPr>
            <w:r>
              <w:rPr/>
              <w:t>14,312,645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double" w:sz="6" w:space="0" w:color="000000"/>
            </w:tcBorders>
            <w:shd w:fill="FFFFFF" w:val="clear"/>
            <w:tcMar>
              <w:bottom w:w="28" w:type="dxa"/>
            </w:tcMar>
            <w:vAlign w:val="center"/>
          </w:tcPr>
          <w:p>
            <w:pPr>
              <w:pStyle w:val="TableContents"/>
              <w:bidi w:val="0"/>
              <w:spacing w:before="0" w:after="283"/>
              <w:jc w:val="right"/>
              <w:rPr/>
            </w:pPr>
            <w:r>
              <w:rPr/>
              <w:t>1,495,981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21" w:name="xdx_8A4_zOyBB6Q6Wsy4"/>
      <w:bookmarkEnd w:id="102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11 - Common Stock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Chardan Capital Markets LLC, a New York limited liability company (“CCM LLC”) entered into a purchase agreement (the “Original Purchase Agreement”) and a Registration Rights Agreement in connection with the merger. Pursuant to the Original Purchase Agreement, the Company has the right to sell to CCM LLC an amount of shares of common stock, up to a maximum aggregate purchase price of $</w:t>
      </w:r>
      <w:bookmarkStart w:id="1022" w:name="xdx_90C_ecustom--PlanOfMergerMaximumAggr"/>
      <w:bookmarkEnd w:id="1022"/>
      <w:r>
        <w:rPr>
          <w:rFonts w:ascii="Times New Roman;Times;Serif" w:hAnsi="Times New Roman;Times;Serif"/>
          <w:b w:val="false"/>
          <w:i w:val="false"/>
          <w:caps w:val="false"/>
          <w:smallCaps w:val="false"/>
          <w:sz w:val="20"/>
        </w:rPr>
        <w:t xml:space="preserve">150 million, pursuant to the terms of the Purchase Agreement (the “ChEF Equity Facility”). In addition, the Company appointed LifeSci Capital, LLC as “qualified independent underwriter” with respect to the transactions contemplated by the Purchase Agreement. Under the terms of the Purchase Agreement with CCM LLC, the Company issued </w:t>
      </w:r>
      <w:bookmarkStart w:id="1023" w:name="xdx_907_eus-gaap--StockIssuedDuringPerio"/>
      <w:bookmarkEnd w:id="1023"/>
      <w:r>
        <w:rPr>
          <w:rFonts w:ascii="Times New Roman;Times;Serif" w:hAnsi="Times New Roman;Times;Serif"/>
          <w:b w:val="false"/>
          <w:i w:val="false"/>
          <w:caps w:val="false"/>
          <w:smallCaps w:val="false"/>
          <w:sz w:val="20"/>
        </w:rPr>
        <w:t>2,316 shares for aggregate net proceeds to the Company of $</w:t>
      </w:r>
      <w:bookmarkStart w:id="1024" w:name="xdx_909_eus-gaap--StockIssuedDuringPerio"/>
      <w:bookmarkEnd w:id="1024"/>
      <w:r>
        <w:rPr>
          <w:rFonts w:ascii="Times New Roman;Times;Serif" w:hAnsi="Times New Roman;Times;Serif"/>
          <w:b w:val="false"/>
          <w:i w:val="false"/>
          <w:caps w:val="false"/>
          <w:smallCaps w:val="false"/>
          <w:sz w:val="20"/>
        </w:rPr>
        <w:t xml:space="preserve">63 from the period January 1, 2025 through December 31, 2025. The Company issued </w:t>
      </w:r>
      <w:bookmarkStart w:id="1025" w:name="xdx_906_eus-gaap--StockIssuedDuringPerio"/>
      <w:bookmarkEnd w:id="1025"/>
      <w:r>
        <w:rPr>
          <w:rFonts w:ascii="Times New Roman;Times;Serif" w:hAnsi="Times New Roman;Times;Serif"/>
          <w:b w:val="false"/>
          <w:i w:val="false"/>
          <w:caps w:val="false"/>
          <w:smallCaps w:val="false"/>
          <w:sz w:val="20"/>
        </w:rPr>
        <w:t>35,042 shares pursuant to the ChEF Equity Facility for aggregate proceeds to the Company of $</w:t>
      </w:r>
      <w:bookmarkStart w:id="1026" w:name="xdx_900_eus-gaap--StockIssuedDuringPerio"/>
      <w:bookmarkEnd w:id="1026"/>
      <w:r>
        <w:rPr>
          <w:rFonts w:ascii="Times New Roman;Times;Serif" w:hAnsi="Times New Roman;Times;Serif"/>
          <w:b w:val="false"/>
          <w:i w:val="false"/>
          <w:caps w:val="false"/>
          <w:smallCaps w:val="false"/>
          <w:sz w:val="20"/>
        </w:rPr>
        <w:t>2,025 from the period of January 1, 2024 through December 31, 2024. In accordance with the anti-dilution provisions of the Penny Warrants with respect to certain sales made by the Company under the ChEF Equity Facility, 276 Penny Warrants were issued from the period January 1, 2024 through December 31, 2024. The ChEF Equity Facility expires in December 2025. As part of the expiration, the remainder of the Commitment Fee, pursuant to the purchase agreement, of $891 is due and payable to Chardan Capital Markets. This amount is expensed and accrued in current liabilities, specifically ‘Accrued payroll and other liabilities’, on the balance sheet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July 2025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30, 2025, the Company entered into an underwriting agreement with Canaccord Genuity LLC, as underwriter, relating to an underwritten public offering of </w:t>
      </w:r>
      <w:bookmarkStart w:id="1027" w:name="xdx_902_eus-gaap--SaleOfStockNumberOfSha"/>
      <w:bookmarkEnd w:id="1027"/>
      <w:r>
        <w:rPr>
          <w:rFonts w:ascii="Times New Roman;Times;Serif" w:hAnsi="Times New Roman;Times;Serif"/>
          <w:b w:val="false"/>
          <w:i w:val="false"/>
          <w:caps w:val="false"/>
          <w:smallCaps w:val="false"/>
          <w:sz w:val="20"/>
        </w:rPr>
        <w:t>2,198,000 shares of common stock at a price to the public of $</w:t>
      </w:r>
      <w:bookmarkStart w:id="1028" w:name="xdx_906_eus-gaap--SharePrice_iI_pid_c202"/>
      <w:bookmarkEnd w:id="1028"/>
      <w:r>
        <w:rPr>
          <w:rFonts w:ascii="Times New Roman;Times;Serif" w:hAnsi="Times New Roman;Times;Serif"/>
          <w:b w:val="false"/>
          <w:i w:val="false"/>
          <w:caps w:val="false"/>
          <w:smallCaps w:val="false"/>
          <w:sz w:val="20"/>
        </w:rPr>
        <w:t>2.50 per share raising proceeds of $</w:t>
      </w:r>
      <w:bookmarkStart w:id="1029" w:name="xdx_90C_eus-gaap--ProceedsFromOtherEquit"/>
      <w:bookmarkEnd w:id="1029"/>
      <w:r>
        <w:rPr>
          <w:rFonts w:ascii="Times New Roman;Times;Serif" w:hAnsi="Times New Roman;Times;Serif"/>
          <w:b w:val="false"/>
          <w:i w:val="false"/>
          <w:caps w:val="false"/>
          <w:smallCaps w:val="false"/>
          <w:sz w:val="20"/>
        </w:rPr>
        <w:t>4,684 net of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October 2025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6, 2025, the Company entered into the First Offering Underwriting Agreement with Canaccord, as representative of the First Offering Underwriters, relating to the First October 2025 Offering of </w:t>
      </w:r>
      <w:bookmarkStart w:id="1030" w:name="xdx_90E_eus-gaap--SaleOfStockNumberOfSha"/>
      <w:bookmarkEnd w:id="1030"/>
      <w:r>
        <w:rPr>
          <w:rFonts w:ascii="Times New Roman;Times;Serif" w:hAnsi="Times New Roman;Times;Serif"/>
          <w:b w:val="false"/>
          <w:i w:val="false"/>
          <w:caps w:val="false"/>
          <w:smallCaps w:val="false"/>
          <w:sz w:val="20"/>
        </w:rPr>
        <w:t>2,000,000 shares of common stock, at a price to the public of $</w:t>
      </w:r>
      <w:bookmarkStart w:id="1031" w:name="xdx_905_eus-gaap--SaleOfStockPricePerSha"/>
      <w:bookmarkEnd w:id="1031"/>
      <w:r>
        <w:rPr>
          <w:rFonts w:ascii="Times New Roman;Times;Serif" w:hAnsi="Times New Roman;Times;Serif"/>
          <w:b w:val="false"/>
          <w:i w:val="false"/>
          <w:caps w:val="false"/>
          <w:smallCaps w:val="false"/>
          <w:sz w:val="20"/>
        </w:rPr>
        <w:t xml:space="preserve">12.50 per share. Pursuant to the terms of the First Offering Underwriting Agreement, the Company granted to the First Offering Underwriters a 30-day option to purchase up to an additional </w:t>
      </w:r>
      <w:bookmarkStart w:id="1032" w:name="xdx_907_eus-gaap--SaleOfStockNumberOfSha"/>
      <w:bookmarkEnd w:id="1032"/>
      <w:r>
        <w:rPr>
          <w:rFonts w:ascii="Times New Roman;Times;Serif" w:hAnsi="Times New Roman;Times;Serif"/>
          <w:b w:val="false"/>
          <w:i w:val="false"/>
          <w:caps w:val="false"/>
          <w:smallCaps w:val="false"/>
          <w:sz w:val="20"/>
        </w:rPr>
        <w:t xml:space="preserve">300,000 shares of common stock in the First October 2025 Offering at the public price which the First Offering Underwriters exercised. On October 7, 2025, the Company completed the First October 2025 Offering of </w:t>
      </w:r>
      <w:bookmarkStart w:id="1033" w:name="xdx_900_eus-gaap--SaleOfStockNumberOfSha"/>
      <w:bookmarkEnd w:id="1033"/>
      <w:r>
        <w:rPr>
          <w:rFonts w:ascii="Times New Roman;Times;Serif" w:hAnsi="Times New Roman;Times;Serif"/>
          <w:b w:val="false"/>
          <w:i w:val="false"/>
          <w:caps w:val="false"/>
          <w:smallCaps w:val="false"/>
          <w:sz w:val="20"/>
        </w:rPr>
        <w:t>2,300,000 shares of common stock raising gross proceeds of approximately $</w:t>
      </w:r>
      <w:bookmarkStart w:id="1034" w:name="xdx_909_eus-gaap--SaleOfStockConsiderati"/>
      <w:bookmarkEnd w:id="1034"/>
      <w:r>
        <w:rPr>
          <w:rFonts w:ascii="Times New Roman;Times;Serif" w:hAnsi="Times New Roman;Times;Serif"/>
          <w:b w:val="false"/>
          <w:i w:val="false"/>
          <w:caps w:val="false"/>
          <w:smallCaps w:val="false"/>
          <w:sz w:val="20"/>
        </w:rPr>
        <w:t>27,025 and net proceeds of $</w:t>
      </w:r>
      <w:bookmarkStart w:id="1035" w:name="xdx_904_eus-gaap--ProceedsFromIssuanceOr"/>
      <w:bookmarkEnd w:id="1035"/>
      <w:r>
        <w:rPr>
          <w:rFonts w:ascii="Times New Roman;Times;Serif" w:hAnsi="Times New Roman;Times;Serif"/>
          <w:b w:val="false"/>
          <w:i w:val="false"/>
          <w:caps w:val="false"/>
          <w:smallCaps w:val="false"/>
          <w:sz w:val="20"/>
        </w:rPr>
        <w:t>26,925 after deducting underwriting discounts and commissions and other estimated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16, 2025, the Company entered into the Second Offering Underwriting Agreement with Canaccord, as representative of the Second Offering Underwriters, relating to the Second October 2025 Offering of (i) </w:t>
      </w:r>
      <w:bookmarkStart w:id="1036" w:name="xdx_90D_eus-gaap--SaleOfStockNumberOfSha"/>
      <w:bookmarkEnd w:id="1036"/>
      <w:r>
        <w:rPr>
          <w:rFonts w:ascii="Times New Roman;Times;Serif" w:hAnsi="Times New Roman;Times;Serif"/>
          <w:b w:val="false"/>
          <w:i w:val="false"/>
          <w:caps w:val="false"/>
          <w:smallCaps w:val="false"/>
          <w:sz w:val="20"/>
        </w:rPr>
        <w:t>3,600,000 shares of common stock, at a price to the public of $</w:t>
      </w:r>
      <w:bookmarkStart w:id="1037" w:name="xdx_905_eus-gaap--SaleOfStockPricePerSha"/>
      <w:bookmarkEnd w:id="1037"/>
      <w:r>
        <w:rPr>
          <w:rFonts w:ascii="Times New Roman;Times;Serif" w:hAnsi="Times New Roman;Times;Serif"/>
          <w:b w:val="false"/>
          <w:i w:val="false"/>
          <w:caps w:val="false"/>
          <w:smallCaps w:val="false"/>
          <w:sz w:val="20"/>
        </w:rPr>
        <w:t xml:space="preserve">13.50 per share and (ii) pre-funded warrants to purchase up to </w:t>
      </w:r>
      <w:bookmarkStart w:id="1038" w:name="xdx_90C_eus-gaap--ClassOfWarrantOrRightN"/>
      <w:bookmarkEnd w:id="1038"/>
      <w:r>
        <w:rPr>
          <w:rFonts w:ascii="Times New Roman;Times;Serif" w:hAnsi="Times New Roman;Times;Serif"/>
          <w:b w:val="false"/>
          <w:i w:val="false"/>
          <w:caps w:val="false"/>
          <w:smallCaps w:val="false"/>
          <w:sz w:val="20"/>
        </w:rPr>
        <w:t>500,000 shares of common stock at a price to the public of $</w:t>
      </w:r>
      <w:bookmarkStart w:id="1039" w:name="xdx_900_eus-gaap--ClassOfWarrantOrRightE"/>
      <w:bookmarkEnd w:id="1039"/>
      <w:r>
        <w:rPr>
          <w:rFonts w:ascii="Times New Roman;Times;Serif" w:hAnsi="Times New Roman;Times;Serif"/>
          <w:b w:val="false"/>
          <w:i w:val="false"/>
          <w:caps w:val="false"/>
          <w:smallCaps w:val="false"/>
          <w:sz w:val="20"/>
        </w:rPr>
        <w:t>13.50 per pre-funded warrant. On October 17, 2025, the Company completed the Second October 2025 Offering raising gross proceeds of approximately $</w:t>
      </w:r>
      <w:bookmarkStart w:id="1040" w:name="xdx_900_eus-gaap--SaleOfStockConsiderati"/>
      <w:bookmarkEnd w:id="1040"/>
      <w:r>
        <w:rPr>
          <w:rFonts w:ascii="Times New Roman;Times;Serif" w:hAnsi="Times New Roman;Times;Serif"/>
          <w:b w:val="false"/>
          <w:i w:val="false"/>
          <w:caps w:val="false"/>
          <w:smallCaps w:val="false"/>
          <w:sz w:val="20"/>
        </w:rPr>
        <w:t>52,028 and net proceeds of $</w:t>
      </w:r>
      <w:bookmarkStart w:id="1041" w:name="xdx_906_eus-gaap--ProceedsFromIssuanceOr"/>
      <w:bookmarkEnd w:id="1041"/>
      <w:r>
        <w:rPr>
          <w:rFonts w:ascii="Times New Roman;Times;Serif" w:hAnsi="Times New Roman;Times;Serif"/>
          <w:b w:val="false"/>
          <w:i w:val="false"/>
          <w:caps w:val="false"/>
          <w:smallCaps w:val="false"/>
          <w:sz w:val="20"/>
        </w:rPr>
        <w:t>51,929 after deducting underwriting discounts and commissions and other estimated offering expenses payable by the Company.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11 - Common Stock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 and Recasting of Per-Share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the Company filed a Certificate of Amendment to the Company’s Articles of Incorporation with the Secretary of State of the State of Nevada to be effected at 6:00 a.m. Eastern Time on November 22, 2024, a one-for-nine reverse stock split of the Company’s issued and outstanding shares of common stock, par value $</w:t>
      </w:r>
      <w:bookmarkStart w:id="1042" w:name="xdx_906_eus-gaap--CommonStockParOrStated"/>
      <w:bookmarkEnd w:id="1042"/>
      <w:r>
        <w:rPr>
          <w:rFonts w:ascii="Times New Roman;Times;Serif" w:hAnsi="Times New Roman;Times;Serif"/>
          <w:b w:val="false"/>
          <w:i w:val="false"/>
          <w:caps w:val="false"/>
          <w:smallCaps w:val="false"/>
          <w:sz w:val="20"/>
        </w:rPr>
        <w:t xml:space="preserve">0.0001 per share. As a result of the reverse stock split, every nine shares of common stock issued and outstanding, including shares held as treasury shares, were automatically combined into one share of common stock. The number of authorized shares of Common Stock remained the same at </w:t>
      </w:r>
      <w:bookmarkStart w:id="1043" w:name="xdx_904_eus-gaap--CommonStockSharesAutho"/>
      <w:bookmarkEnd w:id="1043"/>
      <w:r>
        <w:rPr>
          <w:rFonts w:ascii="Times New Roman;Times;Serif" w:hAnsi="Times New Roman;Times;Serif"/>
          <w:b w:val="false"/>
          <w:i w:val="false"/>
          <w:caps w:val="false"/>
          <w:smallCaps w:val="false"/>
          <w:sz w:val="20"/>
        </w:rPr>
        <w:t>250,000,000 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the Common Stock began trading on a split-adjusted basis at market open on November 22, 2024. The $</w:t>
      </w:r>
      <w:bookmarkStart w:id="1044" w:name="xdx_90D_eus-gaap--CommonStockParOrStated"/>
      <w:bookmarkEnd w:id="1044"/>
      <w:r>
        <w:rPr>
          <w:rFonts w:ascii="Times New Roman;Times;Serif" w:hAnsi="Times New Roman;Times;Serif"/>
          <w:b w:val="false"/>
          <w:i w:val="false"/>
          <w:caps w:val="false"/>
          <w:smallCaps w:val="false"/>
          <w:sz w:val="20"/>
        </w:rPr>
        <w:t>0.0001 par value per share of Common Stock and any other rights associated with the Common Stock were not affected by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 filed a Certificate of Amendment to the Company’s Articles of Incorporation with the Secretary of State of the State of Nevada to be effected at 6:00 a.m. Eastern Time on December 18, 2025, a one-for-ten reverse stock split of the Company’s issued and outstanding shares of common stock, par value $</w:t>
      </w:r>
      <w:bookmarkStart w:id="1045" w:name="xdx_905_eus-gaap--CommonStockParOrStated"/>
      <w:bookmarkEnd w:id="1045"/>
      <w:r>
        <w:rPr>
          <w:rFonts w:ascii="Times New Roman;Times;Serif" w:hAnsi="Times New Roman;Times;Serif"/>
          <w:b w:val="false"/>
          <w:i w:val="false"/>
          <w:caps w:val="false"/>
          <w:smallCaps w:val="false"/>
          <w:sz w:val="20"/>
        </w:rPr>
        <w:t xml:space="preserve">0.0001 per share. As a result of the reverse stock split, every ten shares of the Company’s issued and outstanding common stock was converted into one share of common stock. The number of authorized shares of Common Stock remained the same at </w:t>
      </w:r>
      <w:bookmarkStart w:id="1046" w:name="xdx_905_eus-gaap--CommonStockSharesAutho"/>
      <w:bookmarkEnd w:id="1046"/>
      <w:r>
        <w:rPr>
          <w:rFonts w:ascii="Times New Roman;Times;Serif" w:hAnsi="Times New Roman;Times;Serif"/>
          <w:b w:val="false"/>
          <w:i w:val="false"/>
          <w:caps w:val="false"/>
          <w:smallCaps w:val="false"/>
          <w:sz w:val="20"/>
        </w:rPr>
        <w:t>400,000,000 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began trading on a Reverse Stock Split-adjusted basis when the market opens on December 18, 2025. The Reverse Stock Split did not change the par value of the Common Stock or the authorized number of shares of Common Stock.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11 - Common Stock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Common Stock, stock option awards and per share amounts in the accompanying Consolidated Financial Statements and related Notes have been retrospectively restated to reflect the effect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 outstanding were not affected by the reverse stock split and as such, those shares have not been adjusted in the accompanying Consolidated Financial Statements and related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047" w:name="xdx_80C_eus-gaap--DisclosureOfCompensati"/>
      <w:bookmarkEnd w:id="1047"/>
      <w:r>
        <w:rPr>
          <w:rFonts w:ascii="Times New Roman;Times;Serif" w:hAnsi="Times New Roman;Times;Serif"/>
          <w:b/>
          <w:i w:val="false"/>
          <w:caps/>
          <w:sz w:val="20"/>
        </w:rPr>
        <w:t xml:space="preserve">Note 12 - </w:t>
      </w:r>
      <w:bookmarkStart w:id="1048" w:name="xdx_829_zNn7dpDAGch"/>
      <w:bookmarkEnd w:id="1048"/>
      <w:r>
        <w:rPr>
          <w:rFonts w:ascii="Times New Roman;Times;Serif" w:hAnsi="Times New Roman;Times;Serif"/>
          <w:b/>
          <w:i w:val="false"/>
          <w:caps/>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of 2021, the Board of Directors approved the 2021 Stock Incentive Plan (the “2021 Plan” and, together with the 2019 Plan, the “Prior Plans”) with a term of </w:t>
      </w:r>
      <w:bookmarkStart w:id="1049" w:name="xdx_90A_eus-gaap--SharebasedCompensation"/>
      <w:bookmarkEnd w:id="1049"/>
      <w:r>
        <w:rPr>
          <w:rFonts w:ascii="Times New Roman;Times;Serif" w:hAnsi="Times New Roman;Times;Serif"/>
          <w:b w:val="false"/>
          <w:i w:val="false"/>
          <w:caps w:val="false"/>
          <w:smallCaps w:val="false"/>
          <w:sz w:val="20"/>
        </w:rPr>
        <w:t xml:space="preserve">ten years. The Plan was administered by the Board of Directors, which was authorized to grant, at its discretion, awards to employees, directors, and consultants. The maximum number of common shares reserved for grants of awards under the Plan was </w:t>
      </w:r>
      <w:bookmarkStart w:id="1050" w:name="xdx_900_eus-gaap--ShareBasedCompensation"/>
      <w:bookmarkEnd w:id="1050"/>
      <w:r>
        <w:rPr>
          <w:rFonts w:ascii="Times New Roman;Times;Serif" w:hAnsi="Times New Roman;Times;Serif"/>
          <w:b w:val="false"/>
          <w:i w:val="false"/>
          <w:caps w:val="false"/>
          <w:smallCaps w:val="false"/>
          <w:sz w:val="20"/>
        </w:rPr>
        <w:t xml:space="preserve">11,111 shares which was amended and increased to </w:t>
      </w:r>
      <w:bookmarkStart w:id="1051" w:name="xdx_90F_eus-gaap--ShareBasedCompensation"/>
      <w:bookmarkEnd w:id="1051"/>
      <w:r>
        <w:rPr>
          <w:rFonts w:ascii="Times New Roman;Times;Serif" w:hAnsi="Times New Roman;Times;Serif"/>
          <w:b w:val="false"/>
          <w:i w:val="false"/>
          <w:caps w:val="false"/>
          <w:smallCaps w:val="false"/>
          <w:sz w:val="20"/>
        </w:rPr>
        <w:t>22,222 in May of 2022. The Plan provides for the grant of stock options (both incentive stock options and nonqualified stock options), and the grants and sale of RSUs. Shares issued under this Plan may be drawn from authorized and unissued shares, or shares reacquired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shareholders and board members approved the Dragonfly Energy Holdings 2022 Equity Incentive Plan (the “2022 Plan”). A total of </w:t>
      </w:r>
      <w:bookmarkStart w:id="1052" w:name="xdx_900_eus-gaap--CommonStockCapitalShar"/>
      <w:bookmarkEnd w:id="1052"/>
      <w:r>
        <w:rPr>
          <w:rFonts w:ascii="Times New Roman;Times;Serif" w:hAnsi="Times New Roman;Times;Serif"/>
          <w:b w:val="false"/>
          <w:i w:val="false"/>
          <w:caps w:val="false"/>
          <w:smallCaps w:val="false"/>
          <w:sz w:val="20"/>
        </w:rPr>
        <w:t>30,955 shares of common stock was initially reserved for issuance under the 2022 Plan, with the potential for additional shares to be issued under the plan. The 2022 Plan replaced the Prior Plans, which the Company assumed in the merger. Following the Closing, no additional awards will be granted under the Prior Plans, although all stock awards granted under the Prior Plans that are outstanding immediately prior to the Closing will be assumed by the Company and continue to be subject to the terms and conditions as set forth in the agreements evidencing such stock awards and the terms of the applicable Prior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incentive award granted under the 2022 Plan expires, terminates, is unexercised or is forfeited, or if any shares are surrendered to us in connection with an incentive award, the shares subject to such award and the surrendered shares will become available for future awards under the 2022 Plan. The number of shares subject to the 2022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15, 2025 at the 2025 Annual Meeting of Stockholders (the “Annual Meeting”) of the Company, the Company’s stockholders approved an amendment (the “Plan Amendment”) to the Company’s 2022 Equity Incentive Plan (the “2022 Plan”) increasing the number of shares available for issuance under the 2022 Plan by </w:t>
      </w:r>
      <w:bookmarkStart w:id="1053" w:name="xdx_90E_eus-gaap--ShareBasedCompensation"/>
      <w:bookmarkEnd w:id="1053"/>
      <w:r>
        <w:rPr>
          <w:rFonts w:ascii="Times New Roman;Times;Serif" w:hAnsi="Times New Roman;Times;Serif"/>
          <w:b w:val="false"/>
          <w:i w:val="false"/>
          <w:caps w:val="false"/>
          <w:smallCaps w:val="false"/>
          <w:sz w:val="20"/>
        </w:rPr>
        <w:t>900,000 shares. The Plan Amendment became effective following its approval by the Company’s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maintains the Dragonfly Energy Holdings Corp. Employee Stock Purchase Plan (the “ESPP”) which is designed to allow eligible employees and the eligible employees of the Company’s participating subsidiaries to purchase shares of the Company’s common stock, at semi-annual intervals, with their accumulated payroll deductions. A total of </w:t>
      </w:r>
      <w:bookmarkStart w:id="1054" w:name="xdx_902_eus-gaap--StockIssuedDuringPerio"/>
      <w:bookmarkEnd w:id="1054"/>
      <w:r>
        <w:rPr>
          <w:rFonts w:ascii="Times New Roman;Times;Serif" w:hAnsi="Times New Roman;Times;Serif"/>
          <w:b w:val="false"/>
          <w:i w:val="false"/>
          <w:caps w:val="false"/>
          <w:smallCaps w:val="false"/>
          <w:sz w:val="20"/>
        </w:rPr>
        <w:t xml:space="preserve">27,382 shares of the Company’s common stock were initially available for issuance under the ESPP. The share limit will automatically increase on the first trading day in January of each year by an amount equal to lesser of (1) </w:t>
      </w:r>
      <w:bookmarkStart w:id="1055" w:name="xdx_906_ecustom--OutstandingSharesPercen"/>
      <w:bookmarkEnd w:id="1055"/>
      <w:r>
        <w:rPr>
          <w:rFonts w:ascii="Times New Roman;Times;Serif" w:hAnsi="Times New Roman;Times;Serif"/>
          <w:b w:val="false"/>
          <w:i w:val="false"/>
          <w:caps w:val="false"/>
          <w:smallCaps w:val="false"/>
          <w:sz w:val="20"/>
        </w:rPr>
        <w:t xml:space="preserve">1% of the total number of outstanding shares of the Company’s common stock on December 31 in the prior year, (2) </w:t>
      </w:r>
      <w:bookmarkStart w:id="1056" w:name="xdx_901_eus-gaap--StockIssuedDuringPerio"/>
      <w:bookmarkEnd w:id="1056"/>
      <w:r>
        <w:rPr>
          <w:rFonts w:ascii="Times New Roman;Times;Serif" w:hAnsi="Times New Roman;Times;Serif"/>
          <w:b w:val="false"/>
          <w:i w:val="false"/>
          <w:caps w:val="false"/>
          <w:smallCaps w:val="false"/>
          <w:sz w:val="20"/>
        </w:rPr>
        <w:t>16,667 shares, or (3) such number as determined by the Company’s board of directors.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12 - Stock-Based Compensation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57" w:name="xdx_89A_eus-gaap--ScheduleOfShareBasedCo"/>
      <w:bookmarkEnd w:id="1057"/>
      <w:r>
        <w:rPr>
          <w:rFonts w:ascii="Times New Roman;Times;Serif" w:hAnsi="Times New Roman;Times;Serif"/>
          <w:b w:val="false"/>
          <w:i w:val="false"/>
          <w:caps w:val="false"/>
          <w:smallCaps w:val="false"/>
          <w:sz w:val="20"/>
        </w:rPr>
        <w:t>A summary of the Company’s option activity and related information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58" w:name="xdx_8B9_zgluS1eAbnAa"/>
      <w:bookmarkEnd w:id="1058"/>
      <w:r>
        <w:rPr>
          <w:rFonts w:ascii="Times New Roman;Times;Serif" w:hAnsi="Times New Roman;Times;Serif"/>
          <w:b w:val="false"/>
          <w:i w:val="false"/>
          <w:caps w:val="false"/>
          <w:smallCaps w:val="false"/>
          <w:sz w:val="20"/>
        </w:rPr>
        <w:t>SCHEDULE OF OPTION ACTIVITY AND RELATED INFORMATION </w:t>
      </w:r>
    </w:p>
    <w:tbl>
      <w:tblPr>
        <w:tblW w:w="10205" w:type="dxa"/>
        <w:jc w:val="left"/>
        <w:tblInd w:w="0" w:type="dxa"/>
        <w:tblLayout w:type="fixed"/>
        <w:tblCellMar>
          <w:top w:w="0" w:type="dxa"/>
          <w:left w:w="0" w:type="dxa"/>
          <w:bottom w:w="0" w:type="dxa"/>
          <w:right w:w="0" w:type="dxa"/>
        </w:tblCellMar>
      </w:tblPr>
      <w:tblGrid>
        <w:gridCol w:w="1419"/>
        <w:gridCol w:w="60"/>
        <w:gridCol w:w="66"/>
        <w:gridCol w:w="764"/>
        <w:gridCol w:w="95"/>
        <w:gridCol w:w="60"/>
        <w:gridCol w:w="333"/>
        <w:gridCol w:w="1623"/>
        <w:gridCol w:w="60"/>
        <w:gridCol w:w="60"/>
        <w:gridCol w:w="345"/>
        <w:gridCol w:w="1685"/>
        <w:gridCol w:w="60"/>
        <w:gridCol w:w="60"/>
        <w:gridCol w:w="260"/>
        <w:gridCol w:w="1913"/>
        <w:gridCol w:w="60"/>
        <w:gridCol w:w="60"/>
        <w:gridCol w:w="306"/>
        <w:gridCol w:w="836"/>
        <w:gridCol w:w="80"/>
      </w:tblGrid>
      <w:tr>
        <w:trPr/>
        <w:tc>
          <w:tcPr>
            <w:tcW w:w="14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Number of </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6" w:type="dxa"/>
            <w:gridSpan w:val="2"/>
            <w:tcBorders>
              <w:bottom w:val="single" w:sz="8" w:space="0" w:color="000000"/>
            </w:tcBorders>
            <w:tcMar>
              <w:bottom w:w="28" w:type="dxa"/>
            </w:tcMar>
            <w:vAlign w:val="center"/>
          </w:tcPr>
          <w:p>
            <w:pPr>
              <w:pStyle w:val="TableContents"/>
              <w:bidi w:val="0"/>
              <w:spacing w:before="0" w:after="283"/>
              <w:jc w:val="center"/>
              <w:rPr/>
            </w:pPr>
            <w:r>
              <w:rPr/>
              <w:t>Weighted-Average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center"/>
          </w:tcPr>
          <w:p>
            <w:pPr>
              <w:pStyle w:val="TableContents"/>
              <w:bidi w:val="0"/>
              <w:spacing w:before="0" w:after="283"/>
              <w:jc w:val="center"/>
              <w:rPr/>
            </w:pPr>
            <w:r>
              <w:rPr/>
              <w:t>Weighted-Average Grant 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3" w:type="dxa"/>
            <w:gridSpan w:val="2"/>
            <w:tcBorders>
              <w:bottom w:val="single" w:sz="8" w:space="0" w:color="000000"/>
            </w:tcBorders>
            <w:tcMar>
              <w:bottom w:w="28" w:type="dxa"/>
            </w:tcMar>
            <w:vAlign w:val="center"/>
          </w:tcPr>
          <w:p>
            <w:pPr>
              <w:pStyle w:val="TableContents"/>
              <w:bidi w:val="0"/>
              <w:spacing w:before="0" w:after="283"/>
              <w:jc w:val="center"/>
              <w:rPr/>
            </w:pPr>
            <w:r>
              <w:rPr/>
              <w:t>Weighted-Average Remaining Contractual 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center"/>
          </w:tcPr>
          <w:p>
            <w:pPr>
              <w:pStyle w:val="TableContents"/>
              <w:bidi w:val="0"/>
              <w:spacing w:before="0" w:after="283"/>
              <w:jc w:val="center"/>
              <w:rPr/>
            </w:pPr>
            <w:r>
              <w:rPr/>
              <w:t>Aggregate intrinsic value</w:t>
            </w:r>
          </w:p>
        </w:tc>
        <w:tc>
          <w:tcPr>
            <w:tcW w:w="80" w:type="dxa"/>
            <w:tcBorders/>
            <w:vAlign w:val="center"/>
          </w:tcPr>
          <w:p>
            <w:pPr>
              <w:pStyle w:val="TableContents"/>
              <w:bidi w:val="0"/>
              <w:spacing w:before="0" w:after="283"/>
              <w:jc w:val="left"/>
              <w:rPr/>
            </w:pPr>
            <w:r>
              <w:rPr/>
              <w:t> </w:t>
            </w:r>
          </w:p>
        </w:tc>
      </w:tr>
      <w:tr>
        <w:trPr/>
        <w:tc>
          <w:tcPr>
            <w:tcW w:w="1419" w:type="dxa"/>
            <w:tcBorders/>
            <w:shd w:fill="CCEEFF" w:val="clear"/>
            <w:vAlign w:val="center"/>
          </w:tcPr>
          <w:p>
            <w:pPr>
              <w:pStyle w:val="TableContents"/>
              <w:bidi w:val="0"/>
              <w:spacing w:before="0" w:after="283"/>
              <w:jc w:val="left"/>
              <w:rPr/>
            </w:pPr>
            <w:r>
              <w:rPr/>
              <w:t>Balances, January 1, 2024</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1059" w:name="xdx_980_eus-gaap--ShareBasedCompensation"/>
            <w:bookmarkEnd w:id="1059"/>
          </w:p>
        </w:tc>
        <w:tc>
          <w:tcPr>
            <w:tcW w:w="764" w:type="dxa"/>
            <w:tcBorders/>
            <w:shd w:fill="CCEEFF" w:val="clear"/>
            <w:vAlign w:val="center"/>
          </w:tcPr>
          <w:p>
            <w:pPr>
              <w:pStyle w:val="TableContents"/>
              <w:bidi w:val="0"/>
              <w:spacing w:before="0" w:after="283"/>
              <w:jc w:val="right"/>
              <w:rPr/>
            </w:pPr>
            <w:r>
              <w:rPr/>
              <w:t>26,272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bookmarkStart w:id="1060" w:name="xdx_98B_eus-gaap--ShareBasedCompensation"/>
            <w:bookmarkEnd w:id="1060"/>
          </w:p>
        </w:tc>
        <w:tc>
          <w:tcPr>
            <w:tcW w:w="1623" w:type="dxa"/>
            <w:tcBorders/>
            <w:shd w:fill="CCEEFF" w:val="clear"/>
            <w:vAlign w:val="center"/>
          </w:tcPr>
          <w:p>
            <w:pPr>
              <w:pStyle w:val="TableContents"/>
              <w:bidi w:val="0"/>
              <w:spacing w:before="0" w:after="283"/>
              <w:jc w:val="right"/>
              <w:rPr/>
            </w:pPr>
            <w:r>
              <w:rPr/>
              <w:t>242.10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bookmarkStart w:id="1061" w:name="xdx_988_eus-gaap--SharebasedCompensation"/>
            <w:bookmarkEnd w:id="1061"/>
          </w:p>
        </w:tc>
        <w:tc>
          <w:tcPr>
            <w:tcW w:w="1685" w:type="dxa"/>
            <w:tcBorders/>
            <w:shd w:fill="CCEEFF" w:val="clear"/>
            <w:vAlign w:val="center"/>
          </w:tcPr>
          <w:p>
            <w:pPr>
              <w:pStyle w:val="TableContents"/>
              <w:bidi w:val="0"/>
              <w:spacing w:before="0" w:after="283"/>
              <w:jc w:val="right"/>
              <w:rPr/>
            </w:pPr>
            <w:r>
              <w:rPr/>
              <w:t>141.30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3" w:type="dxa"/>
            <w:tcBorders/>
            <w:shd w:fill="CCEEFF" w:val="clear"/>
            <w:vAlign w:val="center"/>
          </w:tcPr>
          <w:p>
            <w:pPr>
              <w:pStyle w:val="TableContents"/>
              <w:bidi w:val="0"/>
              <w:spacing w:before="0" w:after="283"/>
              <w:jc w:val="right"/>
              <w:rPr/>
            </w:pPr>
            <w:bookmarkStart w:id="1062" w:name="xdx_903_eus-gaap--SharebasedCompensation"/>
            <w:bookmarkEnd w:id="1062"/>
            <w:r>
              <w:rPr/>
              <w:t>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bookmarkStart w:id="1063" w:name="xdx_988_eus-gaap--ShareBasedCompensation"/>
            <w:bookmarkEnd w:id="1063"/>
          </w:p>
        </w:tc>
        <w:tc>
          <w:tcPr>
            <w:tcW w:w="836" w:type="dxa"/>
            <w:tcBorders/>
            <w:shd w:fill="CCEEFF" w:val="clear"/>
            <w:vAlign w:val="center"/>
          </w:tcPr>
          <w:p>
            <w:pPr>
              <w:pStyle w:val="TableContents"/>
              <w:bidi w:val="0"/>
              <w:spacing w:before="0" w:after="283"/>
              <w:jc w:val="right"/>
              <w:rPr/>
            </w:pPr>
            <w:r>
              <w:rPr/>
              <w:t>60</w:t>
            </w:r>
          </w:p>
        </w:tc>
        <w:tc>
          <w:tcPr>
            <w:tcW w:w="80" w:type="dxa"/>
            <w:tcBorders/>
            <w:shd w:fill="CCEEFF" w:val="clear"/>
            <w:vAlign w:val="center"/>
          </w:tcPr>
          <w:p>
            <w:pPr>
              <w:pStyle w:val="TableContents"/>
              <w:bidi w:val="0"/>
              <w:spacing w:before="0" w:after="283"/>
              <w:jc w:val="left"/>
              <w:rPr/>
            </w:pPr>
            <w:r>
              <w:rPr/>
              <w:t> </w:t>
            </w:r>
          </w:p>
        </w:tc>
      </w:tr>
      <w:tr>
        <w:trPr/>
        <w:tc>
          <w:tcPr>
            <w:tcW w:w="1419"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1064" w:name="xdx_984_eus-gaap--ShareBasedCompensation"/>
            <w:bookmarkEnd w:id="1064"/>
          </w:p>
        </w:tc>
        <w:tc>
          <w:tcPr>
            <w:tcW w:w="7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bookmarkStart w:id="1065" w:name="xdx_987_eus-gaap--ShareBasedCompensation"/>
            <w:bookmarkEnd w:id="1065"/>
          </w:p>
        </w:tc>
        <w:tc>
          <w:tcPr>
            <w:tcW w:w="162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bookmarkStart w:id="1066" w:name="xdx_98D_eus-gaap--ShareBasedCompensation"/>
            <w:bookmarkEnd w:id="1066"/>
          </w:p>
        </w:tc>
        <w:tc>
          <w:tcPr>
            <w:tcW w:w="16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9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bookmarkStart w:id="1067" w:name="xdx_98C_eus-gaap--ShareBasedCompensation"/>
            <w:bookmarkEnd w:id="1067"/>
          </w:p>
        </w:tc>
        <w:tc>
          <w:tcPr>
            <w:tcW w:w="83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419" w:type="dxa"/>
            <w:tcBorders/>
            <w:shd w:fill="CCEEFF" w:val="clear"/>
            <w:vAlign w:val="center"/>
          </w:tcPr>
          <w:p>
            <w:pPr>
              <w:pStyle w:val="TableContents"/>
              <w:bidi w:val="0"/>
              <w:spacing w:before="0" w:after="283"/>
              <w:jc w:val="left"/>
              <w:rPr/>
            </w:pPr>
            <w:r>
              <w:rPr/>
              <w:t>Options forfeited</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1068" w:name="xdx_980_eus-gaap--ShareBasedCompensation"/>
            <w:bookmarkEnd w:id="1068"/>
          </w:p>
        </w:tc>
        <w:tc>
          <w:tcPr>
            <w:tcW w:w="764" w:type="dxa"/>
            <w:tcBorders/>
            <w:shd w:fill="CCEEFF" w:val="clear"/>
            <w:vAlign w:val="center"/>
          </w:tcPr>
          <w:p>
            <w:pPr>
              <w:pStyle w:val="TableContents"/>
              <w:bidi w:val="0"/>
              <w:spacing w:before="0" w:after="283"/>
              <w:jc w:val="right"/>
              <w:rPr/>
            </w:pPr>
            <w:r>
              <w:rPr/>
              <w:t>(2,703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bookmarkStart w:id="1069" w:name="xdx_980_eus-gaap--ShareBasedCompensation"/>
            <w:bookmarkEnd w:id="1069"/>
          </w:p>
        </w:tc>
        <w:tc>
          <w:tcPr>
            <w:tcW w:w="1623" w:type="dxa"/>
            <w:tcBorders/>
            <w:shd w:fill="CCEEFF" w:val="clear"/>
            <w:vAlign w:val="center"/>
          </w:tcPr>
          <w:p>
            <w:pPr>
              <w:pStyle w:val="TableContents"/>
              <w:bidi w:val="0"/>
              <w:spacing w:before="0" w:after="283"/>
              <w:jc w:val="right"/>
              <w:rPr/>
            </w:pPr>
            <w:r>
              <w:rPr/>
              <w:t>265.30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bookmarkStart w:id="1070" w:name="xdx_98A_eus-gaap--SharebasedCompensation"/>
            <w:bookmarkEnd w:id="1070"/>
          </w:p>
        </w:tc>
        <w:tc>
          <w:tcPr>
            <w:tcW w:w="1685" w:type="dxa"/>
            <w:tcBorders/>
            <w:shd w:fill="CCEEFF" w:val="clear"/>
            <w:vAlign w:val="center"/>
          </w:tcPr>
          <w:p>
            <w:pPr>
              <w:pStyle w:val="TableContents"/>
              <w:bidi w:val="0"/>
              <w:spacing w:before="0" w:after="283"/>
              <w:jc w:val="right"/>
              <w:rPr/>
            </w:pPr>
            <w:r>
              <w:rPr/>
              <w:t>265.30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bookmarkStart w:id="1071" w:name="xdx_982_ecustom--ShareBasedCompensationA"/>
            <w:bookmarkEnd w:id="1071"/>
          </w:p>
        </w:tc>
        <w:tc>
          <w:tcPr>
            <w:tcW w:w="836" w:type="dxa"/>
            <w:tcBorders/>
            <w:shd w:fill="CCEEFF" w:val="clear"/>
            <w:vAlign w:val="center"/>
          </w:tcPr>
          <w:p>
            <w:pPr>
              <w:pStyle w:val="TableContents"/>
              <w:bidi w:val="0"/>
              <w:spacing w:before="0" w:after="283"/>
              <w:jc w:val="right"/>
              <w:rPr/>
            </w:pPr>
            <w:r>
              <w:rPr/>
              <w:t>4</w:t>
            </w:r>
          </w:p>
        </w:tc>
        <w:tc>
          <w:tcPr>
            <w:tcW w:w="80" w:type="dxa"/>
            <w:tcBorders/>
            <w:shd w:fill="CCEEFF" w:val="clear"/>
            <w:vAlign w:val="center"/>
          </w:tcPr>
          <w:p>
            <w:pPr>
              <w:pStyle w:val="TableContents"/>
              <w:bidi w:val="0"/>
              <w:spacing w:before="0" w:after="283"/>
              <w:jc w:val="left"/>
              <w:rPr/>
            </w:pPr>
            <w:r>
              <w:rPr/>
              <w:t> </w:t>
            </w:r>
          </w:p>
        </w:tc>
      </w:tr>
      <w:tr>
        <w:trPr/>
        <w:tc>
          <w:tcPr>
            <w:tcW w:w="1419" w:type="dxa"/>
            <w:tcBorders/>
            <w:shd w:fill="FFFFFF" w:val="clear"/>
            <w:vAlign w:val="center"/>
          </w:tcPr>
          <w:p>
            <w:pPr>
              <w:pStyle w:val="TableContents"/>
              <w:bidi w:val="0"/>
              <w:spacing w:before="0" w:after="283"/>
              <w:jc w:val="left"/>
              <w:rPr/>
            </w:pPr>
            <w:r>
              <w:rPr/>
              <w:t>Options expired</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1072" w:name="xdx_986_ecustom--ShareBasedCompensationA"/>
            <w:bookmarkEnd w:id="1072"/>
          </w:p>
        </w:tc>
        <w:tc>
          <w:tcPr>
            <w:tcW w:w="764" w:type="dxa"/>
            <w:tcBorders/>
            <w:shd w:fill="FFFFFF" w:val="clear"/>
            <w:vAlign w:val="center"/>
          </w:tcPr>
          <w:p>
            <w:pPr>
              <w:pStyle w:val="TableContents"/>
              <w:bidi w:val="0"/>
              <w:spacing w:before="0" w:after="283"/>
              <w:jc w:val="right"/>
              <w:rPr/>
            </w:pPr>
            <w:r>
              <w:rPr/>
              <w:t>(6,566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bookmarkStart w:id="1073" w:name="xdx_98F_eus-gaap--ShareBasedCompensation"/>
            <w:bookmarkEnd w:id="1073"/>
          </w:p>
        </w:tc>
        <w:tc>
          <w:tcPr>
            <w:tcW w:w="1623" w:type="dxa"/>
            <w:tcBorders/>
            <w:shd w:fill="FFFFFF" w:val="clear"/>
            <w:vAlign w:val="center"/>
          </w:tcPr>
          <w:p>
            <w:pPr>
              <w:pStyle w:val="TableContents"/>
              <w:bidi w:val="0"/>
              <w:spacing w:before="0" w:after="283"/>
              <w:jc w:val="right"/>
              <w:rPr/>
            </w:pPr>
            <w:r>
              <w:rPr/>
              <w:t>189.30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bookmarkStart w:id="1074" w:name="xdx_984_ecustom--SharebasedCompensationA"/>
            <w:bookmarkEnd w:id="1074"/>
          </w:p>
        </w:tc>
        <w:tc>
          <w:tcPr>
            <w:tcW w:w="1685" w:type="dxa"/>
            <w:tcBorders/>
            <w:shd w:fill="FFFFFF" w:val="clear"/>
            <w:vAlign w:val="center"/>
          </w:tcPr>
          <w:p>
            <w:pPr>
              <w:pStyle w:val="TableContents"/>
              <w:bidi w:val="0"/>
              <w:spacing w:before="0" w:after="283"/>
              <w:jc w:val="right"/>
              <w:rPr/>
            </w:pPr>
            <w:r>
              <w:rPr/>
              <w:t>189.30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9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bookmarkStart w:id="1075" w:name="xdx_98F_ecustom--ShareBasedCompensationA"/>
            <w:bookmarkEnd w:id="1075"/>
          </w:p>
        </w:tc>
        <w:tc>
          <w:tcPr>
            <w:tcW w:w="836" w:type="dxa"/>
            <w:tcBorders/>
            <w:shd w:fill="FFFFFF" w:val="clear"/>
            <w:vAlign w:val="center"/>
          </w:tcPr>
          <w:p>
            <w:pPr>
              <w:pStyle w:val="TableContents"/>
              <w:bidi w:val="0"/>
              <w:spacing w:before="0" w:after="283"/>
              <w:jc w:val="right"/>
              <w:rPr/>
            </w:pPr>
            <w:r>
              <w:rPr/>
              <w:t>492</w:t>
            </w:r>
          </w:p>
        </w:tc>
        <w:tc>
          <w:tcPr>
            <w:tcW w:w="80" w:type="dxa"/>
            <w:tcBorders/>
            <w:shd w:fill="FFFFFF" w:val="clear"/>
            <w:vAlign w:val="center"/>
          </w:tcPr>
          <w:p>
            <w:pPr>
              <w:pStyle w:val="TableContents"/>
              <w:bidi w:val="0"/>
              <w:spacing w:before="0" w:after="283"/>
              <w:jc w:val="left"/>
              <w:rPr/>
            </w:pPr>
            <w:r>
              <w:rPr/>
              <w:t> </w:t>
            </w:r>
          </w:p>
        </w:tc>
      </w:tr>
      <w:tr>
        <w:trPr/>
        <w:tc>
          <w:tcPr>
            <w:tcW w:w="1419"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76" w:name="xdx_986_eus-gaap--StockIssuedDuringPerio"/>
            <w:bookmarkEnd w:id="1076"/>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(122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77" w:name="xdx_987_eus-gaap--ShareBasedCompensation"/>
            <w:bookmarkEnd w:id="1077"/>
          </w:p>
        </w:tc>
        <w:tc>
          <w:tcPr>
            <w:tcW w:w="1623" w:type="dxa"/>
            <w:tcBorders>
              <w:bottom w:val="single" w:sz="8" w:space="0" w:color="000000"/>
            </w:tcBorders>
            <w:shd w:fill="CCEEFF" w:val="clear"/>
            <w:tcMar>
              <w:bottom w:w="28" w:type="dxa"/>
            </w:tcMar>
            <w:vAlign w:val="center"/>
          </w:tcPr>
          <w:p>
            <w:pPr>
              <w:pStyle w:val="TableContents"/>
              <w:bidi w:val="0"/>
              <w:spacing w:before="0" w:after="283"/>
              <w:jc w:val="right"/>
              <w:rPr/>
            </w:pPr>
            <w:r>
              <w:rPr/>
              <w:t>31.70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78" w:name="xdx_98B_eus-gaap--SharebasedCompensation"/>
            <w:bookmarkEnd w:id="1078"/>
          </w:p>
        </w:tc>
        <w:tc>
          <w:tcPr>
            <w:tcW w:w="1685" w:type="dxa"/>
            <w:tcBorders>
              <w:bottom w:val="single" w:sz="8" w:space="0" w:color="000000"/>
            </w:tcBorders>
            <w:shd w:fill="CCEEFF" w:val="clear"/>
            <w:tcMar>
              <w:bottom w:w="28" w:type="dxa"/>
            </w:tcMar>
            <w:vAlign w:val="center"/>
          </w:tcPr>
          <w:p>
            <w:pPr>
              <w:pStyle w:val="TableContents"/>
              <w:bidi w:val="0"/>
              <w:spacing w:before="0" w:after="283"/>
              <w:jc w:val="right"/>
              <w:rPr/>
            </w:pPr>
            <w:r>
              <w:rPr/>
              <w:t>31.70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79" w:name="xdx_983_eus-gaap--ShareBasedCompensation"/>
            <w:bookmarkEnd w:id="1079"/>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419" w:type="dxa"/>
            <w:tcBorders/>
            <w:shd w:fill="FFFFFF" w:val="clear"/>
            <w:vAlign w:val="center"/>
          </w:tcPr>
          <w:p>
            <w:pPr>
              <w:pStyle w:val="TableContents"/>
              <w:bidi w:val="0"/>
              <w:spacing w:before="0" w:after="283"/>
              <w:jc w:val="left"/>
              <w:rPr/>
            </w:pPr>
            <w:r>
              <w:rPr/>
              <w:t>Balances, December 31, 2024</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1080" w:name="xdx_98C_eus-gaap--ShareBasedCompensation"/>
            <w:bookmarkEnd w:id="1080"/>
          </w:p>
        </w:tc>
        <w:tc>
          <w:tcPr>
            <w:tcW w:w="764" w:type="dxa"/>
            <w:tcBorders/>
            <w:shd w:fill="FFFFFF" w:val="clear"/>
            <w:vAlign w:val="center"/>
          </w:tcPr>
          <w:p>
            <w:pPr>
              <w:pStyle w:val="TableContents"/>
              <w:bidi w:val="0"/>
              <w:spacing w:before="0" w:after="283"/>
              <w:jc w:val="right"/>
              <w:rPr/>
            </w:pPr>
            <w:r>
              <w:rPr/>
              <w:t>16,881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w:t>
            </w:r>
            <w:bookmarkStart w:id="1081" w:name="xdx_98D_eus-gaap--ShareBasedCompensation"/>
            <w:bookmarkEnd w:id="1081"/>
          </w:p>
        </w:tc>
        <w:tc>
          <w:tcPr>
            <w:tcW w:w="1623" w:type="dxa"/>
            <w:tcBorders/>
            <w:shd w:fill="FFFFFF" w:val="clear"/>
            <w:vAlign w:val="center"/>
          </w:tcPr>
          <w:p>
            <w:pPr>
              <w:pStyle w:val="TableContents"/>
              <w:bidi w:val="0"/>
              <w:spacing w:before="0" w:after="283"/>
              <w:jc w:val="right"/>
              <w:rPr/>
            </w:pPr>
            <w:r>
              <w:rPr/>
              <w:t>259.70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w:t>
            </w:r>
            <w:bookmarkStart w:id="1082" w:name="xdx_98D_eus-gaap--SharebasedCompensation"/>
            <w:bookmarkEnd w:id="1082"/>
          </w:p>
        </w:tc>
        <w:tc>
          <w:tcPr>
            <w:tcW w:w="1685" w:type="dxa"/>
            <w:tcBorders/>
            <w:shd w:fill="FFFFFF" w:val="clear"/>
            <w:vAlign w:val="center"/>
          </w:tcPr>
          <w:p>
            <w:pPr>
              <w:pStyle w:val="TableContents"/>
              <w:bidi w:val="0"/>
              <w:spacing w:before="0" w:after="283"/>
              <w:jc w:val="right"/>
              <w:rPr/>
            </w:pPr>
            <w:r>
              <w:rPr/>
              <w:t>259.70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913" w:type="dxa"/>
            <w:tcBorders/>
            <w:shd w:fill="FFFFFF" w:val="clear"/>
            <w:vAlign w:val="center"/>
          </w:tcPr>
          <w:p>
            <w:pPr>
              <w:pStyle w:val="TableContents"/>
              <w:bidi w:val="0"/>
              <w:spacing w:before="0" w:after="283"/>
              <w:jc w:val="right"/>
              <w:rPr/>
            </w:pPr>
            <w:bookmarkStart w:id="1083" w:name="xdx_90E_eus-gaap--SharebasedCompensation"/>
            <w:bookmarkEnd w:id="1083"/>
            <w:r>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w:t>
            </w:r>
            <w:bookmarkStart w:id="1084" w:name="xdx_982_eus-gaap--ShareBasedCompensation"/>
            <w:bookmarkEnd w:id="1084"/>
          </w:p>
        </w:tc>
        <w:tc>
          <w:tcPr>
            <w:tcW w:w="83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419" w:type="dxa"/>
            <w:tcBorders/>
            <w:shd w:fill="FFFFFF" w:val="clear"/>
            <w:vAlign w:val="center"/>
          </w:tcPr>
          <w:p>
            <w:pPr>
              <w:pStyle w:val="TableContents"/>
              <w:bidi w:val="0"/>
              <w:spacing w:before="0" w:after="283"/>
              <w:jc w:val="left"/>
              <w:rPr/>
            </w:pPr>
            <w:r>
              <w:rPr/>
              <w:t>Balances, January 1, 2025</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1085" w:name="xdx_987_eus-gaap--ShareBasedCompensation"/>
            <w:bookmarkEnd w:id="1085"/>
          </w:p>
        </w:tc>
        <w:tc>
          <w:tcPr>
            <w:tcW w:w="764" w:type="dxa"/>
            <w:tcBorders/>
            <w:shd w:fill="FFFFFF" w:val="clear"/>
            <w:vAlign w:val="center"/>
          </w:tcPr>
          <w:p>
            <w:pPr>
              <w:pStyle w:val="TableContents"/>
              <w:bidi w:val="0"/>
              <w:spacing w:before="0" w:after="283"/>
              <w:jc w:val="right"/>
              <w:rPr/>
            </w:pPr>
            <w:r>
              <w:rPr/>
              <w:t>16,881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w:t>
            </w:r>
            <w:bookmarkStart w:id="1086" w:name="xdx_982_eus-gaap--ShareBasedCompensation"/>
            <w:bookmarkEnd w:id="1086"/>
          </w:p>
        </w:tc>
        <w:tc>
          <w:tcPr>
            <w:tcW w:w="1623" w:type="dxa"/>
            <w:tcBorders/>
            <w:shd w:fill="FFFFFF" w:val="clear"/>
            <w:vAlign w:val="center"/>
          </w:tcPr>
          <w:p>
            <w:pPr>
              <w:pStyle w:val="TableContents"/>
              <w:bidi w:val="0"/>
              <w:spacing w:before="0" w:after="283"/>
              <w:jc w:val="right"/>
              <w:rPr/>
            </w:pPr>
            <w:r>
              <w:rPr/>
              <w:t>259.70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w:t>
            </w:r>
            <w:bookmarkStart w:id="1087" w:name="xdx_98D_eus-gaap--SharebasedCompensation"/>
            <w:bookmarkEnd w:id="1087"/>
          </w:p>
        </w:tc>
        <w:tc>
          <w:tcPr>
            <w:tcW w:w="1685" w:type="dxa"/>
            <w:tcBorders/>
            <w:shd w:fill="FFFFFF" w:val="clear"/>
            <w:vAlign w:val="center"/>
          </w:tcPr>
          <w:p>
            <w:pPr>
              <w:pStyle w:val="TableContents"/>
              <w:bidi w:val="0"/>
              <w:spacing w:before="0" w:after="283"/>
              <w:jc w:val="right"/>
              <w:rPr/>
            </w:pPr>
            <w:r>
              <w:rPr/>
              <w:t>259.70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913" w:type="dxa"/>
            <w:tcBorders/>
            <w:shd w:fill="FFFFFF" w:val="clear"/>
            <w:vAlign w:val="center"/>
          </w:tcPr>
          <w:p>
            <w:pPr>
              <w:pStyle w:val="TableContents"/>
              <w:bidi w:val="0"/>
              <w:spacing w:before="0" w:after="283"/>
              <w:jc w:val="right"/>
              <w:rPr/>
            </w:pPr>
            <w:bookmarkStart w:id="1088" w:name="xdx_903_eus-gaap--SharebasedCompensation"/>
            <w:bookmarkEnd w:id="1088"/>
            <w:r>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w:t>
            </w:r>
            <w:bookmarkStart w:id="1089" w:name="xdx_985_eus-gaap--ShareBasedCompensation"/>
            <w:bookmarkEnd w:id="1089"/>
          </w:p>
        </w:tc>
        <w:tc>
          <w:tcPr>
            <w:tcW w:w="83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419" w:type="dxa"/>
            <w:tcBorders/>
            <w:shd w:fill="CCEEFF" w:val="clear"/>
            <w:vAlign w:val="center"/>
          </w:tcPr>
          <w:p>
            <w:pPr>
              <w:pStyle w:val="TableContents"/>
              <w:bidi w:val="0"/>
              <w:spacing w:before="0" w:after="283"/>
              <w:jc w:val="left"/>
              <w:rPr/>
            </w:pPr>
            <w:r>
              <w:rPr/>
              <w:t>Options granted</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1090" w:name="xdx_98D_eus-gaap--ShareBasedCompensation"/>
            <w:bookmarkEnd w:id="1090"/>
          </w:p>
        </w:tc>
        <w:tc>
          <w:tcPr>
            <w:tcW w:w="7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bookmarkStart w:id="1091" w:name="xdx_986_eus-gaap--ShareBasedCompensation"/>
            <w:bookmarkEnd w:id="1091"/>
          </w:p>
        </w:tc>
        <w:tc>
          <w:tcPr>
            <w:tcW w:w="162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bookmarkStart w:id="1092" w:name="xdx_986_eus-gaap--ShareBasedCompensation"/>
            <w:bookmarkEnd w:id="1092"/>
          </w:p>
        </w:tc>
        <w:tc>
          <w:tcPr>
            <w:tcW w:w="16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bookmarkStart w:id="1093" w:name="xdx_981_eus-gaap--ShareBasedCompensation"/>
            <w:bookmarkEnd w:id="1093"/>
          </w:p>
        </w:tc>
        <w:tc>
          <w:tcPr>
            <w:tcW w:w="83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419" w:type="dxa"/>
            <w:tcBorders/>
            <w:shd w:fill="FFFFFF" w:val="clear"/>
            <w:vAlign w:val="center"/>
          </w:tcPr>
          <w:p>
            <w:pPr>
              <w:pStyle w:val="TableContents"/>
              <w:bidi w:val="0"/>
              <w:spacing w:before="0" w:after="283"/>
              <w:jc w:val="left"/>
              <w:rPr/>
            </w:pPr>
            <w:r>
              <w:rPr/>
              <w:t>Options forfeited</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1094" w:name="xdx_986_eus-gaap--ShareBasedCompensation"/>
            <w:bookmarkEnd w:id="1094"/>
          </w:p>
        </w:tc>
        <w:tc>
          <w:tcPr>
            <w:tcW w:w="764" w:type="dxa"/>
            <w:tcBorders/>
            <w:shd w:fill="FFFFFF" w:val="clear"/>
            <w:vAlign w:val="center"/>
          </w:tcPr>
          <w:p>
            <w:pPr>
              <w:pStyle w:val="TableContents"/>
              <w:bidi w:val="0"/>
              <w:spacing w:before="0" w:after="283"/>
              <w:jc w:val="right"/>
              <w:rPr/>
            </w:pPr>
            <w:r>
              <w:rPr/>
              <w:t>(321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bookmarkStart w:id="1095" w:name="xdx_984_eus-gaap--ShareBasedCompensation"/>
            <w:bookmarkEnd w:id="1095"/>
          </w:p>
        </w:tc>
        <w:tc>
          <w:tcPr>
            <w:tcW w:w="1623" w:type="dxa"/>
            <w:tcBorders/>
            <w:shd w:fill="FFFFFF" w:val="clear"/>
            <w:vAlign w:val="center"/>
          </w:tcPr>
          <w:p>
            <w:pPr>
              <w:pStyle w:val="TableContents"/>
              <w:bidi w:val="0"/>
              <w:spacing w:before="0" w:after="283"/>
              <w:jc w:val="right"/>
              <w:rPr/>
            </w:pPr>
            <w:r>
              <w:rPr/>
              <w:t>432.68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bookmarkStart w:id="1096" w:name="xdx_983_eus-gaap--SharebasedCompensation"/>
            <w:bookmarkEnd w:id="1096"/>
          </w:p>
        </w:tc>
        <w:tc>
          <w:tcPr>
            <w:tcW w:w="1685" w:type="dxa"/>
            <w:tcBorders/>
            <w:shd w:fill="FFFFFF" w:val="clear"/>
            <w:vAlign w:val="center"/>
          </w:tcPr>
          <w:p>
            <w:pPr>
              <w:pStyle w:val="TableContents"/>
              <w:bidi w:val="0"/>
              <w:spacing w:before="0" w:after="283"/>
              <w:jc w:val="right"/>
              <w:rPr/>
            </w:pPr>
            <w:r>
              <w:rPr/>
              <w:t>429.76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9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bookmarkStart w:id="1097" w:name="xdx_98A_ecustom--ShareBasedCompensationA"/>
            <w:bookmarkEnd w:id="1097"/>
          </w:p>
        </w:tc>
        <w:tc>
          <w:tcPr>
            <w:tcW w:w="83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419" w:type="dxa"/>
            <w:tcBorders/>
            <w:shd w:fill="CCEEFF" w:val="clear"/>
            <w:vAlign w:val="center"/>
          </w:tcPr>
          <w:p>
            <w:pPr>
              <w:pStyle w:val="TableContents"/>
              <w:bidi w:val="0"/>
              <w:spacing w:before="0" w:after="283"/>
              <w:jc w:val="left"/>
              <w:rPr/>
            </w:pPr>
            <w:r>
              <w:rPr/>
              <w:t>Options expired</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1098" w:name="xdx_98F_ecustom--ShareBasedCompensationA"/>
            <w:bookmarkEnd w:id="1098"/>
          </w:p>
        </w:tc>
        <w:tc>
          <w:tcPr>
            <w:tcW w:w="764" w:type="dxa"/>
            <w:tcBorders/>
            <w:shd w:fill="CCEEFF" w:val="clear"/>
            <w:vAlign w:val="center"/>
          </w:tcPr>
          <w:p>
            <w:pPr>
              <w:pStyle w:val="TableContents"/>
              <w:bidi w:val="0"/>
              <w:spacing w:before="0" w:after="283"/>
              <w:jc w:val="right"/>
              <w:rPr/>
            </w:pPr>
            <w:r>
              <w:rPr/>
              <w:t>(3,094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bookmarkStart w:id="1099" w:name="xdx_989_eus-gaap--ShareBasedCompensation"/>
            <w:bookmarkEnd w:id="1099"/>
          </w:p>
        </w:tc>
        <w:tc>
          <w:tcPr>
            <w:tcW w:w="1623" w:type="dxa"/>
            <w:tcBorders/>
            <w:shd w:fill="CCEEFF" w:val="clear"/>
            <w:vAlign w:val="center"/>
          </w:tcPr>
          <w:p>
            <w:pPr>
              <w:pStyle w:val="TableContents"/>
              <w:bidi w:val="0"/>
              <w:spacing w:before="0" w:after="283"/>
              <w:jc w:val="right"/>
              <w:rPr/>
            </w:pPr>
            <w:r>
              <w:rPr/>
              <w:t>326.22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bookmarkStart w:id="1100" w:name="xdx_98A_ecustom--SharebasedCompensationA"/>
            <w:bookmarkEnd w:id="1100"/>
          </w:p>
        </w:tc>
        <w:tc>
          <w:tcPr>
            <w:tcW w:w="1685" w:type="dxa"/>
            <w:tcBorders/>
            <w:shd w:fill="CCEEFF" w:val="clear"/>
            <w:vAlign w:val="center"/>
          </w:tcPr>
          <w:p>
            <w:pPr>
              <w:pStyle w:val="TableContents"/>
              <w:bidi w:val="0"/>
              <w:spacing w:before="0" w:after="283"/>
              <w:jc w:val="right"/>
              <w:rPr/>
            </w:pPr>
            <w:r>
              <w:rPr/>
              <w:t>324.95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bookmarkStart w:id="1101" w:name="xdx_98A_ecustom--ShareBasedCompensationA"/>
            <w:bookmarkEnd w:id="1101"/>
          </w:p>
        </w:tc>
        <w:tc>
          <w:tcPr>
            <w:tcW w:w="83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419" w:type="dxa"/>
            <w:tcBorders/>
            <w:shd w:fill="FFFFFF" w:val="clear"/>
            <w:vAlign w:val="center"/>
          </w:tcPr>
          <w:p>
            <w:pPr>
              <w:pStyle w:val="TableContents"/>
              <w:bidi w:val="0"/>
              <w:spacing w:before="0" w:after="283"/>
              <w:jc w:val="left"/>
              <w:rPr/>
            </w:pPr>
            <w:r>
              <w:rPr/>
              <w:t>Options cancelled due to reverse stock split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02" w:name="xdx_986_ecustom--ShareBasedCompensationA"/>
            <w:bookmarkEnd w:id="1102"/>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03" w:name="xdx_98A_ecustom--ShareBasedCompensationA"/>
            <w:bookmarkEnd w:id="1103"/>
          </w:p>
        </w:tc>
        <w:tc>
          <w:tcPr>
            <w:tcW w:w="1623" w:type="dxa"/>
            <w:tcBorders>
              <w:bottom w:val="single" w:sz="8" w:space="0" w:color="000000"/>
            </w:tcBorders>
            <w:shd w:fill="FFFFFF" w:val="clear"/>
            <w:tcMar>
              <w:bottom w:w="28" w:type="dxa"/>
            </w:tcMar>
            <w:vAlign w:val="center"/>
          </w:tcPr>
          <w:p>
            <w:pPr>
              <w:pStyle w:val="TableContents"/>
              <w:bidi w:val="0"/>
              <w:spacing w:before="0" w:after="283"/>
              <w:jc w:val="right"/>
              <w:rPr/>
            </w:pPr>
            <w:r>
              <w:rPr/>
              <w:t>259.70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04" w:name="xdx_981_ecustom--SharebasedCompensationA"/>
            <w:bookmarkEnd w:id="1104"/>
          </w:p>
        </w:tc>
        <w:tc>
          <w:tcPr>
            <w:tcW w:w="1685" w:type="dxa"/>
            <w:tcBorders>
              <w:bottom w:val="single" w:sz="8" w:space="0" w:color="000000"/>
            </w:tcBorders>
            <w:shd w:fill="FFFFFF" w:val="clear"/>
            <w:tcMar>
              <w:bottom w:w="28" w:type="dxa"/>
            </w:tcMar>
            <w:vAlign w:val="center"/>
          </w:tcPr>
          <w:p>
            <w:pPr>
              <w:pStyle w:val="TableContents"/>
              <w:bidi w:val="0"/>
              <w:spacing w:before="0" w:after="283"/>
              <w:jc w:val="right"/>
              <w:rPr/>
            </w:pPr>
            <w:r>
              <w:rPr/>
              <w:t>259.70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05" w:name="xdx_985_ecustom--ShareBasedCompensationA"/>
            <w:bookmarkEnd w:id="1105"/>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419" w:type="dxa"/>
            <w:tcBorders/>
            <w:shd w:fill="CCEEFF" w:val="clear"/>
            <w:vAlign w:val="center"/>
          </w:tcPr>
          <w:p>
            <w:pPr>
              <w:pStyle w:val="TableContents"/>
              <w:bidi w:val="0"/>
              <w:spacing w:before="0" w:after="283"/>
              <w:jc w:val="left"/>
              <w:rPr/>
            </w:pPr>
            <w:r>
              <w:rPr/>
              <w:t>Balances, December 31, 2025</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06" w:name="xdx_983_eus-gaap--ShareBasedCompensation"/>
            <w:bookmarkEnd w:id="1106"/>
          </w:p>
        </w:tc>
        <w:tc>
          <w:tcPr>
            <w:tcW w:w="764" w:type="dxa"/>
            <w:tcBorders>
              <w:bottom w:val="double" w:sz="6" w:space="0" w:color="000000"/>
            </w:tcBorders>
            <w:shd w:fill="CCEEFF" w:val="clear"/>
            <w:tcMar>
              <w:bottom w:w="28" w:type="dxa"/>
            </w:tcMar>
            <w:vAlign w:val="center"/>
          </w:tcPr>
          <w:p>
            <w:pPr>
              <w:pStyle w:val="TableContents"/>
              <w:bidi w:val="0"/>
              <w:spacing w:before="0" w:after="283"/>
              <w:jc w:val="right"/>
              <w:rPr/>
            </w:pPr>
            <w:r>
              <w:rPr/>
              <w:t>13,407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107" w:name="xdx_987_eus-gaap--ShareBasedCompensation"/>
            <w:bookmarkEnd w:id="1107"/>
          </w:p>
        </w:tc>
        <w:tc>
          <w:tcPr>
            <w:tcW w:w="1623" w:type="dxa"/>
            <w:tcBorders>
              <w:bottom w:val="double" w:sz="6" w:space="0" w:color="000000"/>
            </w:tcBorders>
            <w:shd w:fill="CCEEFF" w:val="clear"/>
            <w:tcMar>
              <w:bottom w:w="28" w:type="dxa"/>
            </w:tcMar>
            <w:vAlign w:val="center"/>
          </w:tcPr>
          <w:p>
            <w:pPr>
              <w:pStyle w:val="TableContents"/>
              <w:bidi w:val="0"/>
              <w:spacing w:before="0" w:after="283"/>
              <w:jc w:val="right"/>
              <w:rPr/>
            </w:pPr>
            <w:r>
              <w:rPr/>
              <w:t>241.49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108" w:name="xdx_98E_eus-gaap--SharebasedCompensation"/>
            <w:bookmarkEnd w:id="1108"/>
          </w:p>
        </w:tc>
        <w:tc>
          <w:tcPr>
            <w:tcW w:w="1685" w:type="dxa"/>
            <w:tcBorders>
              <w:bottom w:val="double" w:sz="6" w:space="0" w:color="000000"/>
            </w:tcBorders>
            <w:shd w:fill="CCEEFF" w:val="clear"/>
            <w:tcMar>
              <w:bottom w:w="28" w:type="dxa"/>
            </w:tcMar>
            <w:vAlign w:val="center"/>
          </w:tcPr>
          <w:p>
            <w:pPr>
              <w:pStyle w:val="TableContents"/>
              <w:bidi w:val="0"/>
              <w:spacing w:before="0" w:after="283"/>
              <w:jc w:val="right"/>
              <w:rPr/>
            </w:pPr>
            <w:r>
              <w:rPr/>
              <w:t>240.31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13"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09" w:name="xdx_90D_eus-gaap--SharebasedCompensation"/>
            <w:bookmarkEnd w:id="1109"/>
            <w:r>
              <w:rPr/>
              <w:t>5.64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110" w:name="xdx_981_eus-gaap--ShareBasedCompensation"/>
            <w:bookmarkEnd w:id="1110"/>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4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419" w:type="dxa"/>
            <w:tcBorders/>
            <w:shd w:fill="CCEEFF" w:val="clear"/>
            <w:vAlign w:val="center"/>
          </w:tcPr>
          <w:p>
            <w:pPr>
              <w:pStyle w:val="TableContents"/>
              <w:bidi w:val="0"/>
              <w:spacing w:before="0" w:after="283"/>
              <w:jc w:val="left"/>
              <w:rPr/>
            </w:pPr>
            <w:r>
              <w:rPr/>
              <w:t>At December 31, 2025</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419" w:type="dxa"/>
            <w:tcBorders/>
            <w:shd w:fill="FFFFFF" w:val="clear"/>
            <w:vAlign w:val="center"/>
          </w:tcPr>
          <w:p>
            <w:pPr>
              <w:pStyle w:val="TableContents"/>
              <w:bidi w:val="0"/>
              <w:spacing w:before="0" w:after="283"/>
              <w:jc w:val="left"/>
              <w:rPr/>
            </w:pPr>
            <w:r>
              <w:rPr/>
              <w:t>Vested and Exercisable</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1111" w:name="xdx_981_eus-gaap--ShareBasedCompensation"/>
            <w:bookmarkEnd w:id="1111"/>
          </w:p>
        </w:tc>
        <w:tc>
          <w:tcPr>
            <w:tcW w:w="764" w:type="dxa"/>
            <w:tcBorders/>
            <w:shd w:fill="FFFFFF" w:val="clear"/>
            <w:vAlign w:val="center"/>
          </w:tcPr>
          <w:p>
            <w:pPr>
              <w:pStyle w:val="TableContents"/>
              <w:bidi w:val="0"/>
              <w:spacing w:before="0" w:after="283"/>
              <w:jc w:val="right"/>
              <w:rPr/>
            </w:pPr>
            <w:r>
              <w:rPr/>
              <w:t>13,315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w:t>
            </w:r>
            <w:bookmarkStart w:id="1112" w:name="xdx_98B_eus-gaap--ShareBasedCompensation"/>
            <w:bookmarkEnd w:id="1112"/>
          </w:p>
        </w:tc>
        <w:tc>
          <w:tcPr>
            <w:tcW w:w="1623" w:type="dxa"/>
            <w:tcBorders/>
            <w:shd w:fill="FFFFFF" w:val="clear"/>
            <w:vAlign w:val="center"/>
          </w:tcPr>
          <w:p>
            <w:pPr>
              <w:pStyle w:val="TableContents"/>
              <w:bidi w:val="0"/>
              <w:spacing w:before="0" w:after="283"/>
              <w:jc w:val="right"/>
              <w:rPr/>
            </w:pPr>
            <w:r>
              <w:rPr/>
              <w:t>238.86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913" w:type="dxa"/>
            <w:tcBorders/>
            <w:shd w:fill="FFFFFF" w:val="clear"/>
            <w:vAlign w:val="center"/>
          </w:tcPr>
          <w:p>
            <w:pPr>
              <w:pStyle w:val="TableContents"/>
              <w:bidi w:val="0"/>
              <w:spacing w:before="0" w:after="283"/>
              <w:jc w:val="right"/>
              <w:rPr/>
            </w:pPr>
            <w:bookmarkStart w:id="1113" w:name="xdx_90D_eus-gaap--SharebasedCompensation"/>
            <w:bookmarkEnd w:id="1113"/>
            <w:r>
              <w:rPr/>
              <w:t>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w:t>
            </w:r>
            <w:bookmarkStart w:id="1114" w:name="xdx_983_eus-gaap--ShareBasedCompensation"/>
            <w:bookmarkEnd w:id="1114"/>
          </w:p>
        </w:tc>
        <w:tc>
          <w:tcPr>
            <w:tcW w:w="83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419" w:type="dxa"/>
            <w:tcBorders/>
            <w:shd w:fill="CCEEFF" w:val="clear"/>
            <w:vAlign w:val="center"/>
          </w:tcPr>
          <w:p>
            <w:pPr>
              <w:pStyle w:val="TableContents"/>
              <w:bidi w:val="0"/>
              <w:spacing w:before="0" w:after="283"/>
              <w:jc w:val="left"/>
              <w:rPr/>
            </w:pPr>
            <w:r>
              <w:rPr/>
              <w:t>Vested and expected to vest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1115" w:name="xdx_980_eus-gaap--ShareBasedCompensation"/>
            <w:bookmarkEnd w:id="1115"/>
          </w:p>
        </w:tc>
        <w:tc>
          <w:tcPr>
            <w:tcW w:w="764" w:type="dxa"/>
            <w:tcBorders/>
            <w:shd w:fill="CCEEFF" w:val="clear"/>
            <w:vAlign w:val="center"/>
          </w:tcPr>
          <w:p>
            <w:pPr>
              <w:pStyle w:val="TableContents"/>
              <w:bidi w:val="0"/>
              <w:spacing w:before="0" w:after="283"/>
              <w:jc w:val="right"/>
              <w:rPr/>
            </w:pPr>
            <w:r>
              <w:rPr/>
              <w:t>13,407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bookmarkStart w:id="1116" w:name="xdx_98B_eus-gaap--ShareBasedCompensation"/>
            <w:bookmarkEnd w:id="1116"/>
          </w:p>
        </w:tc>
        <w:tc>
          <w:tcPr>
            <w:tcW w:w="1623" w:type="dxa"/>
            <w:tcBorders/>
            <w:shd w:fill="CCEEFF" w:val="clear"/>
            <w:vAlign w:val="center"/>
          </w:tcPr>
          <w:p>
            <w:pPr>
              <w:pStyle w:val="TableContents"/>
              <w:bidi w:val="0"/>
              <w:spacing w:before="0" w:after="283"/>
              <w:jc w:val="right"/>
              <w:rPr/>
            </w:pPr>
            <w:r>
              <w:rPr/>
              <w:t>241.49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3" w:type="dxa"/>
            <w:tcBorders/>
            <w:shd w:fill="CCEEFF" w:val="clear"/>
            <w:vAlign w:val="center"/>
          </w:tcPr>
          <w:p>
            <w:pPr>
              <w:pStyle w:val="TableContents"/>
              <w:bidi w:val="0"/>
              <w:spacing w:before="0" w:after="283"/>
              <w:jc w:val="right"/>
              <w:rPr/>
            </w:pPr>
            <w:bookmarkStart w:id="1117" w:name="xdx_907_eus-gaap--SharebasedCompensation"/>
            <w:bookmarkEnd w:id="1117"/>
            <w:r>
              <w:rPr/>
              <w:t>5.64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bookmarkStart w:id="1118" w:name="xdx_981_eus-gaap--ShareBasedCompensation"/>
            <w:bookmarkEnd w:id="1118"/>
          </w:p>
        </w:tc>
        <w:tc>
          <w:tcPr>
            <w:tcW w:w="83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19" w:name="xdx_8A9_zFeqPN118uCa"/>
      <w:bookmarkEnd w:id="111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w:t>
      </w:r>
      <w:bookmarkStart w:id="1120" w:name="xdx_90F_ecustom--StockIssuedDuringPeriod"/>
      <w:bookmarkEnd w:id="1120"/>
      <w:r>
        <w:rPr>
          <w:rFonts w:ascii="Times New Roman;Times;Serif" w:hAnsi="Times New Roman;Times;Serif"/>
          <w:b w:val="false"/>
          <w:i w:val="false"/>
          <w:caps w:val="false"/>
          <w:smallCaps w:val="false"/>
          <w:sz w:val="20"/>
        </w:rPr>
        <w:t xml:space="preserve">no stock options were exercised. During the year ended December 31, 2024, the Company issued </w:t>
      </w:r>
      <w:bookmarkStart w:id="1121" w:name="xdx_90C_ecustom--StockIssuedDuringPeriod"/>
      <w:bookmarkEnd w:id="1121"/>
      <w:r>
        <w:rPr>
          <w:rFonts w:ascii="Times New Roman;Times;Serif" w:hAnsi="Times New Roman;Times;Serif"/>
          <w:b w:val="false"/>
          <w:i w:val="false"/>
          <w:caps w:val="false"/>
          <w:smallCaps w:val="false"/>
          <w:sz w:val="20"/>
        </w:rPr>
        <w:t>124 shares as a result of exercised stock options upon the receipt of proceeds of approximately $</w:t>
      </w:r>
      <w:bookmarkStart w:id="1122" w:name="xdx_908_eus-gaap--StockIssuedDuringPerio"/>
      <w:bookmarkEnd w:id="1122"/>
      <w:r>
        <w:rPr>
          <w:rFonts w:ascii="Times New Roman;Times;Serif" w:hAnsi="Times New Roman;Times;Serif"/>
          <w:b w:val="false"/>
          <w:i w:val="false"/>
          <w:caps w:val="false"/>
          <w:smallCaps w:val="false"/>
          <w:sz w:val="2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for options and RSUs totaling $</w:t>
      </w:r>
      <w:bookmarkStart w:id="1123" w:name="xdx_903_eus-gaap--ShareBasedCompensation"/>
      <w:bookmarkEnd w:id="1123"/>
      <w:r>
        <w:rPr>
          <w:rFonts w:ascii="Times New Roman;Times;Serif" w:hAnsi="Times New Roman;Times;Serif"/>
          <w:b w:val="false"/>
          <w:i w:val="false"/>
          <w:caps w:val="false"/>
          <w:smallCaps w:val="false"/>
          <w:sz w:val="20"/>
        </w:rPr>
        <w:t>714 and $</w:t>
      </w:r>
      <w:bookmarkStart w:id="1124" w:name="xdx_904_eus-gaap--ShareBasedCompensation"/>
      <w:bookmarkEnd w:id="1124"/>
      <w:r>
        <w:rPr>
          <w:rFonts w:ascii="Times New Roman;Times;Serif" w:hAnsi="Times New Roman;Times;Serif"/>
          <w:b w:val="false"/>
          <w:i w:val="false"/>
          <w:caps w:val="false"/>
          <w:smallCaps w:val="false"/>
          <w:sz w:val="20"/>
        </w:rPr>
        <w:t>1,020 was recognized in the Company’s consolidated statements of operations for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w:t>
      </w:r>
      <w:bookmarkStart w:id="1125" w:name="xdx_90F_eus-gaap--ShareBasedCompensation"/>
      <w:bookmarkEnd w:id="1125"/>
      <w:r>
        <w:rPr>
          <w:rFonts w:ascii="Times New Roman;Times;Serif" w:hAnsi="Times New Roman;Times;Serif"/>
          <w:b w:val="false"/>
          <w:i w:val="false"/>
          <w:caps w:val="false"/>
          <w:smallCaps w:val="false"/>
          <w:sz w:val="20"/>
        </w:rPr>
        <w:t>714 of share-based compensation incurred during the year ended December 31, 2025, $</w:t>
      </w:r>
      <w:bookmarkStart w:id="1126" w:name="xdx_905_eus-gaap--ShareBasedCompensation"/>
      <w:bookmarkEnd w:id="1126"/>
      <w:r>
        <w:rPr>
          <w:rFonts w:ascii="Times New Roman;Times;Serif" w:hAnsi="Times New Roman;Times;Serif"/>
          <w:b w:val="false"/>
          <w:i w:val="false"/>
          <w:caps w:val="false"/>
          <w:smallCaps w:val="false"/>
          <w:sz w:val="20"/>
        </w:rPr>
        <w:t>52 is allocated to cost of goods sold, $</w:t>
      </w:r>
      <w:bookmarkStart w:id="1127" w:name="xdx_90D_eus-gaap--ShareBasedCompensation"/>
      <w:bookmarkEnd w:id="1127"/>
      <w:r>
        <w:rPr>
          <w:rFonts w:ascii="Times New Roman;Times;Serif" w:hAnsi="Times New Roman;Times;Serif"/>
          <w:b w:val="false"/>
          <w:i w:val="false"/>
          <w:caps w:val="false"/>
          <w:smallCaps w:val="false"/>
          <w:sz w:val="20"/>
        </w:rPr>
        <w:t>42 to research and development, $</w:t>
      </w:r>
      <w:bookmarkStart w:id="1128" w:name="xdx_908_eus-gaap--ShareBasedCompensation"/>
      <w:bookmarkEnd w:id="1128"/>
      <w:r>
        <w:rPr>
          <w:rFonts w:ascii="Times New Roman;Times;Serif" w:hAnsi="Times New Roman;Times;Serif"/>
          <w:b w:val="false"/>
          <w:i w:val="false"/>
          <w:caps w:val="false"/>
          <w:smallCaps w:val="false"/>
          <w:sz w:val="20"/>
        </w:rPr>
        <w:t>218 to selling and marketing, and $</w:t>
      </w:r>
      <w:bookmarkStart w:id="1129" w:name="xdx_90E_eus-gaap--ShareBasedCompensation"/>
      <w:bookmarkEnd w:id="1129"/>
      <w:r>
        <w:rPr>
          <w:rFonts w:ascii="Times New Roman;Times;Serif" w:hAnsi="Times New Roman;Times;Serif"/>
          <w:b w:val="false"/>
          <w:i w:val="false"/>
          <w:caps w:val="false"/>
          <w:smallCaps w:val="false"/>
          <w:sz w:val="20"/>
        </w:rPr>
        <w:t>402 to general and administrative expenses. Of the $</w:t>
      </w:r>
      <w:bookmarkStart w:id="1130" w:name="xdx_90A_eus-gaap--ShareBasedCompensation"/>
      <w:bookmarkEnd w:id="1130"/>
      <w:r>
        <w:rPr>
          <w:rFonts w:ascii="Times New Roman;Times;Serif" w:hAnsi="Times New Roman;Times;Serif"/>
          <w:b w:val="false"/>
          <w:i w:val="false"/>
          <w:caps w:val="false"/>
          <w:smallCaps w:val="false"/>
          <w:sz w:val="20"/>
        </w:rPr>
        <w:t>1,020 of share-based compensation incurred during the year ended December 31, 2024, $</w:t>
      </w:r>
      <w:bookmarkStart w:id="1131" w:name="xdx_907_eus-gaap--ShareBasedCompensation"/>
      <w:bookmarkEnd w:id="1131"/>
      <w:r>
        <w:rPr>
          <w:rFonts w:ascii="Times New Roman;Times;Serif" w:hAnsi="Times New Roman;Times;Serif"/>
          <w:b w:val="false"/>
          <w:i w:val="false"/>
          <w:caps w:val="false"/>
          <w:smallCaps w:val="false"/>
          <w:sz w:val="20"/>
        </w:rPr>
        <w:t>100 is allocated to cost of goods sold, $</w:t>
      </w:r>
      <w:bookmarkStart w:id="1132" w:name="xdx_909_eus-gaap--ShareBasedCompensation"/>
      <w:bookmarkEnd w:id="1132"/>
      <w:r>
        <w:rPr>
          <w:rFonts w:ascii="Times New Roman;Times;Serif" w:hAnsi="Times New Roman;Times;Serif"/>
          <w:b w:val="false"/>
          <w:i w:val="false"/>
          <w:caps w:val="false"/>
          <w:smallCaps w:val="false"/>
          <w:sz w:val="20"/>
        </w:rPr>
        <w:t>168 to research and development, $</w:t>
      </w:r>
      <w:bookmarkStart w:id="1133" w:name="xdx_900_eus-gaap--ShareBasedCompensation"/>
      <w:bookmarkEnd w:id="1133"/>
      <w:r>
        <w:rPr>
          <w:rFonts w:ascii="Times New Roman;Times;Serif" w:hAnsi="Times New Roman;Times;Serif"/>
          <w:b w:val="false"/>
          <w:i w:val="false"/>
          <w:caps w:val="false"/>
          <w:smallCaps w:val="false"/>
          <w:sz w:val="20"/>
        </w:rPr>
        <w:t>265 to selling and marketing, and $</w:t>
      </w:r>
      <w:bookmarkStart w:id="1134" w:name="xdx_902_eus-gaap--ShareBasedCompensation"/>
      <w:bookmarkEnd w:id="1134"/>
      <w:r>
        <w:rPr>
          <w:rFonts w:ascii="Times New Roman;Times;Serif" w:hAnsi="Times New Roman;Times;Serif"/>
          <w:b w:val="false"/>
          <w:i w:val="false"/>
          <w:caps w:val="false"/>
          <w:smallCaps w:val="false"/>
          <w:sz w:val="20"/>
        </w:rPr>
        <w:t>487 to general and administrative expenses.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12 - Stock-Based Compensation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 </w:t>
      </w:r>
      <w:bookmarkStart w:id="1135" w:name="xdx_908_eus-gaap--ShareBasedCompensation"/>
      <w:bookmarkStart w:id="1136" w:name="xdx_90D_eus-gaap--ShareBasedCompensation"/>
      <w:bookmarkEnd w:id="1135"/>
      <w:bookmarkEnd w:id="1136"/>
      <w:r>
        <w:rPr>
          <w:rFonts w:ascii="Times New Roman;Times;Serif" w:hAnsi="Times New Roman;Times;Serif"/>
          <w:b w:val="false"/>
          <w:i w:val="false"/>
          <w:caps w:val="false"/>
          <w:smallCaps w:val="false"/>
          <w:sz w:val="20"/>
        </w:rPr>
        <w:t>No options were granted during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5, 2024, the Company granted </w:t>
      </w:r>
      <w:bookmarkStart w:id="1137" w:name="xdx_90D_eus-gaap--ShareBasedCompensation"/>
      <w:bookmarkEnd w:id="1137"/>
      <w:r>
        <w:rPr>
          <w:rFonts w:ascii="Times New Roman;Times;Serif" w:hAnsi="Times New Roman;Times;Serif"/>
          <w:b w:val="false"/>
          <w:i w:val="false"/>
          <w:caps w:val="false"/>
          <w:smallCaps w:val="false"/>
          <w:sz w:val="20"/>
        </w:rPr>
        <w:t xml:space="preserve">2,445 restricted stock units of which </w:t>
      </w:r>
      <w:bookmarkStart w:id="1138" w:name="xdx_90B_eus-gaap--ShareBasedCompensation"/>
      <w:bookmarkEnd w:id="1138"/>
      <w:r>
        <w:rPr>
          <w:rFonts w:ascii="Times New Roman;Times;Serif" w:hAnsi="Times New Roman;Times;Serif"/>
          <w:b w:val="false"/>
          <w:i w:val="false"/>
          <w:caps w:val="false"/>
          <w:smallCaps w:val="false"/>
          <w:sz w:val="20"/>
        </w:rPr>
        <w:t xml:space="preserve">1,111 vested immediately. The fair value of the </w:t>
      </w:r>
      <w:bookmarkStart w:id="1139" w:name="xdx_90E_eus-gaap--ShareBasedCompensation"/>
      <w:bookmarkEnd w:id="1139"/>
      <w:r>
        <w:rPr>
          <w:rFonts w:ascii="Times New Roman;Times;Serif" w:hAnsi="Times New Roman;Times;Serif"/>
          <w:b w:val="false"/>
          <w:i w:val="false"/>
          <w:caps w:val="false"/>
          <w:smallCaps w:val="false"/>
          <w:sz w:val="20"/>
        </w:rPr>
        <w:t>2,445 restricted stock units was $</w:t>
      </w:r>
      <w:bookmarkStart w:id="1140" w:name="xdx_905_eus-gaap--StockIssuedDuringPerio"/>
      <w:bookmarkEnd w:id="1140"/>
      <w:r>
        <w:rPr>
          <w:rFonts w:ascii="Times New Roman;Times;Serif" w:hAnsi="Times New Roman;Times;Serif"/>
          <w:b w:val="false"/>
          <w:i w:val="false"/>
          <w:caps w:val="false"/>
          <w:smallCaps w:val="false"/>
          <w:sz w:val="20"/>
        </w:rPr>
        <w:t>95 and an expense of $</w:t>
      </w:r>
      <w:bookmarkStart w:id="1141" w:name="xdx_902_eus-gaap--AllocatedShareBasedCom"/>
      <w:bookmarkEnd w:id="1141"/>
      <w:r>
        <w:rPr>
          <w:rFonts w:ascii="Times New Roman;Times;Serif" w:hAnsi="Times New Roman;Times;Serif"/>
          <w:b w:val="false"/>
          <w:i w:val="false"/>
          <w:caps w:val="false"/>
          <w:smallCaps w:val="false"/>
          <w:sz w:val="20"/>
        </w:rPr>
        <w:t>11 and $</w:t>
      </w:r>
      <w:bookmarkStart w:id="1142" w:name="xdx_90F_eus-gaap--AllocatedShareBasedCom"/>
      <w:bookmarkEnd w:id="1142"/>
      <w:r>
        <w:rPr>
          <w:rFonts w:ascii="Times New Roman;Times;Serif" w:hAnsi="Times New Roman;Times;Serif"/>
          <w:b w:val="false"/>
          <w:i w:val="false"/>
          <w:caps w:val="false"/>
          <w:smallCaps w:val="false"/>
          <w:sz w:val="20"/>
        </w:rPr>
        <w:t>53 was recorded as compensation expense during the years ended December 31, 2025 ad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2024, the Company issued a total of </w:t>
      </w:r>
      <w:bookmarkStart w:id="1143" w:name="xdx_90B_eus-gaap--ShareBasedCompensation"/>
      <w:bookmarkEnd w:id="1143"/>
      <w:r>
        <w:rPr>
          <w:rFonts w:ascii="Times New Roman;Times;Serif" w:hAnsi="Times New Roman;Times;Serif"/>
          <w:b w:val="false"/>
          <w:i w:val="false"/>
          <w:caps w:val="false"/>
          <w:smallCaps w:val="false"/>
          <w:sz w:val="20"/>
        </w:rPr>
        <w:t xml:space="preserve">9,292 RSUs to the following employees: (i) </w:t>
      </w:r>
      <w:bookmarkStart w:id="1144" w:name="xdx_905_eus-gaap--ShareBasedCompensation"/>
      <w:bookmarkEnd w:id="1144"/>
      <w:r>
        <w:rPr>
          <w:rFonts w:ascii="Times New Roman;Times;Serif" w:hAnsi="Times New Roman;Times;Serif"/>
          <w:b w:val="false"/>
          <w:i w:val="false"/>
          <w:caps w:val="false"/>
          <w:smallCaps w:val="false"/>
          <w:sz w:val="20"/>
        </w:rPr>
        <w:t xml:space="preserve">6,305 RSUs to the Chief Executive Officer; (ii) </w:t>
      </w:r>
      <w:bookmarkStart w:id="1145" w:name="xdx_90D_eus-gaap--ShareBasedCompensation"/>
      <w:bookmarkEnd w:id="1145"/>
      <w:r>
        <w:rPr>
          <w:rFonts w:ascii="Times New Roman;Times;Serif" w:hAnsi="Times New Roman;Times;Serif"/>
          <w:b w:val="false"/>
          <w:i w:val="false"/>
          <w:caps w:val="false"/>
          <w:smallCaps w:val="false"/>
          <w:sz w:val="20"/>
        </w:rPr>
        <w:t xml:space="preserve">2,016 RSUs to the Chief Revenue Officer; and (iii) </w:t>
      </w:r>
      <w:bookmarkStart w:id="1146" w:name="xdx_90E_eus-gaap--ShareBasedCompensation"/>
      <w:bookmarkEnd w:id="1146"/>
      <w:r>
        <w:rPr>
          <w:rFonts w:ascii="Times New Roman;Times;Serif" w:hAnsi="Times New Roman;Times;Serif"/>
          <w:b w:val="false"/>
          <w:i w:val="false"/>
          <w:caps w:val="false"/>
          <w:smallCaps w:val="false"/>
          <w:sz w:val="20"/>
        </w:rPr>
        <w:t xml:space="preserve">971 RSUs to the Chief Marketing Officer.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w:t>
      </w:r>
      <w:bookmarkStart w:id="1147" w:name="xdx_905_eus-gaap--ShareBasedCompensation"/>
      <w:bookmarkEnd w:id="1147"/>
      <w:r>
        <w:rPr>
          <w:rFonts w:ascii="Times New Roman;Times;Serif" w:hAnsi="Times New Roman;Times;Serif"/>
          <w:b w:val="false"/>
          <w:i w:val="false"/>
          <w:caps w:val="false"/>
          <w:smallCaps w:val="false"/>
          <w:sz w:val="20"/>
        </w:rPr>
        <w:t>9,292 RSUs was $</w:t>
      </w:r>
      <w:bookmarkStart w:id="1148" w:name="xdx_902_eus-gaap--StockIssuedDuringPerio"/>
      <w:bookmarkEnd w:id="1148"/>
      <w:r>
        <w:rPr>
          <w:rFonts w:ascii="Times New Roman;Times;Serif" w:hAnsi="Times New Roman;Times;Serif"/>
          <w:b w:val="false"/>
          <w:i w:val="false"/>
          <w:caps w:val="false"/>
          <w:smallCaps w:val="false"/>
          <w:sz w:val="20"/>
        </w:rPr>
        <w:t>376 and an expense of $</w:t>
      </w:r>
      <w:bookmarkStart w:id="1149" w:name="xdx_908_eus-gaap--AllocatedShareBasedCom"/>
      <w:bookmarkEnd w:id="1149"/>
      <w:r>
        <w:rPr>
          <w:rFonts w:ascii="Times New Roman;Times;Serif" w:hAnsi="Times New Roman;Times;Serif"/>
          <w:b w:val="false"/>
          <w:i w:val="false"/>
          <w:caps w:val="false"/>
          <w:smallCaps w:val="false"/>
          <w:sz w:val="20"/>
        </w:rPr>
        <w:t>125 and $</w:t>
      </w:r>
      <w:bookmarkStart w:id="1150" w:name="xdx_90B_eus-gaap--AllocatedShareBasedCom"/>
      <w:bookmarkEnd w:id="1150"/>
      <w:r>
        <w:rPr>
          <w:rFonts w:ascii="Times New Roman;Times;Serif" w:hAnsi="Times New Roman;Times;Serif"/>
          <w:b w:val="false"/>
          <w:i w:val="false"/>
          <w:caps w:val="false"/>
          <w:smallCaps w:val="false"/>
          <w:sz w:val="20"/>
        </w:rPr>
        <w:t>91 was recorded during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2024, the board of directors authorized the issuance of </w:t>
      </w:r>
      <w:bookmarkStart w:id="1151" w:name="xdx_900_eus-gaap--ShareBasedCompensation"/>
      <w:bookmarkEnd w:id="1151"/>
      <w:r>
        <w:rPr>
          <w:rFonts w:ascii="Times New Roman;Times;Serif" w:hAnsi="Times New Roman;Times;Serif"/>
          <w:b w:val="false"/>
          <w:i w:val="false"/>
          <w:caps w:val="false"/>
          <w:smallCaps w:val="false"/>
          <w:sz w:val="20"/>
        </w:rPr>
        <w:t xml:space="preserve">2,469 RSUs to each director in connection with their service as directors for the year ended December 31, 2023. The RSUs will vest in three equal annual installments, with the first vesting date on the one (1) year anniversary date of their issuance, subject to the directors continued service on with the Company on each vesting date. The fair value of the </w:t>
      </w:r>
      <w:bookmarkStart w:id="1152" w:name="xdx_90B_eus-gaap--ShareBasedCompensation"/>
      <w:bookmarkEnd w:id="1152"/>
      <w:r>
        <w:rPr>
          <w:rFonts w:ascii="Times New Roman;Times;Serif" w:hAnsi="Times New Roman;Times;Serif"/>
          <w:b w:val="false"/>
          <w:i w:val="false"/>
          <w:caps w:val="false"/>
          <w:smallCaps w:val="false"/>
          <w:sz w:val="20"/>
        </w:rPr>
        <w:t>14,814 RSUs issued to directors in total was $</w:t>
      </w:r>
      <w:bookmarkStart w:id="1153" w:name="xdx_90C_eus-gaap--StockIssuedDuringPerio"/>
      <w:bookmarkEnd w:id="1153"/>
      <w:r>
        <w:rPr>
          <w:rFonts w:ascii="Times New Roman;Times;Serif" w:hAnsi="Times New Roman;Times;Serif"/>
          <w:b w:val="false"/>
          <w:i w:val="false"/>
          <w:caps w:val="false"/>
          <w:smallCaps w:val="false"/>
          <w:sz w:val="20"/>
        </w:rPr>
        <w:t>600 and an expense of $</w:t>
      </w:r>
      <w:bookmarkStart w:id="1154" w:name="xdx_90A_eus-gaap--AllocatedShareBasedCom"/>
      <w:bookmarkEnd w:id="1154"/>
      <w:r>
        <w:rPr>
          <w:rFonts w:ascii="Times New Roman;Times;Serif" w:hAnsi="Times New Roman;Times;Serif"/>
          <w:b w:val="false"/>
          <w:i w:val="false"/>
          <w:caps w:val="false"/>
          <w:smallCaps w:val="false"/>
          <w:sz w:val="20"/>
        </w:rPr>
        <w:t>127 and $</w:t>
      </w:r>
      <w:bookmarkStart w:id="1155" w:name="xdx_90A_eus-gaap--AllocatedShareBasedCom"/>
      <w:bookmarkEnd w:id="1155"/>
      <w:r>
        <w:rPr>
          <w:rFonts w:ascii="Times New Roman;Times;Serif" w:hAnsi="Times New Roman;Times;Serif"/>
          <w:b w:val="false"/>
          <w:i w:val="false"/>
          <w:caps w:val="false"/>
          <w:smallCaps w:val="false"/>
          <w:sz w:val="20"/>
        </w:rPr>
        <w:t>145 was recorded during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24, 2024, the Company granted </w:t>
      </w:r>
      <w:bookmarkStart w:id="1156" w:name="xdx_902_eus-gaap--ShareBasedCompensation"/>
      <w:bookmarkEnd w:id="1156"/>
      <w:r>
        <w:rPr>
          <w:rFonts w:ascii="Times New Roman;Times;Serif" w:hAnsi="Times New Roman;Times;Serif"/>
          <w:b w:val="false"/>
          <w:i w:val="false"/>
          <w:caps w:val="false"/>
          <w:smallCaps w:val="false"/>
          <w:sz w:val="20"/>
        </w:rPr>
        <w:t xml:space="preserve">242 restricted stock units. The fair value of the </w:t>
      </w:r>
      <w:bookmarkStart w:id="1157" w:name="xdx_90A_eus-gaap--ShareBasedCompensation"/>
      <w:bookmarkEnd w:id="1157"/>
      <w:r>
        <w:rPr>
          <w:rFonts w:ascii="Times New Roman;Times;Serif" w:hAnsi="Times New Roman;Times;Serif"/>
          <w:b w:val="false"/>
          <w:i w:val="false"/>
          <w:caps w:val="false"/>
          <w:smallCaps w:val="false"/>
          <w:sz w:val="20"/>
        </w:rPr>
        <w:t>242 RSUs was $</w:t>
      </w:r>
      <w:bookmarkStart w:id="1158" w:name="xdx_907_eus-gaap--StockIssuedDuringPerio"/>
      <w:bookmarkEnd w:id="1158"/>
      <w:r>
        <w:rPr>
          <w:rFonts w:ascii="Times New Roman;Times;Serif" w:hAnsi="Times New Roman;Times;Serif"/>
          <w:b w:val="false"/>
          <w:i w:val="false"/>
          <w:caps w:val="false"/>
          <w:smallCaps w:val="false"/>
          <w:sz w:val="20"/>
        </w:rPr>
        <w:t>19 and an expense of $</w:t>
      </w:r>
      <w:bookmarkStart w:id="1159" w:name="xdx_90F_eus-gaap--AllocatedShareBasedCom"/>
      <w:bookmarkEnd w:id="1159"/>
      <w:r>
        <w:rPr>
          <w:rFonts w:ascii="Times New Roman;Times;Serif" w:hAnsi="Times New Roman;Times;Serif"/>
          <w:b w:val="false"/>
          <w:i w:val="false"/>
          <w:caps w:val="false"/>
          <w:smallCaps w:val="false"/>
          <w:sz w:val="20"/>
        </w:rPr>
        <w:t>5 and $</w:t>
      </w:r>
      <w:bookmarkStart w:id="1160" w:name="xdx_909_eus-gaap--AllocatedShareBasedCom"/>
      <w:bookmarkEnd w:id="1160"/>
      <w:r>
        <w:rPr>
          <w:rFonts w:ascii="Times New Roman;Times;Serif" w:hAnsi="Times New Roman;Times;Serif"/>
          <w:b w:val="false"/>
          <w:i w:val="false"/>
          <w:caps w:val="false"/>
          <w:smallCaps w:val="false"/>
          <w:sz w:val="20"/>
        </w:rPr>
        <w:t>2 was recorded as compensation expense during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12 - Stock-Based Compensation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restricted stock unit awards, the Board also approved the following cash awards to the above referenced employees: (i) $</w:t>
      </w:r>
      <w:bookmarkStart w:id="1161" w:name="xdx_904_eus-gaap--PaymentOfFinancingAndS"/>
      <w:bookmarkEnd w:id="1161"/>
      <w:r>
        <w:rPr>
          <w:rFonts w:ascii="Times New Roman;Times;Serif" w:hAnsi="Times New Roman;Times;Serif"/>
          <w:b w:val="false"/>
          <w:i w:val="false"/>
          <w:caps w:val="false"/>
          <w:smallCaps w:val="false"/>
          <w:sz w:val="20"/>
        </w:rPr>
        <w:t>511 to the Chief Executive Officer; (ii) $</w:t>
      </w:r>
      <w:bookmarkStart w:id="1162" w:name="xdx_907_eus-gaap--PaymentOfFinancingAndS"/>
      <w:bookmarkEnd w:id="1162"/>
      <w:r>
        <w:rPr>
          <w:rFonts w:ascii="Times New Roman;Times;Serif" w:hAnsi="Times New Roman;Times;Serif"/>
          <w:b w:val="false"/>
          <w:i w:val="false"/>
          <w:caps w:val="false"/>
          <w:smallCaps w:val="false"/>
          <w:sz w:val="20"/>
        </w:rPr>
        <w:t>163 to the Chief Revenue Officer; and (iii) $</w:t>
      </w:r>
      <w:bookmarkStart w:id="1163" w:name="xdx_905_eus-gaap--PaymentOfFinancingAndS"/>
      <w:bookmarkEnd w:id="1163"/>
      <w:r>
        <w:rPr>
          <w:rFonts w:ascii="Times New Roman;Times;Serif" w:hAnsi="Times New Roman;Times;Serif"/>
          <w:b w:val="false"/>
          <w:i w:val="false"/>
          <w:caps w:val="false"/>
          <w:smallCaps w:val="false"/>
          <w:sz w:val="20"/>
        </w:rPr>
        <w:t>79 to the Chief Marketing Officer. Each of the approved cash awards will not be paid out to the employees until the Company has achieved a minimum cash balance of $</w:t>
      </w:r>
      <w:bookmarkStart w:id="1164" w:name="xdx_907_eus-gaap--Cash_iI_c20240624__us-"/>
      <w:bookmarkEnd w:id="1164"/>
      <w:r>
        <w:rPr>
          <w:rFonts w:ascii="Times New Roman;Times;Serif" w:hAnsi="Times New Roman;Times;Serif"/>
          <w:b w:val="false"/>
          <w:i w:val="false"/>
          <w:caps w:val="false"/>
          <w:smallCaps w:val="false"/>
          <w:sz w:val="20"/>
        </w:rPr>
        <w:t>30,000, and are subject to each employee’s continued employment on the date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19, 2024, the Company issued a total of </w:t>
      </w:r>
      <w:bookmarkStart w:id="1165" w:name="xdx_90E_eus-gaap--ShareBasedCompensation"/>
      <w:bookmarkEnd w:id="1165"/>
      <w:r>
        <w:rPr>
          <w:rFonts w:ascii="Times New Roman;Times;Serif" w:hAnsi="Times New Roman;Times;Serif"/>
          <w:b w:val="false"/>
          <w:i w:val="false"/>
          <w:caps w:val="false"/>
          <w:smallCaps w:val="false"/>
          <w:sz w:val="20"/>
        </w:rPr>
        <w:t xml:space="preserve">8,171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w:t>
      </w:r>
      <w:bookmarkStart w:id="1166" w:name="xdx_90C_eus-gaap--ShareBasedCompensation"/>
      <w:bookmarkEnd w:id="1166"/>
      <w:r>
        <w:rPr>
          <w:rFonts w:ascii="Times New Roman;Times;Serif" w:hAnsi="Times New Roman;Times;Serif"/>
          <w:b w:val="false"/>
          <w:i w:val="false"/>
          <w:caps w:val="false"/>
          <w:smallCaps w:val="false"/>
          <w:sz w:val="20"/>
        </w:rPr>
        <w:t>8,171 RSUs was $</w:t>
      </w:r>
      <w:bookmarkStart w:id="1167" w:name="xdx_901_eus-gaap--StockIssuedDuringPerio"/>
      <w:bookmarkEnd w:id="1167"/>
      <w:r>
        <w:rPr>
          <w:rFonts w:ascii="Times New Roman;Times;Serif" w:hAnsi="Times New Roman;Times;Serif"/>
          <w:b w:val="false"/>
          <w:i w:val="false"/>
          <w:caps w:val="false"/>
          <w:smallCaps w:val="false"/>
          <w:sz w:val="20"/>
        </w:rPr>
        <w:t>448 and an expense of $</w:t>
      </w:r>
      <w:bookmarkStart w:id="1168" w:name="xdx_901_eus-gaap--AllocatedShareBasedCom"/>
      <w:bookmarkEnd w:id="1168"/>
      <w:r>
        <w:rPr>
          <w:rFonts w:ascii="Times New Roman;Times;Serif" w:hAnsi="Times New Roman;Times;Serif"/>
          <w:b w:val="false"/>
          <w:i w:val="false"/>
          <w:caps w:val="false"/>
          <w:smallCaps w:val="false"/>
          <w:sz w:val="20"/>
        </w:rPr>
        <w:t>119 and $</w:t>
      </w:r>
      <w:bookmarkStart w:id="1169" w:name="xdx_902_eus-gaap--AllocatedShareBasedCom"/>
      <w:bookmarkEnd w:id="1169"/>
      <w:r>
        <w:rPr>
          <w:rFonts w:ascii="Times New Roman;Times;Serif" w:hAnsi="Times New Roman;Times;Serif"/>
          <w:b w:val="false"/>
          <w:i w:val="false"/>
          <w:caps w:val="false"/>
          <w:smallCaps w:val="false"/>
          <w:sz w:val="20"/>
        </w:rPr>
        <w:t>52 was recorded as compensation expense during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2024, the Company issued a total of </w:t>
      </w:r>
      <w:bookmarkStart w:id="1170" w:name="xdx_906_eus-gaap--ShareBasedCompensation"/>
      <w:bookmarkEnd w:id="1170"/>
      <w:r>
        <w:rPr>
          <w:rFonts w:ascii="Times New Roman;Times;Serif" w:hAnsi="Times New Roman;Times;Serif"/>
          <w:b w:val="false"/>
          <w:i w:val="false"/>
          <w:caps w:val="false"/>
          <w:smallCaps w:val="false"/>
          <w:sz w:val="20"/>
        </w:rPr>
        <w:t xml:space="preserve">222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w:t>
      </w:r>
      <w:bookmarkStart w:id="1171" w:name="xdx_90F_eus-gaap--ShareBasedCompensation"/>
      <w:bookmarkEnd w:id="1171"/>
      <w:r>
        <w:rPr>
          <w:rFonts w:ascii="Times New Roman;Times;Serif" w:hAnsi="Times New Roman;Times;Serif"/>
          <w:b w:val="false"/>
          <w:i w:val="false"/>
          <w:caps w:val="false"/>
          <w:smallCaps w:val="false"/>
          <w:sz w:val="20"/>
        </w:rPr>
        <w:t>222 RSUs was $</w:t>
      </w:r>
      <w:bookmarkStart w:id="1172" w:name="xdx_900_eus-gaap--StockIssuedDuringPerio"/>
      <w:bookmarkEnd w:id="1172"/>
      <w:r>
        <w:rPr>
          <w:rFonts w:ascii="Times New Roman;Times;Serif" w:hAnsi="Times New Roman;Times;Serif"/>
          <w:b w:val="false"/>
          <w:i w:val="false"/>
          <w:caps w:val="false"/>
          <w:smallCaps w:val="false"/>
          <w:sz w:val="20"/>
        </w:rPr>
        <w:t xml:space="preserve">12 and </w:t>
      </w:r>
      <w:bookmarkStart w:id="1173" w:name="xdx_90F_eus-gaap--AllocatedShareBasedCom"/>
      <w:bookmarkStart w:id="1174" w:name="xdx_902_eus-gaap--AllocatedShareBasedCom"/>
      <w:bookmarkEnd w:id="1173"/>
      <w:bookmarkEnd w:id="1174"/>
      <w:r>
        <w:rPr>
          <w:rFonts w:ascii="Times New Roman;Times;Serif" w:hAnsi="Times New Roman;Times;Serif"/>
          <w:b w:val="false"/>
          <w:i w:val="false"/>
          <w:caps w:val="false"/>
          <w:smallCaps w:val="false"/>
          <w:sz w:val="20"/>
        </w:rPr>
        <w:t>no expense was recorded as compensation expense during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 2025 and May 19, 2025, the Company granted </w:t>
      </w:r>
      <w:bookmarkStart w:id="1175" w:name="xdx_909_eus-gaap--ShareBasedCompensation"/>
      <w:bookmarkEnd w:id="1175"/>
      <w:r>
        <w:rPr>
          <w:rFonts w:ascii="Times New Roman;Times;Serif" w:hAnsi="Times New Roman;Times;Serif"/>
          <w:b w:val="false"/>
          <w:i w:val="false"/>
          <w:caps w:val="false"/>
          <w:smallCaps w:val="false"/>
          <w:sz w:val="20"/>
        </w:rPr>
        <w:t xml:space="preserve">376 and </w:t>
      </w:r>
      <w:bookmarkStart w:id="1176" w:name="xdx_903_eus-gaap--ShareBasedCompensation"/>
      <w:bookmarkEnd w:id="1176"/>
      <w:r>
        <w:rPr>
          <w:rFonts w:ascii="Times New Roman;Times;Serif" w:hAnsi="Times New Roman;Times;Serif"/>
          <w:b w:val="false"/>
          <w:i w:val="false"/>
          <w:caps w:val="false"/>
          <w:smallCaps w:val="false"/>
          <w:sz w:val="20"/>
        </w:rPr>
        <w:t>88 restricted stock units, respectively. The fair value of the RSUs was $</w:t>
      </w:r>
      <w:bookmarkStart w:id="1177" w:name="xdx_90C_eus-gaap--StockIssuedDuringPerio"/>
      <w:bookmarkStart w:id="1178" w:name="xdx_902_eus-gaap--StockIssuedDuringPerio"/>
      <w:bookmarkEnd w:id="1177"/>
      <w:bookmarkEnd w:id="1178"/>
      <w:r>
        <w:rPr>
          <w:rFonts w:ascii="Times New Roman;Times;Serif" w:hAnsi="Times New Roman;Times;Serif"/>
          <w:b w:val="false"/>
          <w:i w:val="false"/>
          <w:caps w:val="false"/>
          <w:smallCaps w:val="false"/>
          <w:sz w:val="20"/>
        </w:rPr>
        <w:t>4 and $</w:t>
      </w:r>
      <w:bookmarkStart w:id="1179" w:name="xdx_90E_eus-gaap--AllocatedShareBasedCom"/>
      <w:bookmarkEnd w:id="1179"/>
      <w:r>
        <w:rPr>
          <w:rFonts w:ascii="Times New Roman;Times;Serif" w:hAnsi="Times New Roman;Times;Serif"/>
          <w:b w:val="false"/>
          <w:i w:val="false"/>
          <w:caps w:val="false"/>
          <w:smallCaps w:val="false"/>
          <w:sz w:val="20"/>
        </w:rPr>
        <w:t>1 was recorded as compensation expense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80" w:name="xdx_89C_eus-gaap--ScheduleOfUnvestedRest"/>
      <w:bookmarkEnd w:id="1180"/>
      <w:r>
        <w:rPr>
          <w:rFonts w:ascii="Times New Roman;Times;Serif" w:hAnsi="Times New Roman;Times;Serif"/>
          <w:b w:val="false"/>
          <w:i w:val="false"/>
          <w:caps w:val="false"/>
          <w:smallCaps w:val="false"/>
          <w:sz w:val="20"/>
        </w:rPr>
        <w:t>The following table presents the restricted stock units activity for the years ended December 31, 2025 and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181" w:name="xdx_8BF_zY0kLGVfUIZ7"/>
      <w:bookmarkEnd w:id="1181"/>
      <w:r>
        <w:rPr>
          <w:rFonts w:ascii="Times New Roman;Times;Serif" w:hAnsi="Times New Roman;Times;Serif"/>
          <w:b w:val="false"/>
          <w:i w:val="false"/>
          <w:caps w:val="false"/>
          <w:smallCaps w:val="false"/>
          <w:sz w:val="20"/>
        </w:rPr>
        <w:t>SCHEDULE OF RESTRICTED STOCK UNITS ACTIVITY </w:t>
      </w:r>
    </w:p>
    <w:tbl>
      <w:tblPr>
        <w:tblW w:w="8598" w:type="dxa"/>
        <w:jc w:val="left"/>
        <w:tblInd w:w="0" w:type="dxa"/>
        <w:tblLayout w:type="fixed"/>
        <w:tblCellMar>
          <w:top w:w="0" w:type="dxa"/>
          <w:left w:w="0" w:type="dxa"/>
          <w:bottom w:w="0" w:type="dxa"/>
          <w:right w:w="0" w:type="dxa"/>
        </w:tblCellMar>
      </w:tblPr>
      <w:tblGrid>
        <w:gridCol w:w="3575"/>
        <w:gridCol w:w="60"/>
        <w:gridCol w:w="82"/>
        <w:gridCol w:w="1032"/>
        <w:gridCol w:w="95"/>
        <w:gridCol w:w="60"/>
        <w:gridCol w:w="616"/>
        <w:gridCol w:w="3003"/>
        <w:gridCol w:w="75"/>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Number of </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9" w:type="dxa"/>
            <w:gridSpan w:val="2"/>
            <w:tcBorders>
              <w:bottom w:val="single" w:sz="8" w:space="0" w:color="000000"/>
            </w:tcBorders>
            <w:tcMar>
              <w:bottom w:w="28" w:type="dxa"/>
            </w:tcMar>
            <w:vAlign w:val="center"/>
          </w:tcPr>
          <w:p>
            <w:pPr>
              <w:pStyle w:val="TableContents"/>
              <w:bidi w:val="0"/>
              <w:spacing w:before="0" w:after="283"/>
              <w:jc w:val="center"/>
              <w:rPr/>
            </w:pPr>
            <w:r>
              <w:rPr/>
              <w:t>Weighted-Average Fair Market Value</w:t>
            </w:r>
          </w:p>
        </w:tc>
        <w:tc>
          <w:tcPr>
            <w:tcW w:w="7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Unvested shares, January 1, 2024</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bookmarkStart w:id="1182" w:name="xdx_98E_eus-gaap--ShareBasedCompensation"/>
            <w:bookmarkEnd w:id="1182"/>
          </w:p>
        </w:tc>
        <w:tc>
          <w:tcPr>
            <w:tcW w:w="1032" w:type="dxa"/>
            <w:tcBorders/>
            <w:shd w:fill="CCEEFF" w:val="clear"/>
            <w:vAlign w:val="center"/>
          </w:tcPr>
          <w:p>
            <w:pPr>
              <w:pStyle w:val="TableContents"/>
              <w:bidi w:val="0"/>
              <w:spacing w:before="0" w:after="283"/>
              <w:jc w:val="right"/>
              <w:rPr/>
            </w:pPr>
            <w:r>
              <w:rPr/>
              <w:t>522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w:t>
            </w:r>
            <w:bookmarkStart w:id="1183" w:name="xdx_983_eus-gaap--ShareBasedCompensation"/>
            <w:bookmarkEnd w:id="1183"/>
          </w:p>
        </w:tc>
        <w:tc>
          <w:tcPr>
            <w:tcW w:w="3003" w:type="dxa"/>
            <w:tcBorders/>
            <w:shd w:fill="CCEEFF" w:val="clear"/>
            <w:vAlign w:val="center"/>
          </w:tcPr>
          <w:p>
            <w:pPr>
              <w:pStyle w:val="TableContents"/>
              <w:bidi w:val="0"/>
              <w:spacing w:before="0" w:after="283"/>
              <w:jc w:val="right"/>
              <w:rPr/>
            </w:pPr>
            <w:r>
              <w:rPr/>
              <w:t>242.10</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both"/>
              <w:rPr/>
            </w:pPr>
            <w:r>
              <w:rPr/>
              <w:t>Granted and unvested</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bookmarkStart w:id="1184" w:name="xdx_986_eus-gaap--ShareBasedCompensation"/>
            <w:bookmarkEnd w:id="1184"/>
          </w:p>
        </w:tc>
        <w:tc>
          <w:tcPr>
            <w:tcW w:w="1032" w:type="dxa"/>
            <w:tcBorders/>
            <w:shd w:fill="FFFFFF" w:val="clear"/>
            <w:vAlign w:val="center"/>
          </w:tcPr>
          <w:p>
            <w:pPr>
              <w:pStyle w:val="TableContents"/>
              <w:bidi w:val="0"/>
              <w:spacing w:before="0" w:after="283"/>
              <w:jc w:val="right"/>
              <w:rPr/>
            </w:pPr>
            <w:r>
              <w:rPr/>
              <w:t>35,187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bookmarkStart w:id="1185" w:name="xdx_985_eus-gaap--ShareBasedCompensation"/>
            <w:bookmarkEnd w:id="1185"/>
          </w:p>
        </w:tc>
        <w:tc>
          <w:tcPr>
            <w:tcW w:w="3003" w:type="dxa"/>
            <w:tcBorders/>
            <w:shd w:fill="FFFFFF" w:val="clear"/>
            <w:vAlign w:val="center"/>
          </w:tcPr>
          <w:p>
            <w:pPr>
              <w:pStyle w:val="TableContents"/>
              <w:bidi w:val="0"/>
              <w:spacing w:before="0" w:after="283"/>
              <w:jc w:val="right"/>
              <w:rPr/>
            </w:pPr>
            <w:r>
              <w:rPr/>
              <w:t>44.10</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Forfeited</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bookmarkStart w:id="1186" w:name="xdx_98A_eus-gaap--ShareBasedCompensation"/>
            <w:bookmarkEnd w:id="1186"/>
          </w:p>
        </w:tc>
        <w:tc>
          <w:tcPr>
            <w:tcW w:w="1032" w:type="dxa"/>
            <w:tcBorders/>
            <w:shd w:fill="CCEEFF" w:val="clear"/>
            <w:vAlign w:val="center"/>
          </w:tcPr>
          <w:p>
            <w:pPr>
              <w:pStyle w:val="TableContents"/>
              <w:bidi w:val="0"/>
              <w:spacing w:before="0" w:after="283"/>
              <w:jc w:val="right"/>
              <w:rPr/>
            </w:pPr>
            <w:r>
              <w:rPr/>
              <w:t>(973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bookmarkStart w:id="1187" w:name="xdx_981_eus-gaap--ShareBasedCompensation"/>
            <w:bookmarkEnd w:id="1187"/>
          </w:p>
        </w:tc>
        <w:tc>
          <w:tcPr>
            <w:tcW w:w="3003" w:type="dxa"/>
            <w:tcBorders/>
            <w:shd w:fill="CCEEFF" w:val="clear"/>
            <w:vAlign w:val="center"/>
          </w:tcPr>
          <w:p>
            <w:pPr>
              <w:pStyle w:val="TableContents"/>
              <w:bidi w:val="0"/>
              <w:spacing w:before="0" w:after="283"/>
              <w:jc w:val="right"/>
              <w:rPr/>
            </w:pPr>
            <w:r>
              <w:rPr/>
              <w:t>75.10</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both"/>
              <w:rPr/>
            </w:pPr>
            <w:r>
              <w:rPr/>
              <w:t>Vested</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88" w:name="xdx_983_eus-gaap--ShareBasedCompensation"/>
            <w:bookmarkEnd w:id="1188"/>
          </w:p>
        </w:tc>
        <w:tc>
          <w:tcPr>
            <w:tcW w:w="1032" w:type="dxa"/>
            <w:tcBorders>
              <w:bottom w:val="single" w:sz="8" w:space="0" w:color="000000"/>
            </w:tcBorders>
            <w:shd w:fill="FFFFFF" w:val="clear"/>
            <w:tcMar>
              <w:bottom w:w="28" w:type="dxa"/>
            </w:tcMar>
            <w:vAlign w:val="center"/>
          </w:tcPr>
          <w:p>
            <w:pPr>
              <w:pStyle w:val="TableContents"/>
              <w:bidi w:val="0"/>
              <w:spacing w:before="0" w:after="283"/>
              <w:jc w:val="right"/>
              <w:rPr/>
            </w:pPr>
            <w:r>
              <w:rPr/>
              <w:t>(1,262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89" w:name="xdx_980_eus-gaap--ShareBasedCompensation"/>
            <w:bookmarkEnd w:id="1189"/>
          </w:p>
        </w:tc>
        <w:tc>
          <w:tcPr>
            <w:tcW w:w="3003" w:type="dxa"/>
            <w:tcBorders>
              <w:bottom w:val="single" w:sz="8" w:space="0" w:color="000000"/>
            </w:tcBorders>
            <w:shd w:fill="FFFFFF" w:val="clear"/>
            <w:tcMar>
              <w:bottom w:w="28" w:type="dxa"/>
            </w:tcMar>
            <w:vAlign w:val="center"/>
          </w:tcPr>
          <w:p>
            <w:pPr>
              <w:pStyle w:val="TableContents"/>
              <w:bidi w:val="0"/>
              <w:spacing w:before="0" w:after="283"/>
              <w:jc w:val="right"/>
              <w:rPr/>
            </w:pPr>
            <w:r>
              <w:rPr/>
              <w:t>66.82</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Unvested shares, December 31, 2024</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90" w:name="xdx_985_eus-gaap--ShareBasedCompensation"/>
            <w:bookmarkEnd w:id="1190"/>
          </w:p>
        </w:tc>
        <w:tc>
          <w:tcPr>
            <w:tcW w:w="1032" w:type="dxa"/>
            <w:tcBorders>
              <w:bottom w:val="double" w:sz="6" w:space="0" w:color="000000"/>
            </w:tcBorders>
            <w:shd w:fill="CCEEFF" w:val="clear"/>
            <w:tcMar>
              <w:bottom w:w="28" w:type="dxa"/>
            </w:tcMar>
            <w:vAlign w:val="center"/>
          </w:tcPr>
          <w:p>
            <w:pPr>
              <w:pStyle w:val="TableContents"/>
              <w:bidi w:val="0"/>
              <w:spacing w:before="0" w:after="283"/>
              <w:jc w:val="right"/>
              <w:rPr/>
            </w:pPr>
            <w:r>
              <w:rPr/>
              <w:t>33,474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191" w:name="xdx_982_eus-gaap--ShareBasedCompensation"/>
            <w:bookmarkEnd w:id="1191"/>
          </w:p>
        </w:tc>
        <w:tc>
          <w:tcPr>
            <w:tcW w:w="3003" w:type="dxa"/>
            <w:tcBorders>
              <w:bottom w:val="double" w:sz="6" w:space="0" w:color="000000"/>
            </w:tcBorders>
            <w:shd w:fill="CCEEFF" w:val="clear"/>
            <w:tcMar>
              <w:bottom w:w="28" w:type="dxa"/>
            </w:tcMar>
            <w:vAlign w:val="center"/>
          </w:tcPr>
          <w:p>
            <w:pPr>
              <w:pStyle w:val="TableContents"/>
              <w:bidi w:val="0"/>
              <w:spacing w:before="0" w:after="283"/>
              <w:jc w:val="right"/>
              <w:rPr/>
            </w:pPr>
            <w:r>
              <w:rPr/>
              <w:t>45.23</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300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Unvested shares, January 1, 2025</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bookmarkStart w:id="1192" w:name="xdx_988_eus-gaap--ShareBasedCompensation"/>
            <w:bookmarkEnd w:id="1192"/>
          </w:p>
        </w:tc>
        <w:tc>
          <w:tcPr>
            <w:tcW w:w="1032" w:type="dxa"/>
            <w:tcBorders/>
            <w:shd w:fill="CCEEFF" w:val="clear"/>
            <w:vAlign w:val="center"/>
          </w:tcPr>
          <w:p>
            <w:pPr>
              <w:pStyle w:val="TableContents"/>
              <w:bidi w:val="0"/>
              <w:spacing w:before="0" w:after="283"/>
              <w:jc w:val="right"/>
              <w:rPr/>
            </w:pPr>
            <w:r>
              <w:rPr/>
              <w:t>33,474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w:t>
            </w:r>
            <w:bookmarkStart w:id="1193" w:name="xdx_981_eus-gaap--ShareBasedCompensation"/>
            <w:bookmarkEnd w:id="1193"/>
          </w:p>
        </w:tc>
        <w:tc>
          <w:tcPr>
            <w:tcW w:w="3003" w:type="dxa"/>
            <w:tcBorders/>
            <w:shd w:fill="CCEEFF" w:val="clear"/>
            <w:vAlign w:val="center"/>
          </w:tcPr>
          <w:p>
            <w:pPr>
              <w:pStyle w:val="TableContents"/>
              <w:bidi w:val="0"/>
              <w:spacing w:before="0" w:after="283"/>
              <w:jc w:val="right"/>
              <w:rPr/>
            </w:pPr>
            <w:r>
              <w:rPr/>
              <w:t>45.23</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both"/>
              <w:rPr/>
            </w:pPr>
            <w:r>
              <w:rPr/>
              <w:t>Granted and unvested</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bookmarkStart w:id="1194" w:name="xdx_98A_eus-gaap--ShareBasedCompensation"/>
            <w:bookmarkEnd w:id="1194"/>
          </w:p>
        </w:tc>
        <w:tc>
          <w:tcPr>
            <w:tcW w:w="1032" w:type="dxa"/>
            <w:tcBorders/>
            <w:shd w:fill="FFFFFF" w:val="clear"/>
            <w:vAlign w:val="center"/>
          </w:tcPr>
          <w:p>
            <w:pPr>
              <w:pStyle w:val="TableContents"/>
              <w:bidi w:val="0"/>
              <w:spacing w:before="0" w:after="283"/>
              <w:jc w:val="right"/>
              <w:rPr/>
            </w:pPr>
            <w:r>
              <w:rPr/>
              <w:t>464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bookmarkStart w:id="1195" w:name="xdx_98B_eus-gaap--ShareBasedCompensation"/>
            <w:bookmarkEnd w:id="1195"/>
          </w:p>
        </w:tc>
        <w:tc>
          <w:tcPr>
            <w:tcW w:w="3003" w:type="dxa"/>
            <w:tcBorders/>
            <w:shd w:fill="FFFFFF" w:val="clear"/>
            <w:vAlign w:val="center"/>
          </w:tcPr>
          <w:p>
            <w:pPr>
              <w:pStyle w:val="TableContents"/>
              <w:bidi w:val="0"/>
              <w:spacing w:before="0" w:after="283"/>
              <w:jc w:val="right"/>
              <w:rPr/>
            </w:pPr>
            <w:r>
              <w:rPr/>
              <w:t>8.73</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Forfeited</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bookmarkStart w:id="1196" w:name="xdx_980_eus-gaap--ShareBasedCompensation"/>
            <w:bookmarkEnd w:id="1196"/>
          </w:p>
        </w:tc>
        <w:tc>
          <w:tcPr>
            <w:tcW w:w="1032" w:type="dxa"/>
            <w:tcBorders/>
            <w:shd w:fill="CCEEFF" w:val="clear"/>
            <w:vAlign w:val="center"/>
          </w:tcPr>
          <w:p>
            <w:pPr>
              <w:pStyle w:val="TableContents"/>
              <w:bidi w:val="0"/>
              <w:spacing w:before="0" w:after="283"/>
              <w:jc w:val="right"/>
              <w:rPr/>
            </w:pPr>
            <w:r>
              <w:rPr/>
              <w:t>(6,187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bookmarkStart w:id="1197" w:name="xdx_98D_eus-gaap--ShareBasedCompensation"/>
            <w:bookmarkEnd w:id="1197"/>
          </w:p>
        </w:tc>
        <w:tc>
          <w:tcPr>
            <w:tcW w:w="3003" w:type="dxa"/>
            <w:tcBorders/>
            <w:shd w:fill="CCEEFF" w:val="clear"/>
            <w:vAlign w:val="center"/>
          </w:tcPr>
          <w:p>
            <w:pPr>
              <w:pStyle w:val="TableContents"/>
              <w:bidi w:val="0"/>
              <w:spacing w:before="0" w:after="283"/>
              <w:jc w:val="right"/>
              <w:rPr/>
            </w:pPr>
            <w:r>
              <w:rPr/>
              <w:t>43.33</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both"/>
              <w:rPr/>
            </w:pPr>
            <w:r>
              <w:rPr/>
              <w:t>Vested</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bookmarkStart w:id="1198" w:name="xdx_987_eus-gaap--ShareBasedCompensation"/>
            <w:bookmarkEnd w:id="1198"/>
          </w:p>
        </w:tc>
        <w:tc>
          <w:tcPr>
            <w:tcW w:w="1032" w:type="dxa"/>
            <w:tcBorders/>
            <w:shd w:fill="FFFFFF" w:val="clear"/>
            <w:vAlign w:val="center"/>
          </w:tcPr>
          <w:p>
            <w:pPr>
              <w:pStyle w:val="TableContents"/>
              <w:bidi w:val="0"/>
              <w:spacing w:before="0" w:after="283"/>
              <w:jc w:val="right"/>
              <w:rPr/>
            </w:pPr>
            <w:r>
              <w:rPr/>
              <w:t>(10,934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bookmarkStart w:id="1199" w:name="xdx_986_eus-gaap--ShareBasedCompensation"/>
            <w:bookmarkEnd w:id="1199"/>
          </w:p>
        </w:tc>
        <w:tc>
          <w:tcPr>
            <w:tcW w:w="3003" w:type="dxa"/>
            <w:tcBorders/>
            <w:shd w:fill="FFFFFF" w:val="clear"/>
            <w:vAlign w:val="center"/>
          </w:tcPr>
          <w:p>
            <w:pPr>
              <w:pStyle w:val="TableContents"/>
              <w:bidi w:val="0"/>
              <w:spacing w:before="0" w:after="283"/>
              <w:jc w:val="right"/>
              <w:rPr/>
            </w:pPr>
            <w:r>
              <w:rPr/>
              <w:t>44.79</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Cancelled due to reverse stock split</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00" w:name="xdx_988_ecustom--ShareBasedCompensationA"/>
            <w:bookmarkEnd w:id="1200"/>
          </w:p>
        </w:tc>
        <w:tc>
          <w:tcPr>
            <w:tcW w:w="1032"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01" w:name="xdx_98F_ecustom--ShareBasedCompensationA"/>
            <w:bookmarkEnd w:id="1201"/>
          </w:p>
        </w:tc>
        <w:tc>
          <w:tcPr>
            <w:tcW w:w="3003" w:type="dxa"/>
            <w:tcBorders>
              <w:bottom w:val="single" w:sz="8" w:space="0" w:color="000000"/>
            </w:tcBorders>
            <w:shd w:fill="CCEEFF" w:val="clear"/>
            <w:tcMar>
              <w:bottom w:w="28" w:type="dxa"/>
            </w:tcMar>
            <w:vAlign w:val="center"/>
          </w:tcPr>
          <w:p>
            <w:pPr>
              <w:pStyle w:val="TableContents"/>
              <w:bidi w:val="0"/>
              <w:spacing w:before="0" w:after="283"/>
              <w:jc w:val="right"/>
              <w:rPr/>
            </w:pPr>
            <w:r>
              <w:rPr/>
              <w:t>45.23</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both"/>
              <w:rPr/>
            </w:pPr>
            <w:r>
              <w:rPr/>
              <w:t>Unvested shares, December 31, 2025</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02" w:name="xdx_981_eus-gaap--ShareBasedCompensation"/>
            <w:bookmarkEnd w:id="1202"/>
          </w:p>
        </w:tc>
        <w:tc>
          <w:tcPr>
            <w:tcW w:w="1032" w:type="dxa"/>
            <w:tcBorders>
              <w:bottom w:val="double" w:sz="6" w:space="0" w:color="000000"/>
            </w:tcBorders>
            <w:shd w:fill="FFFFFF" w:val="clear"/>
            <w:tcMar>
              <w:bottom w:w="28" w:type="dxa"/>
            </w:tcMar>
            <w:vAlign w:val="center"/>
          </w:tcPr>
          <w:p>
            <w:pPr>
              <w:pStyle w:val="TableContents"/>
              <w:bidi w:val="0"/>
              <w:spacing w:before="0" w:after="283"/>
              <w:jc w:val="right"/>
              <w:rPr/>
            </w:pPr>
            <w:r>
              <w:rPr/>
              <w:t>16,787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03" w:name="xdx_98B_eus-gaap--ShareBasedCompensation"/>
            <w:bookmarkEnd w:id="1203"/>
          </w:p>
        </w:tc>
        <w:tc>
          <w:tcPr>
            <w:tcW w:w="3003" w:type="dxa"/>
            <w:tcBorders>
              <w:bottom w:val="double" w:sz="6" w:space="0" w:color="000000"/>
            </w:tcBorders>
            <w:shd w:fill="FFFFFF" w:val="clear"/>
            <w:tcMar>
              <w:bottom w:w="28" w:type="dxa"/>
            </w:tcMar>
            <w:vAlign w:val="center"/>
          </w:tcPr>
          <w:p>
            <w:pPr>
              <w:pStyle w:val="TableContents"/>
              <w:bidi w:val="0"/>
              <w:spacing w:before="0" w:after="283"/>
              <w:jc w:val="right"/>
              <w:rPr/>
            </w:pPr>
            <w:r>
              <w:rPr/>
              <w:t>45.16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04" w:name="xdx_8A1_zGzcV2LGukOb"/>
      <w:bookmarkEnd w:id="120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2024 there were </w:t>
      </w:r>
      <w:bookmarkStart w:id="1205" w:name="xdx_908_eus-gaap--ClassOfWarrantOrRightU"/>
      <w:bookmarkEnd w:id="1205"/>
      <w:r>
        <w:rPr>
          <w:rFonts w:ascii="Times New Roman;Times;Serif" w:hAnsi="Times New Roman;Times;Serif"/>
          <w:b w:val="false"/>
          <w:i w:val="false"/>
          <w:caps w:val="false"/>
          <w:smallCaps w:val="false"/>
          <w:sz w:val="20"/>
        </w:rPr>
        <w:t xml:space="preserve">1,017,131 and </w:t>
      </w:r>
      <w:bookmarkStart w:id="1206" w:name="xdx_907_eus-gaap--ClassOfWarrantOrRightU"/>
      <w:bookmarkEnd w:id="1206"/>
      <w:r>
        <w:rPr>
          <w:rFonts w:ascii="Times New Roman;Times;Serif" w:hAnsi="Times New Roman;Times;Serif"/>
          <w:b w:val="false"/>
          <w:i w:val="false"/>
          <w:caps w:val="false"/>
          <w:smallCaps w:val="false"/>
          <w:sz w:val="20"/>
        </w:rPr>
        <w:t>85,441 shares, respectively, of unissued authorized and available for future awards under the 2022 Equity Incentive Plan and Employee Stock Purchase Plan.</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12 - Stock-Based Compensation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maintains the Dragonfly Energy Corporation, Inc. Employee Stock Purchase Plan which permits eligible employees to purchase shares at not less than 85% of the market value of the Company’s common stock on the offering date or the purchase date of the applicable offering period, whichever is lower. The plan was adopted by the Company’s Board of Directors on May 13, 2022. On April 24, 2024, the Company issued </w:t>
      </w:r>
      <w:bookmarkStart w:id="1207" w:name="xdx_905_eus-gaap--StockIssuedDuringPerio"/>
      <w:bookmarkEnd w:id="1207"/>
      <w:r>
        <w:rPr>
          <w:rFonts w:ascii="Times New Roman;Times;Serif" w:hAnsi="Times New Roman;Times;Serif"/>
          <w:b w:val="false"/>
          <w:i w:val="false"/>
          <w:caps w:val="false"/>
          <w:smallCaps w:val="false"/>
          <w:sz w:val="20"/>
        </w:rPr>
        <w:t>2,720 common shares in connection with its Employee Stock Purchase Plan for a total consideration of approximately $</w:t>
      </w:r>
      <w:bookmarkStart w:id="1208" w:name="xdx_907_eus-gaap--StockIssuedDuringPerio"/>
      <w:bookmarkEnd w:id="1208"/>
      <w:r>
        <w:rPr>
          <w:rFonts w:ascii="Times New Roman;Times;Serif" w:hAnsi="Times New Roman;Times;Serif"/>
          <w:b w:val="false"/>
          <w:i w:val="false"/>
          <w:caps w:val="false"/>
          <w:smallCaps w:val="false"/>
          <w:sz w:val="20"/>
        </w:rPr>
        <w:t xml:space="preserve">112. The ESPP allows employees to purchase shares at a </w:t>
      </w:r>
      <w:bookmarkStart w:id="1209" w:name="xdx_904_ecustom--EmployeePurchaseSharesP"/>
      <w:bookmarkEnd w:id="1209"/>
      <w:r>
        <w:rPr>
          <w:rFonts w:ascii="Times New Roman;Times;Serif" w:hAnsi="Times New Roman;Times;Serif"/>
          <w:b w:val="false"/>
          <w:i w:val="false"/>
          <w:caps w:val="false"/>
          <w:smallCaps w:val="false"/>
          <w:sz w:val="20"/>
        </w:rPr>
        <w:t>15% discount to the lesser of the stock price at the beginning or the end of the offering period, which was October 1, 2023, and April 1, 2024, respectively. The discount resulted in an exercise price of $</w:t>
      </w:r>
      <w:bookmarkStart w:id="1210" w:name="xdx_901_eus-gaap--ClassOfWarrantOrRightE"/>
      <w:bookmarkEnd w:id="1210"/>
      <w:r>
        <w:rPr>
          <w:rFonts w:ascii="Times New Roman;Times;Serif" w:hAnsi="Times New Roman;Times;Serif"/>
          <w:b w:val="false"/>
          <w:i w:val="false"/>
          <w:caps w:val="false"/>
          <w:smallCaps w:val="false"/>
          <w:sz w:val="20"/>
        </w:rPr>
        <w:t>41.40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 2024, the Company commenced a second offering under the Employee Stock Purchase Plan (ESPP), which ran through September 30, 2024, with the same terms as the first offering. As of September 30, 2024, the Company had issued </w:t>
      </w:r>
      <w:bookmarkStart w:id="1211" w:name="xdx_908_eus-gaap--StockIssuedDuringPerio"/>
      <w:bookmarkEnd w:id="1211"/>
      <w:r>
        <w:rPr>
          <w:rFonts w:ascii="Times New Roman;Times;Serif" w:hAnsi="Times New Roman;Times;Serif"/>
          <w:b w:val="false"/>
          <w:i w:val="false"/>
          <w:caps w:val="false"/>
          <w:smallCaps w:val="false"/>
          <w:sz w:val="20"/>
        </w:rPr>
        <w:t>3,395 common shares in connection with its Employee Stock Purchase Plan for a total consideration of approximately $</w:t>
      </w:r>
      <w:bookmarkStart w:id="1212" w:name="xdx_90E_eus-gaap--StockIssuedDuringPerio"/>
      <w:bookmarkEnd w:id="1212"/>
      <w:r>
        <w:rPr>
          <w:rFonts w:ascii="Times New Roman;Times;Serif" w:hAnsi="Times New Roman;Times;Serif"/>
          <w:b w:val="false"/>
          <w:i w:val="false"/>
          <w:caps w:val="false"/>
          <w:smallCaps w:val="false"/>
          <w:sz w:val="20"/>
        </w:rPr>
        <w:t xml:space="preserve">135. The ESPP allows employees to purchase shares at a </w:t>
      </w:r>
      <w:bookmarkStart w:id="1213" w:name="xdx_904_ecustom--EmployeePurchaseSharesP"/>
      <w:bookmarkEnd w:id="1213"/>
      <w:r>
        <w:rPr>
          <w:rFonts w:ascii="Times New Roman;Times;Serif" w:hAnsi="Times New Roman;Times;Serif"/>
          <w:b w:val="false"/>
          <w:i w:val="false"/>
          <w:caps w:val="false"/>
          <w:smallCaps w:val="false"/>
          <w:sz w:val="20"/>
        </w:rPr>
        <w:t>15% discount to the lesser of the stock price at the beginning or the end of the offering period, which was April 1, 2024, and September 30, 2024, respectively. The discount resulted in an exercise price of $</w:t>
      </w:r>
      <w:bookmarkStart w:id="1214" w:name="xdx_90E_eus-gaap--ClassOfWarrantOrRightE"/>
      <w:bookmarkEnd w:id="1214"/>
      <w:r>
        <w:rPr>
          <w:rFonts w:ascii="Times New Roman;Times;Serif" w:hAnsi="Times New Roman;Times;Serif"/>
          <w:b w:val="false"/>
          <w:i w:val="false"/>
          <w:caps w:val="false"/>
          <w:smallCaps w:val="false"/>
          <w:sz w:val="20"/>
        </w:rPr>
        <w:t>39.90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8, 2025, the Company issued </w:t>
      </w:r>
      <w:bookmarkStart w:id="1215" w:name="xdx_907_eus-gaap--StockIssuedDuringPerio"/>
      <w:bookmarkEnd w:id="1215"/>
      <w:r>
        <w:rPr>
          <w:rFonts w:ascii="Times New Roman;Times;Serif" w:hAnsi="Times New Roman;Times;Serif"/>
          <w:b w:val="false"/>
          <w:i w:val="false"/>
          <w:caps w:val="false"/>
          <w:smallCaps w:val="false"/>
          <w:sz w:val="20"/>
        </w:rPr>
        <w:t>8,751 common shares in connection with its Employee Stock Purchase Plan for a total consideration of approximately $</w:t>
      </w:r>
      <w:bookmarkStart w:id="1216" w:name="xdx_90C_eus-gaap--StockIssuedDuringPerio"/>
      <w:bookmarkEnd w:id="1216"/>
      <w:r>
        <w:rPr>
          <w:rFonts w:ascii="Times New Roman;Times;Serif" w:hAnsi="Times New Roman;Times;Serif"/>
          <w:b w:val="false"/>
          <w:i w:val="false"/>
          <w:caps w:val="false"/>
          <w:smallCaps w:val="false"/>
          <w:sz w:val="20"/>
        </w:rPr>
        <w:t xml:space="preserve">73. The ESPP allows employees to purchase shares at a </w:t>
      </w:r>
      <w:bookmarkStart w:id="1217" w:name="xdx_90E_ecustom--EmployeePurchaseSharesP"/>
      <w:bookmarkEnd w:id="1217"/>
      <w:r>
        <w:rPr>
          <w:rFonts w:ascii="Times New Roman;Times;Serif" w:hAnsi="Times New Roman;Times;Serif"/>
          <w:b w:val="false"/>
          <w:i w:val="false"/>
          <w:caps w:val="false"/>
          <w:smallCaps w:val="false"/>
          <w:sz w:val="20"/>
        </w:rPr>
        <w:t>15% discount to the lesser of the stock price at the beginning or the end of the offering period, which was October 1, 2024 and April 1, 2025, respectively. The discount resulted in an exercise price of $</w:t>
      </w:r>
      <w:bookmarkStart w:id="1218" w:name="xdx_90A_eus-gaap--SharePrice_iI_pid_c202"/>
      <w:bookmarkEnd w:id="1218"/>
      <w:r>
        <w:rPr>
          <w:rFonts w:ascii="Times New Roman;Times;Serif" w:hAnsi="Times New Roman;Times;Serif"/>
          <w:b w:val="false"/>
          <w:i w:val="false"/>
          <w:caps w:val="false"/>
          <w:smallCaps w:val="false"/>
          <w:sz w:val="20"/>
        </w:rPr>
        <w:t>8.30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8, 2025, the Company issued </w:t>
      </w:r>
      <w:bookmarkStart w:id="1219" w:name="xdx_902_eus-gaap--StockIssuedDuringPerio"/>
      <w:bookmarkEnd w:id="1219"/>
      <w:r>
        <w:rPr>
          <w:rFonts w:ascii="Times New Roman;Times;Serif" w:hAnsi="Times New Roman;Times;Serif"/>
          <w:b w:val="false"/>
          <w:i w:val="false"/>
          <w:caps w:val="false"/>
          <w:smallCaps w:val="false"/>
          <w:sz w:val="20"/>
        </w:rPr>
        <w:t>4,457 common shares in connection with its Employee Stock Purchase Plan for a total consideration of approximately $</w:t>
      </w:r>
      <w:bookmarkStart w:id="1220" w:name="xdx_907_eus-gaap--StockIssuedDuringPerio"/>
      <w:bookmarkEnd w:id="1220"/>
      <w:r>
        <w:rPr>
          <w:rFonts w:ascii="Times New Roman;Times;Serif" w:hAnsi="Times New Roman;Times;Serif"/>
          <w:b w:val="false"/>
          <w:i w:val="false"/>
          <w:caps w:val="false"/>
          <w:smallCaps w:val="false"/>
          <w:sz w:val="20"/>
        </w:rPr>
        <w:t xml:space="preserve">24. The ESPP allows employees to purchase shares at a </w:t>
      </w:r>
      <w:bookmarkStart w:id="1221" w:name="xdx_90B_ecustom--EmployeePurchaseSharesP"/>
      <w:bookmarkEnd w:id="1221"/>
      <w:r>
        <w:rPr>
          <w:rFonts w:ascii="Times New Roman;Times;Serif" w:hAnsi="Times New Roman;Times;Serif"/>
          <w:b w:val="false"/>
          <w:i w:val="false"/>
          <w:caps w:val="false"/>
          <w:smallCaps w:val="false"/>
          <w:sz w:val="20"/>
        </w:rPr>
        <w:t>15% discount to the lesser of the stock price at the beginning or the end of the offering period, which was April 1, 2025 and September 30, 2025, respectively. The discount resulted in an exercise price of $</w:t>
      </w:r>
      <w:bookmarkStart w:id="1222" w:name="xdx_900_eus-gaap--SharePrice_iI_pid_c202"/>
      <w:bookmarkEnd w:id="1222"/>
      <w:r>
        <w:rPr>
          <w:rFonts w:ascii="Times New Roman;Times;Serif" w:hAnsi="Times New Roman;Times;Serif"/>
          <w:b w:val="false"/>
          <w:i w:val="false"/>
          <w:caps w:val="false"/>
          <w:smallCaps w:val="false"/>
          <w:sz w:val="20"/>
        </w:rPr>
        <w:t>5.10 per share.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1223" w:name="xdx_80A_eus-gaap--IncomeTaxDisclosureTex"/>
      <w:bookmarkEnd w:id="1223"/>
      <w:r>
        <w:rPr>
          <w:rFonts w:ascii="Times New Roman;Times;Serif" w:hAnsi="Times New Roman;Times;Serif"/>
          <w:b/>
          <w:i w:val="false"/>
          <w:caps/>
          <w:sz w:val="20"/>
        </w:rPr>
        <w:t xml:space="preserve">Note 13 - </w:t>
      </w:r>
      <w:bookmarkStart w:id="1224" w:name="xdx_826_zI2fLJSqzK8d"/>
      <w:bookmarkEnd w:id="1224"/>
      <w:r>
        <w:rPr>
          <w:rFonts w:ascii="Times New Roman;Times;Serif" w:hAnsi="Times New Roman;Times;Serif"/>
          <w:b/>
          <w:i w:val="false"/>
          <w:caps/>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in accordance with ASC 740, which requires an asset and liability approach for measuring deferred taxes based on temporary differences between the financial statements and tax bases of assets and liabilities existing at each balance sheet date using enacted tax rates for the years in which taxes are expected to be paid or recovered.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25" w:name="xdx_89C_ecustom--ScheduleOfPretaxIncomeL"/>
      <w:bookmarkEnd w:id="1225"/>
      <w:r>
        <w:rPr>
          <w:rFonts w:ascii="Times New Roman;Times;Serif" w:hAnsi="Times New Roman;Times;Serif"/>
          <w:b w:val="false"/>
          <w:i w:val="false"/>
          <w:caps w:val="false"/>
          <w:smallCaps w:val="false"/>
          <w:sz w:val="20"/>
        </w:rPr>
        <w:t>Pre-tax income (loss) from continuing operations for the years ended December 31, 2025 and 2024 is as follows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26" w:name="xdx_8B3_zTb22ANoaKGk"/>
      <w:bookmarkEnd w:id="1226"/>
      <w:r>
        <w:rPr>
          <w:rFonts w:ascii="Times New Roman;Times;Serif" w:hAnsi="Times New Roman;Times;Serif"/>
          <w:b w:val="false"/>
          <w:i w:val="false"/>
          <w:caps w:val="false"/>
          <w:smallCaps w:val="false"/>
          <w:sz w:val="20"/>
        </w:rPr>
        <w:t>SCHEDULE OF PRETAX INCOME LOSS FROM CONTINUING OPERATIONS </w:t>
      </w:r>
    </w:p>
    <w:tbl>
      <w:tblPr>
        <w:tblW w:w="3050" w:type="dxa"/>
        <w:jc w:val="left"/>
        <w:tblInd w:w="0" w:type="dxa"/>
        <w:tblLayout w:type="fixed"/>
        <w:tblCellMar>
          <w:top w:w="0" w:type="dxa"/>
          <w:left w:w="0" w:type="dxa"/>
          <w:bottom w:w="0" w:type="dxa"/>
          <w:right w:w="0" w:type="dxa"/>
        </w:tblCellMar>
      </w:tblPr>
      <w:tblGrid>
        <w:gridCol w:w="935"/>
        <w:gridCol w:w="60"/>
        <w:gridCol w:w="140"/>
        <w:gridCol w:w="755"/>
        <w:gridCol w:w="95"/>
        <w:gridCol w:w="60"/>
        <w:gridCol w:w="140"/>
        <w:gridCol w:w="755"/>
        <w:gridCol w:w="110"/>
      </w:tblGrid>
      <w:tr>
        <w:trPr/>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27" w:name="xdx_492_20250101__20251231_zmbCfZqxUTK6"/>
            <w:bookmarkEnd w:id="1227"/>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28" w:name="xdx_493_20240101__20241231_zyHoIe2zY3Nb"/>
            <w:bookmarkEnd w:id="1228"/>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bookmarkStart w:id="1229" w:name="xdx_404_eus-gaap--IncomeTaxReconciliatio"/>
            <w:bookmarkEnd w:id="1229"/>
          </w:p>
        </w:tc>
      </w:tr>
      <w:tr>
        <w:trPr/>
        <w:tc>
          <w:tcPr>
            <w:tcW w:w="935" w:type="dxa"/>
            <w:tcBorders/>
            <w:shd w:fill="CCEEFF" w:val="clear"/>
            <w:vAlign w:val="center"/>
          </w:tcPr>
          <w:p>
            <w:pPr>
              <w:pStyle w:val="TableContents"/>
              <w:bidi w:val="0"/>
              <w:spacing w:before="0" w:after="283"/>
              <w:jc w:val="left"/>
              <w:rPr/>
            </w:pPr>
            <w:r>
              <w:rPr/>
              <w:t>Domestic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(70,033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(40,615</w:t>
            </w:r>
          </w:p>
        </w:tc>
        <w:tc>
          <w:tcPr>
            <w:tcW w:w="110" w:type="dxa"/>
            <w:tcBorders/>
            <w:shd w:fill="CCEEFF" w:val="clear"/>
            <w:vAlign w:val="center"/>
          </w:tcPr>
          <w:p>
            <w:pPr>
              <w:pStyle w:val="TableContents"/>
              <w:bidi w:val="0"/>
              <w:spacing w:before="0" w:after="283"/>
              <w:jc w:val="left"/>
              <w:rPr/>
            </w:pPr>
            <w:r>
              <w:rPr/>
              <w:t>)</w:t>
            </w:r>
            <w:bookmarkStart w:id="1230" w:name="xdx_404_eus-gaap--IncomeTaxReconciliatio"/>
            <w:bookmarkEnd w:id="1230"/>
          </w:p>
        </w:tc>
      </w:tr>
      <w:tr>
        <w:trPr/>
        <w:tc>
          <w:tcPr>
            <w:tcW w:w="935"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31" w:name="xdx_40F_eus-gaap--IncomeTaxReconciliatio"/>
            <w:bookmarkEnd w:id="1231"/>
          </w:p>
        </w:tc>
      </w:tr>
      <w:tr>
        <w:trPr/>
        <w:tc>
          <w:tcPr>
            <w:tcW w:w="93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(70,033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(40,615</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232" w:name="xdx_8AB_zZ1fOdv5euO3"/>
      <w:bookmarkEnd w:id="123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33" w:name="xdx_89C_eus-gaap--ScheduleOfComponentsOf"/>
      <w:bookmarkEnd w:id="1233"/>
      <w:r>
        <w:rPr>
          <w:rFonts w:ascii="Times New Roman;Times;Serif" w:hAnsi="Times New Roman;Times;Serif"/>
          <w:b w:val="false"/>
          <w:i w:val="false"/>
          <w:caps w:val="false"/>
          <w:smallCaps w:val="false"/>
          <w:sz w:val="20"/>
        </w:rPr>
        <w:t>The (provision) benefit for income taxes for the years ended December 31, 2025 and 2024 was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34" w:name="xdx_8B4_zZd3chjABut1"/>
      <w:bookmarkEnd w:id="1234"/>
      <w:r>
        <w:rPr>
          <w:rFonts w:ascii="Times New Roman;Times;Serif" w:hAnsi="Times New Roman;Times;Serif"/>
          <w:b w:val="false"/>
          <w:i w:val="false"/>
          <w:caps w:val="false"/>
          <w:smallCaps w:val="false"/>
          <w:sz w:val="20"/>
        </w:rPr>
        <w:t>SCHEDULE OF INCOME TAX EXPENSE </w:t>
      </w:r>
    </w:p>
    <w:tbl>
      <w:tblPr>
        <w:tblW w:w="3085" w:type="dxa"/>
        <w:jc w:val="left"/>
        <w:tblInd w:w="0" w:type="dxa"/>
        <w:tblLayout w:type="fixed"/>
        <w:tblCellMar>
          <w:top w:w="0" w:type="dxa"/>
          <w:left w:w="0" w:type="dxa"/>
          <w:bottom w:w="0" w:type="dxa"/>
          <w:right w:w="0" w:type="dxa"/>
        </w:tblCellMar>
      </w:tblPr>
      <w:tblGrid>
        <w:gridCol w:w="1700"/>
        <w:gridCol w:w="60"/>
        <w:gridCol w:w="140"/>
        <w:gridCol w:w="455"/>
        <w:gridCol w:w="95"/>
        <w:gridCol w:w="60"/>
        <w:gridCol w:w="297"/>
        <w:gridCol w:w="203"/>
        <w:gridCol w:w="75"/>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35" w:name="xdx_492_20250101__20251231_z0EEGXg89pFa"/>
            <w:bookmarkEnd w:id="1235"/>
          </w:p>
        </w:tc>
        <w:tc>
          <w:tcPr>
            <w:tcW w:w="59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36" w:name="xdx_493_20240101__20241231_zuWxopIDFcMb"/>
            <w:bookmarkEnd w:id="1236"/>
          </w:p>
        </w:tc>
        <w:tc>
          <w:tcPr>
            <w:tcW w:w="50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bookmarkStart w:id="1237" w:name="xdx_40D_eus-gaap--CurrentFederalTaxExpen"/>
            <w:bookmarkEnd w:id="1237"/>
          </w:p>
        </w:tc>
      </w:tr>
      <w:tr>
        <w:trPr/>
        <w:tc>
          <w:tcPr>
            <w:tcW w:w="1700" w:type="dxa"/>
            <w:tcBorders/>
            <w:shd w:fill="CCEEFF" w:val="clear"/>
            <w:vAlign w:val="center"/>
          </w:tcPr>
          <w:p>
            <w:pPr>
              <w:pStyle w:val="TableContents"/>
              <w:bidi w:val="0"/>
              <w:spacing w:before="0" w:after="283"/>
              <w:jc w:val="left"/>
              <w:rPr/>
            </w:pPr>
            <w:r>
              <w:rPr/>
              <w:t>Current - Federal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(103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20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238" w:name="xdx_40C_eus-gaap--CurrentStateAndLocalTa"/>
            <w:bookmarkEnd w:id="1238"/>
          </w:p>
        </w:tc>
      </w:tr>
      <w:tr>
        <w:trPr/>
        <w:tc>
          <w:tcPr>
            <w:tcW w:w="1700" w:type="dxa"/>
            <w:tcBorders/>
            <w:shd w:fill="FFFFFF" w:val="clear"/>
            <w:vAlign w:val="center"/>
          </w:tcPr>
          <w:p>
            <w:pPr>
              <w:pStyle w:val="TableContents"/>
              <w:bidi w:val="0"/>
              <w:spacing w:before="0" w:after="283"/>
              <w:jc w:val="left"/>
              <w:rPr/>
            </w:pPr>
            <w:r>
              <w:rPr/>
              <w:t>Current - State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239" w:name="xdx_402_eus-gaap--IncomeTaxExpenseBenefi"/>
            <w:bookmarkEnd w:id="1239"/>
          </w:p>
        </w:tc>
      </w:tr>
      <w:tr>
        <w:trPr/>
        <w:tc>
          <w:tcPr>
            <w:tcW w:w="1700" w:type="dxa"/>
            <w:tcBorders/>
            <w:shd w:fill="CCEEFF" w:val="clear"/>
            <w:vAlign w:val="center"/>
          </w:tcPr>
          <w:p>
            <w:pPr>
              <w:pStyle w:val="TableContents"/>
              <w:bidi w:val="0"/>
              <w:spacing w:before="0" w:after="283"/>
              <w:jc w:val="left"/>
              <w:rPr/>
            </w:pPr>
            <w:r>
              <w:rPr/>
              <w:t>Total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pPr>
            <w:r>
              <w:rPr/>
              <w:t>(94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40" w:name="xdx_8A5_zCttgHymkjaf"/>
      <w:bookmarkEnd w:id="124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41" w:name="xdx_893_ecustom--ScheduleOfCashPaidForIn"/>
      <w:bookmarkEnd w:id="1241"/>
      <w:r>
        <w:rPr>
          <w:rFonts w:ascii="Times New Roman;Times;Serif" w:hAnsi="Times New Roman;Times;Serif"/>
          <w:b w:val="false"/>
          <w:i w:val="false"/>
          <w:caps w:val="false"/>
          <w:smallCaps w:val="false"/>
          <w:sz w:val="20"/>
        </w:rPr>
        <w:t>Cash paid for income taxes, net of refunds received, by jurisdiction pursuant to the disclosure requirements of ASU 2023-09 for the year ended December 31, 2025 is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42" w:name="xdx_8BF_zuOxrc72ns94"/>
      <w:bookmarkEnd w:id="1242"/>
      <w:r>
        <w:rPr>
          <w:rFonts w:ascii="Times New Roman;Times;Serif" w:hAnsi="Times New Roman;Times;Serif"/>
          <w:b w:val="false"/>
          <w:i w:val="false"/>
          <w:caps w:val="false"/>
          <w:smallCaps w:val="false"/>
          <w:sz w:val="20"/>
        </w:rPr>
        <w:t>SCHEDULE OF CASH PAID FOR INCOME TAX NET OF REFUNDS </w:t>
      </w:r>
    </w:p>
    <w:tbl>
      <w:tblPr>
        <w:tblW w:w="5515" w:type="dxa"/>
        <w:jc w:val="left"/>
        <w:tblInd w:w="0" w:type="dxa"/>
        <w:tblLayout w:type="fixed"/>
        <w:tblCellMar>
          <w:top w:w="0" w:type="dxa"/>
          <w:left w:w="0" w:type="dxa"/>
          <w:bottom w:w="0" w:type="dxa"/>
          <w:right w:w="0" w:type="dxa"/>
        </w:tblCellMar>
      </w:tblPr>
      <w:tblGrid>
        <w:gridCol w:w="4880"/>
        <w:gridCol w:w="60"/>
        <w:gridCol w:w="250"/>
        <w:gridCol w:w="250"/>
        <w:gridCol w:w="75"/>
      </w:tblGrid>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43" w:name="xdx_492_20250101__20251231_zpUz3Rc5C5Z7"/>
            <w:bookmarkEnd w:id="1243"/>
          </w:p>
        </w:tc>
        <w:tc>
          <w:tcPr>
            <w:tcW w:w="50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bookmarkStart w:id="1244" w:name="xdx_408_eus-gaap--IncomeTaxPaidFederalAf"/>
            <w:bookmarkEnd w:id="1244"/>
          </w:p>
        </w:tc>
      </w:tr>
      <w:tr>
        <w:trPr/>
        <w:tc>
          <w:tcPr>
            <w:tcW w:w="4880"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25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245" w:name="xdx_408_eus-gaap--IncomeTaxPaidStateAndL"/>
            <w:bookmarkEnd w:id="1245"/>
          </w:p>
        </w:tc>
      </w:tr>
      <w:tr>
        <w:trPr/>
        <w:tc>
          <w:tcPr>
            <w:tcW w:w="4880"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right"/>
              <w:rPr/>
            </w:pPr>
            <w:r>
              <w:rPr/>
              <w:t>7</w:t>
            </w:r>
          </w:p>
        </w:tc>
        <w:tc>
          <w:tcPr>
            <w:tcW w:w="75" w:type="dxa"/>
            <w:tcBorders/>
            <w:shd w:fill="FFFFFF" w:val="clear"/>
            <w:vAlign w:val="center"/>
          </w:tcPr>
          <w:p>
            <w:pPr>
              <w:pStyle w:val="TableContents"/>
              <w:bidi w:val="0"/>
              <w:spacing w:before="0" w:after="283"/>
              <w:jc w:val="left"/>
              <w:rPr/>
            </w:pPr>
            <w:r>
              <w:rPr/>
              <w:t> </w:t>
            </w:r>
            <w:bookmarkStart w:id="1246" w:name="xdx_405_eus-gaap--IncomeTaxPaidForeignAf"/>
            <w:bookmarkEnd w:id="1246"/>
          </w:p>
        </w:tc>
      </w:tr>
      <w:tr>
        <w:trPr/>
        <w:tc>
          <w:tcPr>
            <w:tcW w:w="4880" w:type="dxa"/>
            <w:tcBorders/>
            <w:shd w:fill="CCEEFF" w:val="clear"/>
            <w:vAlign w:val="center"/>
          </w:tcPr>
          <w:p>
            <w:pPr>
              <w:pStyle w:val="TableContents"/>
              <w:bidi w:val="0"/>
              <w:spacing w:before="0" w:after="283"/>
              <w:jc w:val="left"/>
              <w:rPr/>
            </w:pPr>
            <w:r>
              <w:rPr/>
              <w:t>Foreign</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247" w:name="xdx_403_eus-gaap--IncomeTaxesPaidNet_iT_"/>
            <w:bookmarkEnd w:id="1247"/>
          </w:p>
        </w:tc>
      </w:tr>
      <w:tr>
        <w:trPr/>
        <w:tc>
          <w:tcPr>
            <w:tcW w:w="4880" w:type="dxa"/>
            <w:tcBorders/>
            <w:shd w:fill="FFFFFF" w:val="clear"/>
            <w:vAlign w:val="center"/>
          </w:tcPr>
          <w:p>
            <w:pPr>
              <w:pStyle w:val="TableContents"/>
              <w:bidi w:val="0"/>
              <w:spacing w:before="0" w:after="283"/>
              <w:jc w:val="left"/>
              <w:rPr/>
            </w:pPr>
            <w:r>
              <w:rPr/>
              <w:t>Cash paid for income taxes, net of refunds received</w:t>
            </w:r>
          </w:p>
        </w:tc>
        <w:tc>
          <w:tcPr>
            <w:tcW w:w="60"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50" w:type="dxa"/>
            <w:tcBorders>
              <w:bottom w:val="double" w:sz="6" w:space="0" w:color="000000"/>
            </w:tcBorders>
            <w:shd w:fill="FFFFFF" w:val="clear"/>
            <w:tcMar>
              <w:bottom w:w="28" w:type="dxa"/>
            </w:tcMar>
            <w:vAlign w:val="center"/>
          </w:tcPr>
          <w:p>
            <w:pPr>
              <w:pStyle w:val="TableContents"/>
              <w:bidi w:val="0"/>
              <w:spacing w:before="0" w:after="283"/>
              <w:jc w:val="right"/>
              <w:rPr/>
            </w:pPr>
            <w:r>
              <w:rPr/>
              <w:t>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48" w:name="xdx_8A9_z8DEIeHiaRC9"/>
      <w:bookmarkEnd w:id="124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13 - Income Taxes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49" w:name="xdx_89D_eus-gaap--ScheduleOfDeferredTaxA"/>
      <w:bookmarkEnd w:id="1249"/>
      <w:r>
        <w:rPr>
          <w:rFonts w:ascii="Times New Roman;Times;Serif" w:hAnsi="Times New Roman;Times;Serif"/>
          <w:b w:val="false"/>
          <w:i w:val="false"/>
          <w:caps w:val="false"/>
          <w:smallCaps w:val="false"/>
          <w:sz w:val="20"/>
        </w:rPr>
        <w:t>Deferred income taxes reflect the net tax effects of temporary differences between the carrying amounts of the assets and liabilities for financial reporting purposes and the amounts used for income tax purposes. The tax effects of significant temporary differences are as follows (in thousands):</w:t>
      </w:r>
    </w:p>
    <w:p>
      <w:pPr>
        <w:pStyle w:val="TextBody"/>
        <w:bidi w:val="0"/>
        <w:spacing w:before="0" w:after="0"/>
        <w:ind w:left="0" w:right="0" w:hanging="0"/>
        <w:jc w:val="both"/>
        <w:rPr>
          <w:caps w:val="false"/>
          <w:smallCaps w:val="false"/>
        </w:rPr>
      </w:pPr>
      <w:r>
        <w:rPr>
          <w:caps w:val="false"/>
          <w:smallCaps w:val="false"/>
        </w:rPr>
        <w:t> </w:t>
      </w:r>
      <w:bookmarkStart w:id="1250" w:name="xdx_8B7_zqwItKzXD2b7"/>
      <w:bookmarkEnd w:id="1250"/>
      <w:r>
        <w:rPr>
          <w:rFonts w:ascii="Times New Roman;Times;Serif" w:hAnsi="Times New Roman;Times;Serif"/>
          <w:b w:val="false"/>
          <w:i w:val="false"/>
          <w:caps w:val="false"/>
          <w:smallCaps w:val="false"/>
          <w:sz w:val="20"/>
        </w:rPr>
        <w:t>SCHEDULE OF COMPONENTS OF DEFERRED TAX ASSETS (LIABILITIES)</w:t>
      </w:r>
    </w:p>
    <w:p>
      <w:pPr>
        <w:pStyle w:val="TextBody"/>
        <w:bidi w:val="0"/>
        <w:spacing w:before="0" w:after="0"/>
        <w:ind w:left="0" w:right="0" w:hanging="0"/>
        <w:jc w:val="both"/>
        <w:rPr>
          <w:caps w:val="false"/>
          <w:smallCaps w:val="false"/>
        </w:rPr>
      </w:pPr>
      <w:r>
        <w:rPr>
          <w:caps w:val="false"/>
          <w:smallCaps w:val="false"/>
        </w:rPr>
        <w:t> </w:t>
      </w:r>
    </w:p>
    <w:tbl>
      <w:tblPr>
        <w:tblW w:w="5285" w:type="dxa"/>
        <w:jc w:val="left"/>
        <w:tblInd w:w="0" w:type="dxa"/>
        <w:tblLayout w:type="fixed"/>
        <w:tblCellMar>
          <w:top w:w="0" w:type="dxa"/>
          <w:left w:w="0" w:type="dxa"/>
          <w:bottom w:w="0" w:type="dxa"/>
          <w:right w:w="0" w:type="dxa"/>
        </w:tblCellMar>
      </w:tblPr>
      <w:tblGrid>
        <w:gridCol w:w="3170"/>
        <w:gridCol w:w="60"/>
        <w:gridCol w:w="140"/>
        <w:gridCol w:w="755"/>
        <w:gridCol w:w="95"/>
        <w:gridCol w:w="60"/>
        <w:gridCol w:w="140"/>
        <w:gridCol w:w="755"/>
        <w:gridCol w:w="11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51" w:name="xdx_49B_20251231_zrpZQpR798hl"/>
            <w:bookmarkEnd w:id="1251"/>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52" w:name="xdx_490_20241231_zNQF90Ywae5l"/>
            <w:bookmarkEnd w:id="1252"/>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bookmarkStart w:id="1253" w:name="xdx_40E_eus-gaap--DeferredTaxAssetsGross"/>
            <w:bookmarkEnd w:id="1253"/>
          </w:p>
        </w:tc>
      </w:tr>
      <w:tr>
        <w:trPr/>
        <w:tc>
          <w:tcPr>
            <w:tcW w:w="3170"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54" w:name="xdx_401_ecustom--DeferredTaxAssetsStartU"/>
            <w:bookmarkEnd w:id="1254"/>
          </w:p>
        </w:tc>
      </w:tr>
      <w:tr>
        <w:trPr/>
        <w:tc>
          <w:tcPr>
            <w:tcW w:w="3170" w:type="dxa"/>
            <w:tcBorders/>
            <w:shd w:fill="FFFFFF" w:val="clear"/>
            <w:vAlign w:val="center"/>
          </w:tcPr>
          <w:p>
            <w:pPr>
              <w:pStyle w:val="TableContents"/>
              <w:bidi w:val="0"/>
              <w:spacing w:before="0" w:after="283"/>
              <w:jc w:val="left"/>
              <w:rPr/>
            </w:pPr>
            <w:r>
              <w:rPr/>
              <w:t>Start up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793</w:t>
            </w:r>
          </w:p>
        </w:tc>
        <w:tc>
          <w:tcPr>
            <w:tcW w:w="110" w:type="dxa"/>
            <w:tcBorders/>
            <w:shd w:fill="FFFFFF" w:val="clear"/>
            <w:vAlign w:val="center"/>
          </w:tcPr>
          <w:p>
            <w:pPr>
              <w:pStyle w:val="TableContents"/>
              <w:bidi w:val="0"/>
              <w:spacing w:before="0" w:after="283"/>
              <w:jc w:val="left"/>
              <w:rPr/>
            </w:pPr>
            <w:r>
              <w:rPr/>
              <w:t> </w:t>
            </w:r>
            <w:bookmarkStart w:id="1255" w:name="xdx_40A_ecustom--DeferredTaxAssetsLiabil"/>
            <w:bookmarkEnd w:id="1255"/>
          </w:p>
        </w:tc>
      </w:tr>
      <w:tr>
        <w:trPr/>
        <w:tc>
          <w:tcPr>
            <w:tcW w:w="3170" w:type="dxa"/>
            <w:tcBorders/>
            <w:shd w:fill="CCEEFF" w:val="clear"/>
            <w:vAlign w:val="center"/>
          </w:tcPr>
          <w:p>
            <w:pPr>
              <w:pStyle w:val="TableContents"/>
              <w:bidi w:val="0"/>
              <w:spacing w:before="0" w:after="283"/>
              <w:jc w:val="left"/>
              <w:rPr/>
            </w:pPr>
            <w:r>
              <w:rPr/>
              <w:t>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5,860</w:t>
            </w:r>
          </w:p>
        </w:tc>
        <w:tc>
          <w:tcPr>
            <w:tcW w:w="110" w:type="dxa"/>
            <w:tcBorders/>
            <w:shd w:fill="CCEEFF" w:val="clear"/>
            <w:vAlign w:val="center"/>
          </w:tcPr>
          <w:p>
            <w:pPr>
              <w:pStyle w:val="TableContents"/>
              <w:bidi w:val="0"/>
              <w:spacing w:before="0" w:after="283"/>
              <w:jc w:val="left"/>
              <w:rPr/>
            </w:pPr>
            <w:r>
              <w:rPr/>
              <w:t> </w:t>
            </w:r>
            <w:bookmarkStart w:id="1256" w:name="xdx_407_eus-gaap--DeferredTaxAssetsTaxDe"/>
            <w:bookmarkEnd w:id="1256"/>
          </w:p>
        </w:tc>
      </w:tr>
      <w:tr>
        <w:trPr/>
        <w:tc>
          <w:tcPr>
            <w:tcW w:w="3170"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115</w:t>
            </w:r>
          </w:p>
        </w:tc>
        <w:tc>
          <w:tcPr>
            <w:tcW w:w="110" w:type="dxa"/>
            <w:tcBorders/>
            <w:shd w:fill="FFFFFF" w:val="clear"/>
            <w:vAlign w:val="center"/>
          </w:tcPr>
          <w:p>
            <w:pPr>
              <w:pStyle w:val="TableContents"/>
              <w:bidi w:val="0"/>
              <w:spacing w:before="0" w:after="283"/>
              <w:jc w:val="left"/>
              <w:rPr/>
            </w:pPr>
            <w:r>
              <w:rPr/>
              <w:t> </w:t>
            </w:r>
            <w:bookmarkStart w:id="1257" w:name="xdx_40F_eus-gaap--DeferredTaxAssetsTaxDe"/>
            <w:bookmarkEnd w:id="1257"/>
          </w:p>
        </w:tc>
      </w:tr>
      <w:tr>
        <w:trPr/>
        <w:tc>
          <w:tcPr>
            <w:tcW w:w="3170"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1,291</w:t>
            </w:r>
          </w:p>
        </w:tc>
        <w:tc>
          <w:tcPr>
            <w:tcW w:w="110" w:type="dxa"/>
            <w:tcBorders/>
            <w:shd w:fill="CCEEFF" w:val="clear"/>
            <w:vAlign w:val="center"/>
          </w:tcPr>
          <w:p>
            <w:pPr>
              <w:pStyle w:val="TableContents"/>
              <w:bidi w:val="0"/>
              <w:spacing w:before="0" w:after="283"/>
              <w:jc w:val="left"/>
              <w:rPr/>
            </w:pPr>
            <w:r>
              <w:rPr/>
              <w:t> </w:t>
            </w:r>
            <w:bookmarkStart w:id="1258" w:name="xdx_40E_eus-gaap--DeferredTaxAssetsTaxDe"/>
            <w:bookmarkEnd w:id="1258"/>
          </w:p>
        </w:tc>
      </w:tr>
      <w:tr>
        <w:trPr/>
        <w:tc>
          <w:tcPr>
            <w:tcW w:w="3170" w:type="dxa"/>
            <w:tcBorders/>
            <w:shd w:fill="FFFFFF" w:val="clear"/>
            <w:vAlign w:val="center"/>
          </w:tcPr>
          <w:p>
            <w:pPr>
              <w:pStyle w:val="TableContents"/>
              <w:bidi w:val="0"/>
              <w:spacing w:before="0" w:after="283"/>
              <w:jc w:val="left"/>
              <w:rPr/>
            </w:pPr>
            <w:r>
              <w:rPr/>
              <w:t>Allowance for bad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w:t>
            </w:r>
          </w:p>
        </w:tc>
        <w:tc>
          <w:tcPr>
            <w:tcW w:w="110" w:type="dxa"/>
            <w:tcBorders/>
            <w:shd w:fill="FFFFFF" w:val="clear"/>
            <w:vAlign w:val="center"/>
          </w:tcPr>
          <w:p>
            <w:pPr>
              <w:pStyle w:val="TableContents"/>
              <w:bidi w:val="0"/>
              <w:spacing w:before="0" w:after="283"/>
              <w:jc w:val="left"/>
              <w:rPr/>
            </w:pPr>
            <w:r>
              <w:rPr/>
              <w:t> </w:t>
            </w:r>
            <w:bookmarkStart w:id="1259" w:name="xdx_408_eus-gaap--DeferredTaxAssetsInPro"/>
            <w:bookmarkEnd w:id="1259"/>
          </w:p>
        </w:tc>
      </w:tr>
      <w:tr>
        <w:trPr/>
        <w:tc>
          <w:tcPr>
            <w:tcW w:w="3170" w:type="dxa"/>
            <w:tcBorders/>
            <w:shd w:fill="CCEEFF" w:val="clear"/>
            <w:vAlign w:val="center"/>
          </w:tcPr>
          <w:p>
            <w:pPr>
              <w:pStyle w:val="TableContents"/>
              <w:bidi w:val="0"/>
              <w:spacing w:before="0" w:after="283"/>
              <w:jc w:val="left"/>
              <w:rPr/>
            </w:pPr>
            <w:r>
              <w:rPr/>
              <w:t>Research and development credit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875</w:t>
            </w:r>
          </w:p>
        </w:tc>
        <w:tc>
          <w:tcPr>
            <w:tcW w:w="110" w:type="dxa"/>
            <w:tcBorders/>
            <w:shd w:fill="CCEEFF" w:val="clear"/>
            <w:vAlign w:val="center"/>
          </w:tcPr>
          <w:p>
            <w:pPr>
              <w:pStyle w:val="TableContents"/>
              <w:bidi w:val="0"/>
              <w:spacing w:before="0" w:after="283"/>
              <w:jc w:val="left"/>
              <w:rPr/>
            </w:pPr>
            <w:r>
              <w:rPr/>
              <w:t> </w:t>
            </w:r>
            <w:bookmarkStart w:id="1260" w:name="xdx_406_eus-gaap--DeferredTaxAssetsGoodw"/>
            <w:bookmarkEnd w:id="1260"/>
          </w:p>
        </w:tc>
      </w:tr>
      <w:tr>
        <w:trPr/>
        <w:tc>
          <w:tcPr>
            <w:tcW w:w="3170" w:type="dxa"/>
            <w:tcBorders/>
            <w:shd w:fill="FFFFFF" w:val="clear"/>
            <w:vAlign w:val="center"/>
          </w:tcPr>
          <w:p>
            <w:pPr>
              <w:pStyle w:val="TableContents"/>
              <w:bidi w:val="0"/>
              <w:spacing w:before="0" w:after="283"/>
              <w:jc w:val="left"/>
              <w:rPr/>
            </w:pPr>
            <w:r>
              <w:rPr/>
              <w:t>Fixed assets and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2,896</w:t>
            </w:r>
          </w:p>
        </w:tc>
        <w:tc>
          <w:tcPr>
            <w:tcW w:w="110" w:type="dxa"/>
            <w:tcBorders/>
            <w:shd w:fill="FFFFFF" w:val="clear"/>
            <w:vAlign w:val="center"/>
          </w:tcPr>
          <w:p>
            <w:pPr>
              <w:pStyle w:val="TableContents"/>
              <w:bidi w:val="0"/>
              <w:spacing w:before="0" w:after="283"/>
              <w:jc w:val="left"/>
              <w:rPr/>
            </w:pPr>
            <w:r>
              <w:rPr/>
              <w:t> </w:t>
            </w:r>
            <w:bookmarkStart w:id="1261" w:name="xdx_40E_ecustom--DeferredTaxAssetsIntere"/>
            <w:bookmarkEnd w:id="1261"/>
          </w:p>
        </w:tc>
      </w:tr>
      <w:tr>
        <w:trPr/>
        <w:tc>
          <w:tcPr>
            <w:tcW w:w="317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10,977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8,211</w:t>
            </w:r>
          </w:p>
        </w:tc>
        <w:tc>
          <w:tcPr>
            <w:tcW w:w="110" w:type="dxa"/>
            <w:tcBorders/>
            <w:shd w:fill="CCEEFF" w:val="clear"/>
            <w:vAlign w:val="center"/>
          </w:tcPr>
          <w:p>
            <w:pPr>
              <w:pStyle w:val="TableContents"/>
              <w:bidi w:val="0"/>
              <w:spacing w:before="0" w:after="283"/>
              <w:jc w:val="left"/>
              <w:rPr/>
            </w:pPr>
            <w:r>
              <w:rPr/>
              <w:t> </w:t>
            </w:r>
            <w:bookmarkStart w:id="1262" w:name="xdx_402_ecustom--DeferredTaxAssetsPrepai"/>
            <w:bookmarkEnd w:id="1262"/>
          </w:p>
        </w:tc>
      </w:tr>
      <w:tr>
        <w:trPr/>
        <w:tc>
          <w:tcPr>
            <w:tcW w:w="3170"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320</w:t>
            </w:r>
          </w:p>
        </w:tc>
        <w:tc>
          <w:tcPr>
            <w:tcW w:w="110" w:type="dxa"/>
            <w:tcBorders/>
            <w:shd w:fill="FFFFFF" w:val="clear"/>
            <w:vAlign w:val="center"/>
          </w:tcPr>
          <w:p>
            <w:pPr>
              <w:pStyle w:val="TableContents"/>
              <w:bidi w:val="0"/>
              <w:spacing w:before="0" w:after="283"/>
              <w:jc w:val="left"/>
              <w:rPr/>
            </w:pPr>
            <w:r>
              <w:rPr/>
              <w:t> </w:t>
            </w:r>
            <w:bookmarkStart w:id="1263" w:name="xdx_407_eus-gaap--DeferredTaxAssetsTaxDe"/>
            <w:bookmarkEnd w:id="1263"/>
          </w:p>
        </w:tc>
      </w:tr>
      <w:tr>
        <w:trPr/>
        <w:tc>
          <w:tcPr>
            <w:tcW w:w="3170" w:type="dxa"/>
            <w:tcBorders/>
            <w:shd w:fill="CCEEFF" w:val="clear"/>
            <w:vAlign w:val="center"/>
          </w:tcPr>
          <w:p>
            <w:pPr>
              <w:pStyle w:val="TableContents"/>
              <w:bidi w:val="0"/>
              <w:spacing w:before="0" w:after="283"/>
              <w:jc w:val="left"/>
              <w:rPr/>
            </w:pPr>
            <w:r>
              <w:rPr/>
              <w:t>Settlement accrual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574</w:t>
            </w:r>
          </w:p>
        </w:tc>
        <w:tc>
          <w:tcPr>
            <w:tcW w:w="110" w:type="dxa"/>
            <w:tcBorders/>
            <w:shd w:fill="CCEEFF" w:val="clear"/>
            <w:vAlign w:val="center"/>
          </w:tcPr>
          <w:p>
            <w:pPr>
              <w:pStyle w:val="TableContents"/>
              <w:bidi w:val="0"/>
              <w:spacing w:before="0" w:after="283"/>
              <w:jc w:val="left"/>
              <w:rPr/>
            </w:pPr>
            <w:r>
              <w:rPr/>
              <w:t> </w:t>
            </w:r>
            <w:bookmarkStart w:id="1264" w:name="xdx_40D_eus-gaap--DeferredTaxAssetsTaxDe"/>
            <w:bookmarkEnd w:id="1264"/>
          </w:p>
        </w:tc>
      </w:tr>
      <w:tr>
        <w:trPr/>
        <w:tc>
          <w:tcPr>
            <w:tcW w:w="317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65" w:name="xdx_40B_eus-gaap--DeferredTaxAssetsOpera"/>
            <w:bookmarkEnd w:id="1265"/>
          </w:p>
        </w:tc>
      </w:tr>
      <w:tr>
        <w:trPr/>
        <w:tc>
          <w:tcPr>
            <w:tcW w:w="3170" w:type="dxa"/>
            <w:tcBorders/>
            <w:shd w:fill="CCEEFF" w:val="clear"/>
            <w:vAlign w:val="center"/>
          </w:tcPr>
          <w:p>
            <w:pPr>
              <w:pStyle w:val="TableContents"/>
              <w:bidi w:val="0"/>
              <w:spacing w:before="0" w:after="283"/>
              <w:jc w:val="left"/>
              <w:rPr/>
            </w:pPr>
            <w:r>
              <w:rPr/>
              <w:t>Net 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12,813</w:t>
            </w:r>
          </w:p>
        </w:tc>
        <w:tc>
          <w:tcPr>
            <w:tcW w:w="110" w:type="dxa"/>
            <w:tcBorders/>
            <w:shd w:fill="CCEEFF" w:val="clear"/>
            <w:vAlign w:val="center"/>
          </w:tcPr>
          <w:p>
            <w:pPr>
              <w:pStyle w:val="TableContents"/>
              <w:bidi w:val="0"/>
              <w:spacing w:before="0" w:after="283"/>
              <w:jc w:val="left"/>
              <w:rPr/>
            </w:pPr>
            <w:r>
              <w:rPr/>
              <w:t> </w:t>
            </w:r>
            <w:bookmarkStart w:id="1266" w:name="xdx_40F_eus-gaap--DeferredTaxAssetsInven"/>
            <w:bookmarkEnd w:id="1266"/>
          </w:p>
        </w:tc>
      </w:tr>
      <w:tr>
        <w:trPr/>
        <w:tc>
          <w:tcPr>
            <w:tcW w:w="3170" w:type="dxa"/>
            <w:tcBorders/>
            <w:shd w:fill="FFFFFF" w:val="clear"/>
            <w:vAlign w:val="center"/>
          </w:tcPr>
          <w:p>
            <w:pPr>
              <w:pStyle w:val="TableContents"/>
              <w:bidi w:val="0"/>
              <w:spacing w:before="0" w:after="283"/>
              <w:jc w:val="left"/>
              <w:rPr/>
            </w:pPr>
            <w:r>
              <w:rPr/>
              <w:t>Inventory (Sec. 263A)</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175</w:t>
            </w:r>
          </w:p>
        </w:tc>
        <w:tc>
          <w:tcPr>
            <w:tcW w:w="110" w:type="dxa"/>
            <w:tcBorders/>
            <w:shd w:fill="FFFFFF" w:val="clear"/>
            <w:vAlign w:val="center"/>
          </w:tcPr>
          <w:p>
            <w:pPr>
              <w:pStyle w:val="TableContents"/>
              <w:bidi w:val="0"/>
              <w:spacing w:before="0" w:after="283"/>
              <w:jc w:val="left"/>
              <w:rPr/>
            </w:pPr>
            <w:r>
              <w:rPr/>
              <w:t> </w:t>
            </w:r>
            <w:bookmarkStart w:id="1267" w:name="xdx_40E_eus-gaap--DeferredTaxAssetsGross"/>
            <w:bookmarkEnd w:id="1267"/>
          </w:p>
        </w:tc>
      </w:tr>
      <w:tr>
        <w:trPr/>
        <w:tc>
          <w:tcPr>
            <w:tcW w:w="3170" w:type="dxa"/>
            <w:tcBorders/>
            <w:shd w:fill="CCEEFF" w:val="clear"/>
            <w:vAlign w:val="center"/>
          </w:tcPr>
          <w:p>
            <w:pPr>
              <w:pStyle w:val="TableContents"/>
              <w:bidi w:val="0"/>
              <w:spacing w:before="0" w:after="283"/>
              <w:jc w:val="left"/>
              <w:rPr/>
            </w:pPr>
            <w:r>
              <w:rPr/>
              <w:t>Deferred tax asset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41,254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33,982</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68" w:name="xdx_40A_ecustom--DeferredTaxLiabilitiesR"/>
            <w:bookmarkEnd w:id="1268"/>
          </w:p>
        </w:tc>
      </w:tr>
      <w:tr>
        <w:trPr/>
        <w:tc>
          <w:tcPr>
            <w:tcW w:w="3170" w:type="dxa"/>
            <w:tcBorders/>
            <w:shd w:fill="FFFFFF" w:val="clear"/>
            <w:vAlign w:val="center"/>
          </w:tcPr>
          <w:p>
            <w:pPr>
              <w:pStyle w:val="TableContents"/>
              <w:bidi w:val="0"/>
              <w:spacing w:before="0" w:after="283"/>
              <w:jc w:val="left"/>
              <w:rPr/>
            </w:pPr>
            <w:r>
              <w:rPr/>
              <w:t>Right of Use Asset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4,533</w:t>
            </w:r>
          </w:p>
        </w:tc>
        <w:tc>
          <w:tcPr>
            <w:tcW w:w="110" w:type="dxa"/>
            <w:tcBorders/>
            <w:shd w:fill="FFFFFF" w:val="clear"/>
            <w:vAlign w:val="center"/>
          </w:tcPr>
          <w:p>
            <w:pPr>
              <w:pStyle w:val="TableContents"/>
              <w:bidi w:val="0"/>
              <w:spacing w:before="0" w:after="283"/>
              <w:jc w:val="left"/>
              <w:rPr/>
            </w:pPr>
            <w:r>
              <w:rPr/>
              <w:t> </w:t>
            </w:r>
            <w:bookmarkStart w:id="1269" w:name="xdx_403_eus-gaap--DeferredTaxLiabilities"/>
            <w:bookmarkEnd w:id="1269"/>
          </w:p>
        </w:tc>
      </w:tr>
      <w:tr>
        <w:trPr/>
        <w:tc>
          <w:tcPr>
            <w:tcW w:w="3170" w:type="dxa"/>
            <w:tcBorders/>
            <w:shd w:fill="CCEEFF" w:val="clear"/>
            <w:vAlign w:val="center"/>
          </w:tcPr>
          <w:p>
            <w:pPr>
              <w:pStyle w:val="TableContents"/>
              <w:bidi w:val="0"/>
              <w:spacing w:before="0" w:after="283"/>
              <w:jc w:val="left"/>
              <w:rPr/>
            </w:pPr>
            <w:r>
              <w:rPr/>
              <w:t>Fixed assets and intangibles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70" w:name="xdx_403_eus-gaap--DeferredIncomeTaxLiabi"/>
            <w:bookmarkEnd w:id="1270"/>
          </w:p>
        </w:tc>
      </w:tr>
      <w:tr>
        <w:trPr/>
        <w:tc>
          <w:tcPr>
            <w:tcW w:w="3170"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4,533</w:t>
            </w:r>
          </w:p>
        </w:tc>
        <w:tc>
          <w:tcPr>
            <w:tcW w:w="110" w:type="dxa"/>
            <w:tcBorders/>
            <w:shd w:fill="FFFFFF" w:val="clear"/>
            <w:vAlign w:val="center"/>
          </w:tcPr>
          <w:p>
            <w:pPr>
              <w:pStyle w:val="TableContents"/>
              <w:bidi w:val="0"/>
              <w:spacing w:before="0" w:after="283"/>
              <w:jc w:val="left"/>
              <w:rPr/>
            </w:pPr>
            <w:r>
              <w:rPr/>
              <w:t> </w:t>
            </w:r>
            <w:bookmarkStart w:id="1271" w:name="xdx_401_ecustom--DeferredTaxAssets_iI_pn"/>
            <w:bookmarkEnd w:id="1271"/>
          </w:p>
        </w:tc>
      </w:tr>
      <w:tr>
        <w:trPr/>
        <w:tc>
          <w:tcPr>
            <w:tcW w:w="3170" w:type="dxa"/>
            <w:tcBorders/>
            <w:shd w:fill="CCEEFF" w:val="clear"/>
            <w:vAlign w:val="center"/>
          </w:tcPr>
          <w:p>
            <w:pPr>
              <w:pStyle w:val="TableContents"/>
              <w:bidi w:val="0"/>
              <w:spacing w:before="0" w:after="283"/>
              <w:jc w:val="left"/>
              <w:rPr/>
            </w:pPr>
            <w:r>
              <w:rPr/>
              <w:t>Net deferred tax asset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37,753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29,449</w:t>
            </w:r>
          </w:p>
        </w:tc>
        <w:tc>
          <w:tcPr>
            <w:tcW w:w="110" w:type="dxa"/>
            <w:tcBorders/>
            <w:shd w:fill="CCEEFF" w:val="clear"/>
            <w:vAlign w:val="center"/>
          </w:tcPr>
          <w:p>
            <w:pPr>
              <w:pStyle w:val="TableContents"/>
              <w:bidi w:val="0"/>
              <w:spacing w:before="0" w:after="283"/>
              <w:jc w:val="left"/>
              <w:rPr/>
            </w:pPr>
            <w:r>
              <w:rPr/>
              <w:t> </w:t>
            </w:r>
            <w:bookmarkStart w:id="1272" w:name="xdx_404_eus-gaap--DeferredTaxAssetsValua"/>
            <w:bookmarkEnd w:id="1272"/>
          </w:p>
        </w:tc>
      </w:tr>
      <w:tr>
        <w:trPr/>
        <w:tc>
          <w:tcPr>
            <w:tcW w:w="3170"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(37,753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(29,449</w:t>
            </w:r>
          </w:p>
        </w:tc>
        <w:tc>
          <w:tcPr>
            <w:tcW w:w="110" w:type="dxa"/>
            <w:tcBorders/>
            <w:shd w:fill="FFFFFF" w:val="clear"/>
            <w:vAlign w:val="center"/>
          </w:tcPr>
          <w:p>
            <w:pPr>
              <w:pStyle w:val="TableContents"/>
              <w:bidi w:val="0"/>
              <w:spacing w:before="0" w:after="283"/>
              <w:jc w:val="left"/>
              <w:rPr/>
            </w:pPr>
            <w:r>
              <w:rPr/>
              <w:t>)</w:t>
            </w:r>
            <w:bookmarkStart w:id="1273" w:name="xdx_40D_eus-gaap--DeferredTaxAssetsLiabi"/>
            <w:bookmarkEnd w:id="1273"/>
          </w:p>
        </w:tc>
      </w:tr>
      <w:tr>
        <w:trPr/>
        <w:tc>
          <w:tcPr>
            <w:tcW w:w="3170" w:type="dxa"/>
            <w:tcBorders/>
            <w:shd w:fill="CCEEFF" w:val="clear"/>
            <w:vAlign w:val="center"/>
          </w:tcPr>
          <w:p>
            <w:pPr>
              <w:pStyle w:val="TableContents"/>
              <w:bidi w:val="0"/>
              <w:spacing w:before="0" w:after="283"/>
              <w:jc w:val="left"/>
              <w:rPr/>
            </w:pPr>
            <w:r>
              <w:rPr/>
              <w:t>Net deferred tax asset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bookmarkStart w:id="1274" w:name="xdx_8A0_zKUGpDDUTpJ4"/>
      <w:bookmarkEnd w:id="1274"/>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13 - Income Taxes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75" w:name="xdx_897_eus-gaap--ScheduleOfEffectiveInc"/>
      <w:bookmarkEnd w:id="1275"/>
      <w:r>
        <w:rPr>
          <w:rFonts w:ascii="Times New Roman;Times;Serif" w:hAnsi="Times New Roman;Times;Serif"/>
          <w:b w:val="false"/>
          <w:i w:val="false"/>
          <w:caps w:val="false"/>
          <w:smallCaps w:val="false"/>
          <w:sz w:val="20"/>
        </w:rPr>
        <w:t>Reconciliation between the effective tax rate on income from continuing operations and the statutory rate for the year ending December 31, 2025 and 2024,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76" w:name="xdx_8B0_z6H2GdCcw2E9"/>
      <w:bookmarkEnd w:id="1276"/>
      <w:r>
        <w:rPr>
          <w:rFonts w:ascii="Times New Roman;Times;Serif" w:hAnsi="Times New Roman;Times;Serif"/>
          <w:b w:val="false"/>
          <w:i w:val="false"/>
          <w:caps w:val="false"/>
          <w:smallCaps w:val="false"/>
          <w:sz w:val="20"/>
        </w:rPr>
        <w:t>SCHEDULE OF RECONCILIATION BETWEEN THE EFFECTIVE TAX RATE ON INCOME FROM CONTINUING OPERATIONS AND THE STATUTORY RATE </w:t>
      </w:r>
    </w:p>
    <w:tbl>
      <w:tblPr>
        <w:tblW w:w="6105" w:type="dxa"/>
        <w:jc w:val="left"/>
        <w:tblInd w:w="0" w:type="dxa"/>
        <w:tblLayout w:type="fixed"/>
        <w:tblCellMar>
          <w:top w:w="0" w:type="dxa"/>
          <w:left w:w="0" w:type="dxa"/>
          <w:bottom w:w="0" w:type="dxa"/>
          <w:right w:w="0" w:type="dxa"/>
        </w:tblCellMar>
      </w:tblPr>
      <w:tblGrid>
        <w:gridCol w:w="3635"/>
        <w:gridCol w:w="60"/>
        <w:gridCol w:w="140"/>
        <w:gridCol w:w="755"/>
        <w:gridCol w:w="95"/>
        <w:gridCol w:w="60"/>
        <w:gridCol w:w="91"/>
        <w:gridCol w:w="964"/>
        <w:gridCol w:w="30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gridSpan w:val="6"/>
            <w:tcBorders>
              <w:bottom w:val="single" w:sz="8" w:space="0" w:color="000000"/>
            </w:tcBorders>
            <w:tcMar>
              <w:bottom w:w="28" w:type="dxa"/>
            </w:tcMar>
            <w:vAlign w:val="center"/>
          </w:tcPr>
          <w:p>
            <w:pPr>
              <w:pStyle w:val="TableContents"/>
              <w:bidi w:val="0"/>
              <w:spacing w:before="0" w:after="283"/>
              <w:jc w:val="center"/>
              <w:rPr/>
            </w:pPr>
            <w:r>
              <w:rPr/>
              <w:t>2025</w:t>
            </w:r>
          </w:p>
        </w:tc>
        <w:tc>
          <w:tcPr>
            <w:tcW w:w="30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Tax</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pPr>
            <w:r>
              <w:rPr/>
              <w:t>Percentage</w:t>
            </w:r>
          </w:p>
        </w:tc>
        <w:tc>
          <w:tcPr>
            <w:tcW w:w="305" w:type="dxa"/>
            <w:tcBorders/>
            <w:vAlign w:val="center"/>
          </w:tcPr>
          <w:p>
            <w:pPr>
              <w:pStyle w:val="TableContents"/>
              <w:bidi w:val="0"/>
              <w:spacing w:before="0" w:after="283"/>
              <w:jc w:val="center"/>
              <w:rPr/>
            </w:pPr>
            <w:r>
              <w:rPr/>
              <w:t> </w:t>
            </w:r>
          </w:p>
        </w:tc>
      </w:tr>
      <w:tr>
        <w:trPr/>
        <w:tc>
          <w:tcPr>
            <w:tcW w:w="3635" w:type="dxa"/>
            <w:tcBorders/>
            <w:shd w:fill="CCEEFF" w:val="clear"/>
            <w:vAlign w:val="center"/>
          </w:tcPr>
          <w:p>
            <w:pPr>
              <w:pStyle w:val="TableContents"/>
              <w:bidi w:val="0"/>
              <w:spacing w:before="0" w:after="283"/>
              <w:jc w:val="left"/>
              <w:rPr/>
            </w:pPr>
            <w:r>
              <w:rPr/>
              <w:t>Book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277" w:name="xdx_980_eus-gaap--IncomeTaxReconciliatio"/>
            <w:bookmarkEnd w:id="1277"/>
          </w:p>
        </w:tc>
        <w:tc>
          <w:tcPr>
            <w:tcW w:w="755" w:type="dxa"/>
            <w:tcBorders/>
            <w:shd w:fill="CCEEFF" w:val="clear"/>
            <w:vAlign w:val="center"/>
          </w:tcPr>
          <w:p>
            <w:pPr>
              <w:pStyle w:val="TableContents"/>
              <w:bidi w:val="0"/>
              <w:spacing w:before="0" w:after="283"/>
              <w:jc w:val="right"/>
              <w:rPr/>
            </w:pPr>
            <w:r>
              <w:rPr/>
              <w:t>(14,707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1278" w:name="xdx_988_eus-gaap--EffectiveIncomeTaxRate"/>
            <w:bookmarkEnd w:id="1278"/>
          </w:p>
        </w:tc>
        <w:tc>
          <w:tcPr>
            <w:tcW w:w="964" w:type="dxa"/>
            <w:tcBorders/>
            <w:shd w:fill="CCEEFF" w:val="clear"/>
            <w:vAlign w:val="center"/>
          </w:tcPr>
          <w:p>
            <w:pPr>
              <w:pStyle w:val="TableContents"/>
              <w:bidi w:val="0"/>
              <w:spacing w:before="0" w:after="283"/>
              <w:jc w:val="right"/>
              <w:rPr/>
            </w:pPr>
            <w:r>
              <w:rPr/>
              <w:t>21.00</w:t>
            </w:r>
          </w:p>
        </w:tc>
        <w:tc>
          <w:tcPr>
            <w:tcW w:w="305"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Permanent differences (other than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279" w:name="xdx_98F_ecustom--IncomeTaxReconciliation"/>
            <w:bookmarkEnd w:id="1279"/>
          </w:p>
        </w:tc>
        <w:tc>
          <w:tcPr>
            <w:tcW w:w="755" w:type="dxa"/>
            <w:tcBorders/>
            <w:shd w:fill="CCEEFF" w:val="clear"/>
            <w:vAlign w:val="center"/>
          </w:tcPr>
          <w:p>
            <w:pPr>
              <w:pStyle w:val="TableContents"/>
              <w:bidi w:val="0"/>
              <w:spacing w:before="0" w:after="283"/>
              <w:jc w:val="right"/>
              <w:rPr/>
            </w:pPr>
            <w:r>
              <w:rPr/>
              <w:t>6,687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1280" w:name="xdx_98D_ecustom--EffectiveIncomeTaxRateR"/>
            <w:bookmarkEnd w:id="1280"/>
          </w:p>
        </w:tc>
        <w:tc>
          <w:tcPr>
            <w:tcW w:w="964" w:type="dxa"/>
            <w:tcBorders/>
            <w:shd w:fill="CCEEFF" w:val="clear"/>
            <w:vAlign w:val="center"/>
          </w:tcPr>
          <w:p>
            <w:pPr>
              <w:pStyle w:val="TableContents"/>
              <w:bidi w:val="0"/>
              <w:spacing w:before="0" w:after="283"/>
              <w:jc w:val="right"/>
              <w:rPr/>
            </w:pPr>
            <w:r>
              <w:rPr/>
              <w:t>(9.55</w:t>
            </w:r>
          </w:p>
        </w:tc>
        <w:tc>
          <w:tcPr>
            <w:tcW w:w="305"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Term loan principal forgiven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281" w:name="xdx_989_ecustom--IncomeTaxReconciliation"/>
            <w:bookmarkEnd w:id="1281"/>
          </w:p>
        </w:tc>
        <w:tc>
          <w:tcPr>
            <w:tcW w:w="755" w:type="dxa"/>
            <w:tcBorders/>
            <w:shd w:fill="FFFFFF" w:val="clear"/>
            <w:vAlign w:val="center"/>
          </w:tcPr>
          <w:p>
            <w:pPr>
              <w:pStyle w:val="TableContents"/>
              <w:bidi w:val="0"/>
              <w:spacing w:before="0" w:after="283"/>
              <w:jc w:val="right"/>
              <w:rPr/>
            </w:pPr>
            <w:r>
              <w:rPr/>
              <w:t>1,050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1282" w:name="xdx_989_ecustom--EffectiveIncomeTaxRateR"/>
            <w:bookmarkEnd w:id="1282"/>
          </w:p>
        </w:tc>
        <w:tc>
          <w:tcPr>
            <w:tcW w:w="964" w:type="dxa"/>
            <w:tcBorders/>
            <w:shd w:fill="FFFFFF" w:val="clear"/>
            <w:vAlign w:val="center"/>
          </w:tcPr>
          <w:p>
            <w:pPr>
              <w:pStyle w:val="TableContents"/>
              <w:bidi w:val="0"/>
              <w:spacing w:before="0" w:after="283"/>
              <w:jc w:val="right"/>
              <w:rPr/>
            </w:pPr>
            <w:r>
              <w:rPr/>
              <w:t>(1.50</w:t>
            </w:r>
          </w:p>
        </w:tc>
        <w:tc>
          <w:tcPr>
            <w:tcW w:w="305" w:type="dxa"/>
            <w:tcBorders/>
            <w:shd w:fill="FFFFFF" w:val="clear"/>
            <w:vAlign w:val="center"/>
          </w:tcPr>
          <w:p>
            <w:pPr>
              <w:pStyle w:val="TableContents"/>
              <w:bidi w:val="0"/>
              <w:spacing w:before="0" w:after="283"/>
              <w:jc w:val="left"/>
              <w:rPr/>
            </w:pPr>
            <w:r>
              <w:rPr/>
              <w:t>)%</w:t>
            </w:r>
          </w:p>
        </w:tc>
      </w:tr>
      <w:tr>
        <w:trPr/>
        <w:tc>
          <w:tcPr>
            <w:tcW w:w="3635"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283" w:name="xdx_988_ecustom--IncomeTaxReconciliation"/>
            <w:bookmarkEnd w:id="1283"/>
          </w:p>
        </w:tc>
        <w:tc>
          <w:tcPr>
            <w:tcW w:w="755" w:type="dxa"/>
            <w:tcBorders/>
            <w:shd w:fill="CCEEFF" w:val="clear"/>
            <w:vAlign w:val="center"/>
          </w:tcPr>
          <w:p>
            <w:pPr>
              <w:pStyle w:val="TableContents"/>
              <w:bidi w:val="0"/>
              <w:spacing w:before="0" w:after="283"/>
              <w:jc w:val="right"/>
              <w:rPr/>
            </w:pPr>
            <w:r>
              <w:rPr/>
              <w:t>(1,075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1284" w:name="xdx_985_ecustom--EffectiveIncomeTaxRateR"/>
            <w:bookmarkEnd w:id="1284"/>
          </w:p>
        </w:tc>
        <w:tc>
          <w:tcPr>
            <w:tcW w:w="964" w:type="dxa"/>
            <w:tcBorders/>
            <w:shd w:fill="CCEEFF" w:val="clear"/>
            <w:vAlign w:val="center"/>
          </w:tcPr>
          <w:p>
            <w:pPr>
              <w:pStyle w:val="TableContents"/>
              <w:bidi w:val="0"/>
              <w:spacing w:before="0" w:after="283"/>
              <w:jc w:val="right"/>
              <w:rPr/>
            </w:pPr>
            <w:r>
              <w:rPr/>
              <w:t>1.53</w:t>
            </w:r>
          </w:p>
        </w:tc>
        <w:tc>
          <w:tcPr>
            <w:tcW w:w="305"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285" w:name="xdx_987_eus-gaap--EffectiveIncomeTaxRate"/>
            <w:bookmarkEnd w:id="1285"/>
          </w:p>
        </w:tc>
        <w:tc>
          <w:tcPr>
            <w:tcW w:w="755" w:type="dxa"/>
            <w:tcBorders/>
            <w:shd w:fill="FFFFFF" w:val="clear"/>
            <w:vAlign w:val="center"/>
          </w:tcPr>
          <w:p>
            <w:pPr>
              <w:pStyle w:val="TableContents"/>
              <w:bidi w:val="0"/>
              <w:spacing w:before="0" w:after="283"/>
              <w:jc w:val="right"/>
              <w:rPr/>
            </w:pPr>
            <w:r>
              <w:rPr/>
              <w:t>201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1286" w:name="xdx_98C_eus-gaap--EffectiveIncomeTaxRate"/>
            <w:bookmarkEnd w:id="1286"/>
          </w:p>
        </w:tc>
        <w:tc>
          <w:tcPr>
            <w:tcW w:w="964" w:type="dxa"/>
            <w:tcBorders/>
            <w:shd w:fill="FFFFFF" w:val="clear"/>
            <w:vAlign w:val="center"/>
          </w:tcPr>
          <w:p>
            <w:pPr>
              <w:pStyle w:val="TableContents"/>
              <w:bidi w:val="0"/>
              <w:spacing w:before="0" w:after="283"/>
              <w:jc w:val="right"/>
              <w:rPr/>
            </w:pPr>
            <w:r>
              <w:rPr/>
              <w:t>(0.29</w:t>
            </w:r>
          </w:p>
        </w:tc>
        <w:tc>
          <w:tcPr>
            <w:tcW w:w="305" w:type="dxa"/>
            <w:tcBorders/>
            <w:shd w:fill="FFFFFF" w:val="clear"/>
            <w:vAlign w:val="center"/>
          </w:tcPr>
          <w:p>
            <w:pPr>
              <w:pStyle w:val="TableContents"/>
              <w:bidi w:val="0"/>
              <w:spacing w:before="0" w:after="283"/>
              <w:jc w:val="left"/>
              <w:rPr/>
            </w:pPr>
            <w:r>
              <w:rPr/>
              <w:t>)%</w:t>
            </w:r>
          </w:p>
        </w:tc>
      </w:tr>
      <w:tr>
        <w:trPr/>
        <w:tc>
          <w:tcPr>
            <w:tcW w:w="3635" w:type="dxa"/>
            <w:tcBorders/>
            <w:shd w:fill="CCEEFF" w:val="clear"/>
            <w:vAlign w:val="center"/>
          </w:tcPr>
          <w:p>
            <w:pPr>
              <w:pStyle w:val="TableContents"/>
              <w:bidi w:val="0"/>
              <w:spacing w:before="0" w:after="283"/>
              <w:jc w:val="left"/>
              <w:rPr/>
            </w:pPr>
            <w:r>
              <w:rPr/>
              <w:t>Nontaxable and nondeductible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287" w:name="xdx_98C_eus-gaap--IncomeTaxReconciliatio"/>
            <w:bookmarkEnd w:id="1287"/>
          </w:p>
        </w:tc>
        <w:tc>
          <w:tcPr>
            <w:tcW w:w="755" w:type="dxa"/>
            <w:tcBorders/>
            <w:shd w:fill="CCEEFF" w:val="cle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1288" w:name="xdx_986_eus-gaap--EffectiveIncomeTaxRate"/>
            <w:bookmarkEnd w:id="1288"/>
          </w:p>
        </w:tc>
        <w:tc>
          <w:tcPr>
            <w:tcW w:w="964" w:type="dxa"/>
            <w:tcBorders/>
            <w:shd w:fill="CCEEFF" w:val="clear"/>
            <w:vAlign w:val="center"/>
          </w:tcPr>
          <w:p>
            <w:pPr>
              <w:pStyle w:val="TableContents"/>
              <w:bidi w:val="0"/>
              <w:spacing w:before="0" w:after="283"/>
              <w:jc w:val="right"/>
              <w:rPr/>
            </w:pPr>
            <w:r>
              <w:rPr/>
              <w:t>(0.04</w:t>
            </w:r>
          </w:p>
        </w:tc>
        <w:tc>
          <w:tcPr>
            <w:tcW w:w="305"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State taxes, net</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289" w:name="xdx_986_eus-gaap--IncomeTaxReconciliatio"/>
            <w:bookmarkEnd w:id="1289"/>
          </w:p>
        </w:tc>
        <w:tc>
          <w:tcPr>
            <w:tcW w:w="755"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1290" w:name="xdx_98B_eus-gaap--EffectiveIncomeTaxRate"/>
            <w:bookmarkEnd w:id="1290"/>
          </w:p>
        </w:tc>
        <w:tc>
          <w:tcPr>
            <w:tcW w:w="964" w:type="dxa"/>
            <w:tcBorders/>
            <w:shd w:fill="FFFFFF" w:val="clear"/>
            <w:vAlign w:val="center"/>
          </w:tcPr>
          <w:p>
            <w:pPr>
              <w:pStyle w:val="TableContents"/>
              <w:bidi w:val="0"/>
              <w:spacing w:before="0" w:after="283"/>
              <w:jc w:val="right"/>
              <w:rPr/>
            </w:pPr>
            <w:r>
              <w:rPr/>
              <w:t>(0.01</w:t>
            </w:r>
          </w:p>
        </w:tc>
        <w:tc>
          <w:tcPr>
            <w:tcW w:w="305" w:type="dxa"/>
            <w:tcBorders/>
            <w:shd w:fill="FFFFFF" w:val="clear"/>
            <w:vAlign w:val="center"/>
          </w:tcPr>
          <w:p>
            <w:pPr>
              <w:pStyle w:val="TableContents"/>
              <w:bidi w:val="0"/>
              <w:spacing w:before="0" w:after="283"/>
              <w:jc w:val="left"/>
              <w:rPr/>
            </w:pPr>
            <w:r>
              <w:rPr/>
              <w:t>)%</w:t>
            </w:r>
          </w:p>
        </w:tc>
      </w:tr>
      <w:tr>
        <w:trPr/>
        <w:tc>
          <w:tcPr>
            <w:tcW w:w="3635" w:type="dxa"/>
            <w:tcBorders/>
            <w:shd w:fill="CCEEFF" w:val="clear"/>
            <w:vAlign w:val="center"/>
          </w:tcPr>
          <w:p>
            <w:pPr>
              <w:pStyle w:val="TableContents"/>
              <w:bidi w:val="0"/>
              <w:spacing w:before="0" w:after="283"/>
              <w:jc w:val="left"/>
              <w:rPr/>
            </w:pPr>
            <w:r>
              <w:rPr/>
              <w:t>Research and development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291" w:name="xdx_98C_ecustom--EffectiveIncomeTaxRateR"/>
            <w:bookmarkEnd w:id="1291"/>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1292" w:name="xdx_98F_ecustom--EffectiveIncomeTaxRateR"/>
            <w:bookmarkEnd w:id="1292"/>
          </w:p>
        </w:tc>
        <w:tc>
          <w:tcPr>
            <w:tcW w:w="964"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Uncertain tax positions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293" w:name="xdx_980_ecustom--EffectiveIncomeTaxRateR"/>
            <w:bookmarkEnd w:id="1293"/>
          </w:p>
        </w:tc>
        <w:tc>
          <w:tcPr>
            <w:tcW w:w="755" w:type="dxa"/>
            <w:tcBorders/>
            <w:shd w:fill="FFFFFF" w:val="clear"/>
            <w:vAlign w:val="center"/>
          </w:tcPr>
          <w:p>
            <w:pPr>
              <w:pStyle w:val="TableContents"/>
              <w:bidi w:val="0"/>
              <w:spacing w:before="0" w:after="283"/>
              <w:jc w:val="right"/>
              <w:rPr/>
            </w:pPr>
            <w:r>
              <w:rPr/>
              <w:t>(55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1294" w:name="xdx_987_ecustom--EffectiveIncomeTaxRateR"/>
            <w:bookmarkEnd w:id="1294"/>
          </w:p>
        </w:tc>
        <w:tc>
          <w:tcPr>
            <w:tcW w:w="964" w:type="dxa"/>
            <w:tcBorders/>
            <w:shd w:fill="FFFFFF" w:val="clear"/>
            <w:vAlign w:val="center"/>
          </w:tcPr>
          <w:p>
            <w:pPr>
              <w:pStyle w:val="TableContents"/>
              <w:bidi w:val="0"/>
              <w:spacing w:before="0" w:after="283"/>
              <w:jc w:val="right"/>
              <w:rPr/>
            </w:pPr>
            <w:r>
              <w:rPr/>
              <w:t>0.08</w:t>
            </w:r>
          </w:p>
        </w:tc>
        <w:tc>
          <w:tcPr>
            <w:tcW w:w="305" w:type="dxa"/>
            <w:tcBorders/>
            <w:shd w:fill="FFFFFF" w:val="clear"/>
            <w:vAlign w:val="center"/>
          </w:tcPr>
          <w:p>
            <w:pPr>
              <w:pStyle w:val="TableContents"/>
              <w:bidi w:val="0"/>
              <w:spacing w:before="0" w:after="283"/>
              <w:jc w:val="left"/>
              <w:rPr/>
            </w:pPr>
            <w:r>
              <w:rPr/>
              <w:t>%</w:t>
            </w:r>
          </w:p>
        </w:tc>
      </w:tr>
      <w:tr>
        <w:trPr/>
        <w:tc>
          <w:tcPr>
            <w:tcW w:w="363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295" w:name="xdx_982_eus-gaap--IncomeTaxReconciliatio"/>
            <w:bookmarkEnd w:id="1295"/>
          </w:p>
        </w:tc>
        <w:tc>
          <w:tcPr>
            <w:tcW w:w="755"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1296" w:name="xdx_98B_eus-gaap--EffectiveIncomeTaxRate"/>
            <w:bookmarkEnd w:id="1296"/>
          </w:p>
        </w:tc>
        <w:tc>
          <w:tcPr>
            <w:tcW w:w="964" w:type="dxa"/>
            <w:tcBorders/>
            <w:shd w:fill="CCEEFF" w:val="clear"/>
            <w:vAlign w:val="center"/>
          </w:tcPr>
          <w:p>
            <w:pPr>
              <w:pStyle w:val="TableContents"/>
              <w:bidi w:val="0"/>
              <w:spacing w:before="0" w:after="283"/>
              <w:jc w:val="right"/>
              <w:rPr/>
            </w:pPr>
            <w:r>
              <w:rPr/>
              <w:t>0.00</w:t>
            </w:r>
          </w:p>
        </w:tc>
        <w:tc>
          <w:tcPr>
            <w:tcW w:w="305"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true-up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97" w:name="xdx_98B_ecustom--EffectiveIncomeTaxRateR"/>
            <w:bookmarkEnd w:id="1297"/>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98" w:name="xdx_984_ecustom--EffectiveIncomeTaxRateR"/>
            <w:bookmarkEnd w:id="1298"/>
          </w:p>
        </w:tc>
        <w:tc>
          <w:tcPr>
            <w:tcW w:w="9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99" w:name="xdx_981_eus-gaap--IncomeTaxReconciliatio"/>
            <w:bookmarkEnd w:id="1299"/>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00" w:name="xdx_98E_eus-gaap--EffectiveIncomeTaxRate"/>
            <w:bookmarkEnd w:id="1300"/>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pPr>
            <w:r>
              <w:rPr/>
              <w:t>(11.04</w:t>
            </w:r>
          </w:p>
        </w:tc>
        <w:tc>
          <w:tcPr>
            <w:tcW w:w="305"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301" w:name="xdx_982_eus-gaap--IncomeTaxExpenseBenefi"/>
            <w:bookmarkEnd w:id="1301"/>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Effective tax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02" w:name="xdx_985_eus-gaap--EffectiveIncomeTaxRate"/>
            <w:bookmarkEnd w:id="1302"/>
          </w:p>
        </w:tc>
        <w:tc>
          <w:tcPr>
            <w:tcW w:w="964" w:type="dxa"/>
            <w:tcBorders>
              <w:bottom w:val="double" w:sz="6" w:space="0" w:color="000000"/>
            </w:tcBorders>
            <w:shd w:fill="CCEEFF" w:val="clear"/>
            <w:tcMar>
              <w:bottom w:w="28" w:type="dxa"/>
            </w:tcMar>
            <w:vAlign w:val="center"/>
          </w:tcPr>
          <w:p>
            <w:pPr>
              <w:pStyle w:val="TableContents"/>
              <w:bidi w:val="0"/>
              <w:spacing w:before="0" w:after="283"/>
              <w:jc w:val="right"/>
              <w:rPr/>
            </w:pPr>
            <w:r>
              <w:rPr/>
              <w:t>0.13</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260"/>
        <w:gridCol w:w="5750"/>
      </w:tblGrid>
      <w:tr>
        <w:trPr/>
        <w:tc>
          <w:tcPr>
            <w:tcW w:w="260" w:type="dxa"/>
            <w:tcBorders/>
            <w:vAlign w:val="center"/>
          </w:tcPr>
          <w:p>
            <w:pPr>
              <w:pStyle w:val="TableContents"/>
              <w:bidi w:val="0"/>
              <w:spacing w:before="0" w:after="283"/>
              <w:jc w:val="left"/>
              <w:rPr>
                <w:sz w:val="20"/>
              </w:rPr>
            </w:pPr>
            <w:bookmarkStart w:id="1303" w:name="xdx_F02_zthSFs7N8lGi"/>
            <w:bookmarkEnd w:id="1303"/>
            <w:r>
              <w:rPr>
                <w:sz w:val="20"/>
              </w:rPr>
              <w:t>(1)</w:t>
            </w:r>
          </w:p>
        </w:tc>
        <w:tc>
          <w:tcPr>
            <w:tcW w:w="5750" w:type="dxa"/>
            <w:tcBorders/>
            <w:vAlign w:val="center"/>
          </w:tcPr>
          <w:p>
            <w:pPr>
              <w:pStyle w:val="TableContents"/>
              <w:bidi w:val="0"/>
              <w:spacing w:before="0" w:after="283"/>
              <w:jc w:val="both"/>
              <w:rPr>
                <w:sz w:val="20"/>
              </w:rPr>
            </w:pPr>
            <w:bookmarkStart w:id="1304" w:name="xdx_F1A_zetq9jDBAz6d"/>
            <w:bookmarkEnd w:id="1304"/>
            <w:r>
              <w:rPr>
                <w:sz w:val="20"/>
              </w:rPr>
              <w:t>State of Texas makes up the majority of the tax effects in this category.</w:t>
            </w:r>
          </w:p>
        </w:tc>
      </w:tr>
    </w:tbl>
    <w:p>
      <w:pPr>
        <w:pStyle w:val="TextBody"/>
        <w:bidi w:val="0"/>
        <w:ind w:left="0" w:right="0" w:hanging="0"/>
        <w:jc w:val="center"/>
        <w:rPr>
          <w:caps w:val="false"/>
          <w:smallCaps w:val="false"/>
        </w:rPr>
      </w:pPr>
      <w:r>
        <w:rPr>
          <w:caps w:val="false"/>
          <w:smallCaps w:val="false"/>
        </w:rPr>
        <w:t> </w:t>
      </w:r>
    </w:p>
    <w:tbl>
      <w:tblPr>
        <w:tblW w:w="5985" w:type="dxa"/>
        <w:jc w:val="left"/>
        <w:tblInd w:w="0" w:type="dxa"/>
        <w:tblLayout w:type="fixed"/>
        <w:tblCellMar>
          <w:top w:w="0" w:type="dxa"/>
          <w:left w:w="0" w:type="dxa"/>
          <w:bottom w:w="0" w:type="dxa"/>
          <w:right w:w="0" w:type="dxa"/>
        </w:tblCellMar>
      </w:tblPr>
      <w:tblGrid>
        <w:gridCol w:w="3635"/>
        <w:gridCol w:w="60"/>
        <w:gridCol w:w="140"/>
        <w:gridCol w:w="635"/>
        <w:gridCol w:w="95"/>
        <w:gridCol w:w="60"/>
        <w:gridCol w:w="91"/>
        <w:gridCol w:w="964"/>
        <w:gridCol w:w="30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gridSpan w:val="6"/>
            <w:tcBorders>
              <w:bottom w:val="single" w:sz="8" w:space="0" w:color="000000"/>
            </w:tcBorders>
            <w:tcMar>
              <w:bottom w:w="28" w:type="dxa"/>
            </w:tcMar>
            <w:vAlign w:val="center"/>
          </w:tcPr>
          <w:p>
            <w:pPr>
              <w:pStyle w:val="TableContents"/>
              <w:bidi w:val="0"/>
              <w:spacing w:before="0" w:after="283"/>
              <w:jc w:val="center"/>
              <w:rPr/>
            </w:pPr>
            <w:r>
              <w:rPr/>
              <w:t>2024</w:t>
            </w:r>
          </w:p>
        </w:tc>
        <w:tc>
          <w:tcPr>
            <w:tcW w:w="30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pPr>
            <w:r>
              <w:rPr/>
              <w:t>Tax</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pPr>
            <w:r>
              <w:rPr/>
              <w:t>Percentage</w:t>
            </w:r>
          </w:p>
        </w:tc>
        <w:tc>
          <w:tcPr>
            <w:tcW w:w="30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Book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305" w:name="xdx_98C_eus-gaap--IncomeTaxReconciliatio"/>
            <w:bookmarkEnd w:id="1305"/>
          </w:p>
        </w:tc>
        <w:tc>
          <w:tcPr>
            <w:tcW w:w="635" w:type="dxa"/>
            <w:tcBorders/>
            <w:shd w:fill="CCEEFF" w:val="clear"/>
            <w:vAlign w:val="center"/>
          </w:tcPr>
          <w:p>
            <w:pPr>
              <w:pStyle w:val="TableContents"/>
              <w:bidi w:val="0"/>
              <w:spacing w:before="0" w:after="283"/>
              <w:jc w:val="right"/>
              <w:rPr/>
            </w:pPr>
            <w:r>
              <w:rPr/>
              <w:t>(8,529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1306" w:name="xdx_986_eus-gaap--EffectiveIncomeTaxRate"/>
            <w:bookmarkEnd w:id="1306"/>
          </w:p>
        </w:tc>
        <w:tc>
          <w:tcPr>
            <w:tcW w:w="964" w:type="dxa"/>
            <w:tcBorders/>
            <w:shd w:fill="CCEEFF" w:val="clear"/>
            <w:vAlign w:val="center"/>
          </w:tcPr>
          <w:p>
            <w:pPr>
              <w:pStyle w:val="TableContents"/>
              <w:bidi w:val="0"/>
              <w:spacing w:before="0" w:after="283"/>
              <w:jc w:val="right"/>
              <w:rPr/>
            </w:pPr>
            <w:r>
              <w:rPr/>
              <w:t>21.00</w:t>
            </w:r>
          </w:p>
        </w:tc>
        <w:tc>
          <w:tcPr>
            <w:tcW w:w="305"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Permanent differences (other than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Nontaxable and Nondeductible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307" w:name="xdx_98C_eus-gaap--IncomeTaxReconciliatio"/>
            <w:bookmarkEnd w:id="1307"/>
          </w:p>
        </w:tc>
        <w:tc>
          <w:tcPr>
            <w:tcW w:w="635" w:type="dxa"/>
            <w:tcBorders/>
            <w:shd w:fill="CCEEFF" w:val="clear"/>
            <w:vAlign w:val="center"/>
          </w:tcPr>
          <w:p>
            <w:pPr>
              <w:pStyle w:val="TableContents"/>
              <w:bidi w:val="0"/>
              <w:spacing w:before="0" w:after="283"/>
              <w:jc w:val="right"/>
              <w:rPr/>
            </w:pPr>
            <w:r>
              <w:rPr/>
              <w:t>(259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1308" w:name="xdx_98C_eus-gaap--EffectiveIncomeTaxRate"/>
            <w:bookmarkEnd w:id="1308"/>
          </w:p>
        </w:tc>
        <w:tc>
          <w:tcPr>
            <w:tcW w:w="964" w:type="dxa"/>
            <w:tcBorders/>
            <w:shd w:fill="CCEEFF" w:val="clear"/>
            <w:vAlign w:val="center"/>
          </w:tcPr>
          <w:p>
            <w:pPr>
              <w:pStyle w:val="TableContents"/>
              <w:bidi w:val="0"/>
              <w:spacing w:before="0" w:after="283"/>
              <w:jc w:val="right"/>
              <w:rPr/>
            </w:pPr>
            <w:r>
              <w:rPr/>
              <w:t>0.64</w:t>
            </w:r>
          </w:p>
        </w:tc>
        <w:tc>
          <w:tcPr>
            <w:tcW w:w="305"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State taxes,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309" w:name="xdx_987_eus-gaap--IncomeTaxReconciliatio"/>
            <w:bookmarkEnd w:id="1309"/>
          </w:p>
        </w:tc>
        <w:tc>
          <w:tcPr>
            <w:tcW w:w="635" w:type="dxa"/>
            <w:tcBorders/>
            <w:shd w:fill="FFFFFF" w:val="clear"/>
            <w:vAlign w:val="center"/>
          </w:tcPr>
          <w:p>
            <w:pPr>
              <w:pStyle w:val="TableContents"/>
              <w:bidi w:val="0"/>
              <w:spacing w:before="0" w:after="283"/>
              <w:jc w:val="right"/>
              <w:rPr/>
            </w:pPr>
            <w:r>
              <w:rPr/>
              <w:t>(931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1310" w:name="xdx_980_eus-gaap--EffectiveIncomeTaxRate"/>
            <w:bookmarkEnd w:id="1310"/>
          </w:p>
        </w:tc>
        <w:tc>
          <w:tcPr>
            <w:tcW w:w="964" w:type="dxa"/>
            <w:tcBorders/>
            <w:shd w:fill="FFFFFF" w:val="clear"/>
            <w:vAlign w:val="center"/>
          </w:tcPr>
          <w:p>
            <w:pPr>
              <w:pStyle w:val="TableContents"/>
              <w:bidi w:val="0"/>
              <w:spacing w:before="0" w:after="283"/>
              <w:jc w:val="right"/>
              <w:rPr/>
            </w:pPr>
            <w:r>
              <w:rPr/>
              <w:t>2.29</w:t>
            </w:r>
          </w:p>
        </w:tc>
        <w:tc>
          <w:tcPr>
            <w:tcW w:w="305" w:type="dxa"/>
            <w:tcBorders/>
            <w:shd w:fill="FFFFFF" w:val="clear"/>
            <w:vAlign w:val="center"/>
          </w:tcPr>
          <w:p>
            <w:pPr>
              <w:pStyle w:val="TableContents"/>
              <w:bidi w:val="0"/>
              <w:spacing w:before="0" w:after="283"/>
              <w:jc w:val="left"/>
              <w:rPr/>
            </w:pPr>
            <w:r>
              <w:rPr/>
              <w:t>%</w:t>
            </w:r>
          </w:p>
        </w:tc>
      </w:tr>
      <w:tr>
        <w:trPr/>
        <w:tc>
          <w:tcPr>
            <w:tcW w:w="3635" w:type="dxa"/>
            <w:tcBorders/>
            <w:shd w:fill="CCEEFF" w:val="clear"/>
            <w:vAlign w:val="center"/>
          </w:tcPr>
          <w:p>
            <w:pPr>
              <w:pStyle w:val="TableContents"/>
              <w:bidi w:val="0"/>
              <w:spacing w:before="0" w:after="283"/>
              <w:jc w:val="left"/>
              <w:rPr/>
            </w:pPr>
            <w:r>
              <w:rPr/>
              <w:t>Research and development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311" w:name="xdx_981_ecustom--EffectiveIncomeTaxRateR"/>
            <w:bookmarkEnd w:id="1311"/>
          </w:p>
        </w:tc>
        <w:tc>
          <w:tcPr>
            <w:tcW w:w="635" w:type="dxa"/>
            <w:tcBorders/>
            <w:shd w:fill="CCEEFF" w:val="clear"/>
            <w:vAlign w:val="center"/>
          </w:tcPr>
          <w:p>
            <w:pPr>
              <w:pStyle w:val="TableContents"/>
              <w:bidi w:val="0"/>
              <w:spacing w:before="0" w:after="283"/>
              <w:jc w:val="right"/>
              <w:rPr/>
            </w:pPr>
            <w:r>
              <w:rPr/>
              <w:t>(29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1312" w:name="xdx_988_ecustom--EffectiveIncomeTaxRateR"/>
            <w:bookmarkEnd w:id="1312"/>
          </w:p>
        </w:tc>
        <w:tc>
          <w:tcPr>
            <w:tcW w:w="964" w:type="dxa"/>
            <w:tcBorders/>
            <w:shd w:fill="CCEEFF" w:val="clear"/>
            <w:vAlign w:val="center"/>
          </w:tcPr>
          <w:p>
            <w:pPr>
              <w:pStyle w:val="TableContents"/>
              <w:bidi w:val="0"/>
              <w:spacing w:before="0" w:after="283"/>
              <w:jc w:val="right"/>
              <w:rPr/>
            </w:pPr>
            <w:r>
              <w:rPr/>
              <w:t>0.07</w:t>
            </w:r>
          </w:p>
        </w:tc>
        <w:tc>
          <w:tcPr>
            <w:tcW w:w="305"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Uncertain tax positions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313" w:name="xdx_98D_ecustom--EffectiveIncomeTaxRateR"/>
            <w:bookmarkEnd w:id="1313"/>
          </w:p>
        </w:tc>
        <w:tc>
          <w:tcPr>
            <w:tcW w:w="635" w:type="dxa"/>
            <w:tcBorders/>
            <w:shd w:fill="FFFFFF" w:val="clear"/>
            <w:vAlign w:val="center"/>
          </w:tcPr>
          <w:p>
            <w:pPr>
              <w:pStyle w:val="TableContents"/>
              <w:bidi w:val="0"/>
              <w:spacing w:before="0" w:after="283"/>
              <w:jc w:val="right"/>
              <w:rPr/>
            </w:pPr>
            <w:r>
              <w:rPr/>
              <w:t>(36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1314" w:name="xdx_98C_ecustom--EffectiveIncomeTaxRateR"/>
            <w:bookmarkEnd w:id="1314"/>
          </w:p>
        </w:tc>
        <w:tc>
          <w:tcPr>
            <w:tcW w:w="964" w:type="dxa"/>
            <w:tcBorders/>
            <w:shd w:fill="FFFFFF" w:val="clear"/>
            <w:vAlign w:val="center"/>
          </w:tcPr>
          <w:p>
            <w:pPr>
              <w:pStyle w:val="TableContents"/>
              <w:bidi w:val="0"/>
              <w:spacing w:before="0" w:after="283"/>
              <w:jc w:val="right"/>
              <w:rPr/>
            </w:pPr>
            <w:r>
              <w:rPr/>
              <w:t>0.09</w:t>
            </w:r>
          </w:p>
        </w:tc>
        <w:tc>
          <w:tcPr>
            <w:tcW w:w="305" w:type="dxa"/>
            <w:tcBorders/>
            <w:shd w:fill="FFFFFF" w:val="clear"/>
            <w:vAlign w:val="center"/>
          </w:tcPr>
          <w:p>
            <w:pPr>
              <w:pStyle w:val="TableContents"/>
              <w:bidi w:val="0"/>
              <w:spacing w:before="0" w:after="283"/>
              <w:jc w:val="left"/>
              <w:rPr/>
            </w:pPr>
            <w:r>
              <w:rPr/>
              <w:t>%</w:t>
            </w:r>
          </w:p>
        </w:tc>
      </w:tr>
      <w:tr>
        <w:trPr/>
        <w:tc>
          <w:tcPr>
            <w:tcW w:w="363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315" w:name="xdx_989_eus-gaap--IncomeTaxReconciliatio"/>
            <w:bookmarkEnd w:id="1315"/>
          </w:p>
        </w:tc>
        <w:tc>
          <w:tcPr>
            <w:tcW w:w="635" w:type="dxa"/>
            <w:tcBorders/>
            <w:shd w:fill="CCEEFF" w:val="clear"/>
            <w:vAlign w:val="center"/>
          </w:tcPr>
          <w:p>
            <w:pPr>
              <w:pStyle w:val="TableContents"/>
              <w:bidi w:val="0"/>
              <w:spacing w:before="0" w:after="283"/>
              <w:jc w:val="right"/>
              <w:rPr/>
            </w:pPr>
            <w:r>
              <w:rPr/>
              <w:t>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1316" w:name="xdx_98E_eus-gaap--EffectiveIncomeTaxRate"/>
            <w:bookmarkEnd w:id="1316"/>
          </w:p>
        </w:tc>
        <w:tc>
          <w:tcPr>
            <w:tcW w:w="964" w:type="dxa"/>
            <w:tcBorders/>
            <w:shd w:fill="CCEEFF" w:val="clear"/>
            <w:vAlign w:val="center"/>
          </w:tcPr>
          <w:p>
            <w:pPr>
              <w:pStyle w:val="TableContents"/>
              <w:bidi w:val="0"/>
              <w:spacing w:before="0" w:after="283"/>
              <w:jc w:val="right"/>
              <w:rPr/>
            </w:pPr>
            <w:r>
              <w:rPr/>
              <w:t>(0.23</w:t>
            </w:r>
          </w:p>
        </w:tc>
        <w:tc>
          <w:tcPr>
            <w:tcW w:w="305"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Deferred true-up</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317" w:name="xdx_985_ecustom--EffectiveIncomeTaxRateR"/>
            <w:bookmarkEnd w:id="1317"/>
          </w:p>
        </w:tc>
        <w:tc>
          <w:tcPr>
            <w:tcW w:w="635" w:type="dxa"/>
            <w:tcBorders/>
            <w:shd w:fill="FFFFFF" w:val="clear"/>
            <w:vAlign w:val="center"/>
          </w:tcPr>
          <w:p>
            <w:pPr>
              <w:pStyle w:val="TableContents"/>
              <w:bidi w:val="0"/>
              <w:spacing w:before="0" w:after="283"/>
              <w:jc w:val="right"/>
              <w:rPr/>
            </w:pPr>
            <w:r>
              <w:rPr/>
              <w:t>(142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1318" w:name="xdx_98F_ecustom--EffectiveIncomeTaxRateR"/>
            <w:bookmarkEnd w:id="1318"/>
          </w:p>
        </w:tc>
        <w:tc>
          <w:tcPr>
            <w:tcW w:w="964" w:type="dxa"/>
            <w:tcBorders/>
            <w:shd w:fill="FFFFFF" w:val="clear"/>
            <w:vAlign w:val="center"/>
          </w:tcPr>
          <w:p>
            <w:pPr>
              <w:pStyle w:val="TableContents"/>
              <w:bidi w:val="0"/>
              <w:spacing w:before="0" w:after="283"/>
              <w:jc w:val="right"/>
              <w:rPr/>
            </w:pPr>
            <w:r>
              <w:rPr/>
              <w:t>0.35</w:t>
            </w:r>
          </w:p>
        </w:tc>
        <w:tc>
          <w:tcPr>
            <w:tcW w:w="305" w:type="dxa"/>
            <w:tcBorders/>
            <w:shd w:fill="FFFFFF" w:val="clear"/>
            <w:vAlign w:val="center"/>
          </w:tcPr>
          <w:p>
            <w:pPr>
              <w:pStyle w:val="TableContents"/>
              <w:bidi w:val="0"/>
              <w:spacing w:before="0" w:after="283"/>
              <w:jc w:val="left"/>
              <w:rPr/>
            </w:pPr>
            <w:r>
              <w:rPr/>
              <w:t>%</w:t>
            </w:r>
          </w:p>
        </w:tc>
      </w:tr>
      <w:tr>
        <w:trPr/>
        <w:tc>
          <w:tcPr>
            <w:tcW w:w="3635"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19" w:name="xdx_988_eus-gaap--IncomeTaxReconciliatio"/>
            <w:bookmarkEnd w:id="1319"/>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9,832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20" w:name="xdx_98D_eus-gaap--EffectiveIncomeTaxRate"/>
            <w:bookmarkEnd w:id="1320"/>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pPr>
            <w:r>
              <w:rPr/>
              <w:t>(24.21</w:t>
            </w:r>
          </w:p>
        </w:tc>
        <w:tc>
          <w:tcPr>
            <w:tcW w:w="305"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321" w:name="xdx_989_eus-gaap--IncomeTaxExpenseBenefi"/>
            <w:bookmarkEnd w:id="1321"/>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Effective tax rate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22" w:name="xdx_982_eus-gaap--EffectiveIncomeTaxRate"/>
            <w:bookmarkEnd w:id="1322"/>
          </w:p>
        </w:tc>
        <w:tc>
          <w:tcPr>
            <w:tcW w:w="964" w:type="dxa"/>
            <w:tcBorders>
              <w:bottom w:val="double" w:sz="6" w:space="0" w:color="000000"/>
            </w:tcBorders>
            <w:shd w:fill="CCEEFF" w:val="clear"/>
            <w:tcMar>
              <w:bottom w:w="28" w:type="dxa"/>
            </w:tcMar>
            <w:vAlign w:val="center"/>
          </w:tcPr>
          <w:p>
            <w:pPr>
              <w:pStyle w:val="TableContents"/>
              <w:bidi w:val="0"/>
              <w:spacing w:before="0" w:after="283"/>
              <w:jc w:val="right"/>
              <w:rPr/>
            </w:pPr>
            <w:r>
              <w:rPr/>
              <w:t>0.0</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bookmarkStart w:id="1323" w:name="xdx_8A2_zpnGYjSb8tK9"/>
      <w:bookmarkEnd w:id="132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returns of the Company are open for three years from the date of filing. At the report date, federal tax returns are open for the Company for 2022, 2023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In 2025, the Company paid the state of Texas in the amount of $</w:t>
      </w:r>
      <w:bookmarkStart w:id="1324" w:name="xdx_90C_eus-gaap--IncomeTaxesPaidNet_c20"/>
      <w:bookmarkEnd w:id="1324"/>
      <w:r>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evaluated if section 382 was triggered.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described below, as of December 31, 2025, the Company had federal net operating loss carryforwards of approximately $</w:t>
      </w:r>
      <w:bookmarkStart w:id="1325" w:name="xdx_900_eus-gaap--OperatingLossCarryforw"/>
      <w:bookmarkEnd w:id="1325"/>
      <w:r>
        <w:rPr>
          <w:rFonts w:ascii="Times New Roman;Times;Serif" w:hAnsi="Times New Roman;Times;Serif"/>
          <w:b w:val="false"/>
          <w:i w:val="false"/>
          <w:caps w:val="false"/>
          <w:smallCaps w:val="false"/>
          <w:sz w:val="20"/>
        </w:rPr>
        <w:t xml:space="preserve">84,559 available to reduce future taxable income which do not expire, but are limited to </w:t>
      </w:r>
      <w:bookmarkStart w:id="1326" w:name="xdx_901_eus-gaap--EffectiveIncomeTaxRate"/>
      <w:bookmarkEnd w:id="1326"/>
      <w:r>
        <w:rPr>
          <w:rFonts w:ascii="Times New Roman;Times;Serif" w:hAnsi="Times New Roman;Times;Serif"/>
          <w:b w:val="false"/>
          <w:i w:val="false"/>
          <w:caps w:val="false"/>
          <w:smallCaps w:val="false"/>
          <w:sz w:val="20"/>
        </w:rPr>
        <w:t>80% utilization against taxable income. As of December 31, 2025, the Company had state net operating loss carryforwards of approximately $</w:t>
      </w:r>
      <w:bookmarkStart w:id="1327" w:name="xdx_901_eus-gaap--OperatingLossCarryforw"/>
      <w:bookmarkEnd w:id="1327"/>
      <w:r>
        <w:rPr>
          <w:rFonts w:ascii="Times New Roman;Times;Serif" w:hAnsi="Times New Roman;Times;Serif"/>
          <w:b w:val="false"/>
          <w:i w:val="false"/>
          <w:caps w:val="false"/>
          <w:smallCaps w:val="false"/>
          <w:sz w:val="20"/>
        </w:rPr>
        <w:t>38,553 available to reduce future taxable income, which start to expire in 2037. The Company also had research and development credits of $</w:t>
      </w:r>
      <w:bookmarkStart w:id="1328" w:name="xdx_901_eus-gaap--DeferredTaxAssetsTaxCr"/>
      <w:bookmarkEnd w:id="1328"/>
      <w:r>
        <w:rPr>
          <w:rFonts w:ascii="Times New Roman;Times;Serif" w:hAnsi="Times New Roman;Times;Serif"/>
          <w:b w:val="false"/>
          <w:i w:val="false"/>
          <w:caps w:val="false"/>
          <w:smallCaps w:val="false"/>
          <w:sz w:val="20"/>
        </w:rPr>
        <w:t>875 as of December 31, 2025 to offset future federal income taxes, which are set to expire in 2042.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evaluated the positive and negative evidence bearing upon the realizability of its deferred tax assets and determined that it is more likely than not that the Company will not recognize the benefits of the deferred tax assets. As a result, a full valuation allowance was recorded as of December 31, 2025. The valuation allowance as of December 31, 2025 was $</w:t>
      </w:r>
      <w:bookmarkStart w:id="1329" w:name="xdx_909_eus-gaap--DeferredTaxAssetsValua"/>
      <w:bookmarkEnd w:id="1329"/>
      <w:r>
        <w:rPr>
          <w:rFonts w:ascii="Times New Roman;Times;Serif" w:hAnsi="Times New Roman;Times;Serif"/>
          <w:b w:val="false"/>
          <w:i w:val="false"/>
          <w:caps w:val="false"/>
          <w:smallCaps w:val="false"/>
          <w:sz w:val="20"/>
        </w:rPr>
        <w:t>37,753, primarily due to the company entering into a 4 year cumulative loss position and no expectation of income for the year ended December 31, 2025. Valuation allowance total increased by $</w:t>
      </w:r>
      <w:bookmarkStart w:id="1330" w:name="xdx_90E_ecustom--IncreasedInValuationAll"/>
      <w:bookmarkEnd w:id="1330"/>
      <w:r>
        <w:rPr>
          <w:rFonts w:ascii="Times New Roman;Times;Serif" w:hAnsi="Times New Roman;Times;Serif"/>
          <w:b w:val="false"/>
          <w:i w:val="false"/>
          <w:caps w:val="false"/>
          <w:smallCaps w:val="false"/>
          <w:sz w:val="20"/>
        </w:rPr>
        <w:t>8,304. Federal portion of this number is $</w:t>
      </w:r>
      <w:bookmarkStart w:id="1331" w:name="xdx_90E_ecustom--IncreasedInValuationAll"/>
      <w:bookmarkEnd w:id="1331"/>
      <w:r>
        <w:rPr>
          <w:rFonts w:ascii="Times New Roman;Times;Serif" w:hAnsi="Times New Roman;Times;Serif"/>
          <w:b w:val="false"/>
          <w:i w:val="false"/>
          <w:caps w:val="false"/>
          <w:smallCaps w:val="false"/>
          <w:sz w:val="20"/>
        </w:rPr>
        <w:t>7,730 and the rest is a state portion of $</w:t>
      </w:r>
      <w:bookmarkStart w:id="1332" w:name="xdx_908_ecustom--IncreasedInValuationAll"/>
      <w:bookmarkEnd w:id="1332"/>
      <w:r>
        <w:rPr>
          <w:rFonts w:ascii="Times New Roman;Times;Serif" w:hAnsi="Times New Roman;Times;Serif"/>
          <w:b w:val="false"/>
          <w:i w:val="false"/>
          <w:caps w:val="false"/>
          <w:smallCaps w:val="false"/>
          <w:sz w:val="20"/>
        </w:rPr>
        <w:t>574.</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13 - Income Taxes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Tax Cuts and Jobs Act enacted in December 2017, taxpayers were required to capitalize research and experimental expenditures under Section 174 and amortize them over five years if incurred in the United States and over fifteen years if incurred in a foreign jurisdiction for tax years beginning on or after January 1, 2022. In 2025, the One Big Beautiful Bill (Public Law 119-21) introduced Section 174A, which permits taxpayers, for tax years beginning after December 31, 2024, to currently deduct qualifying domestic research and experimental expenditures or, at the taxpayer’s election, capitalize and amortize such expenditures over a period of not less than 60 months, while the requirement to capitalize and amortize foreign research and experimental expenditures over fifteen years remains in effect. The change in tax law reduces deferred tax assets associated with previously capitalized domestic research and experimental expenditures and increases the current deductibility of such costs for the year ended December 31, 2025. Provisions of this law did not have a material effect on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33" w:name="xdx_89E_eus-gaap--ScheduleOfUnrecognized"/>
      <w:bookmarkEnd w:id="1333"/>
      <w:r>
        <w:rPr>
          <w:rFonts w:ascii="Times New Roman;Times;Serif" w:hAnsi="Times New Roman;Times;Serif"/>
          <w:b w:val="false"/>
          <w:i w:val="false"/>
          <w:caps w:val="false"/>
          <w:smallCaps w:val="false"/>
          <w:sz w:val="20"/>
        </w:rPr>
        <w:t>The roll-forward of the Company’s gross uncertain tax positions is as follows:</w:t>
      </w:r>
    </w:p>
    <w:p>
      <w:pPr>
        <w:pStyle w:val="TextBody"/>
        <w:bidi w:val="0"/>
        <w:spacing w:before="0" w:after="0"/>
        <w:ind w:left="0" w:right="0" w:hanging="0"/>
        <w:jc w:val="both"/>
        <w:rPr>
          <w:caps w:val="false"/>
          <w:smallCaps w:val="false"/>
        </w:rPr>
      </w:pPr>
      <w:r>
        <w:rPr>
          <w:caps w:val="false"/>
          <w:smallCaps w:val="false"/>
        </w:rPr>
        <w:t> </w:t>
      </w:r>
      <w:bookmarkStart w:id="1334" w:name="xdx_8B2_zU9TuUtTy5L5"/>
      <w:bookmarkEnd w:id="1334"/>
      <w:r>
        <w:rPr>
          <w:rFonts w:ascii="Times New Roman;Times;Serif" w:hAnsi="Times New Roman;Times;Serif"/>
          <w:b w:val="false"/>
          <w:i w:val="false"/>
          <w:caps w:val="false"/>
          <w:smallCaps w:val="false"/>
          <w:sz w:val="20"/>
        </w:rPr>
        <w:t>SCHEDULE OF GROSS UNCERTAIN TAX POSITIONS</w:t>
      </w:r>
    </w:p>
    <w:tbl>
      <w:tblPr>
        <w:tblW w:w="6719" w:type="dxa"/>
        <w:jc w:val="left"/>
        <w:tblInd w:w="0" w:type="dxa"/>
        <w:tblLayout w:type="fixed"/>
        <w:tblCellMar>
          <w:top w:w="0" w:type="dxa"/>
          <w:left w:w="0" w:type="dxa"/>
          <w:bottom w:w="0" w:type="dxa"/>
          <w:right w:w="0" w:type="dxa"/>
        </w:tblCellMar>
      </w:tblPr>
      <w:tblGrid>
        <w:gridCol w:w="3725"/>
        <w:gridCol w:w="60"/>
        <w:gridCol w:w="832"/>
        <w:gridCol w:w="1992"/>
        <w:gridCol w:w="11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4" w:type="dxa"/>
            <w:gridSpan w:val="2"/>
            <w:tcBorders>
              <w:bottom w:val="single" w:sz="8" w:space="0" w:color="000000"/>
            </w:tcBorders>
            <w:tcMar>
              <w:bottom w:w="28" w:type="dxa"/>
            </w:tcMar>
            <w:vAlign w:val="center"/>
          </w:tcPr>
          <w:p>
            <w:pPr>
              <w:pStyle w:val="TableContents"/>
              <w:bidi w:val="0"/>
              <w:spacing w:before="0" w:after="283"/>
              <w:jc w:val="center"/>
              <w:rPr/>
            </w:pPr>
            <w:r>
              <w:rPr/>
              <w:t>Gross Uncertain Tax Position</w:t>
            </w:r>
          </w:p>
        </w:tc>
        <w:tc>
          <w:tcPr>
            <w:tcW w:w="11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Balance at January 1, 2024</w:t>
            </w:r>
          </w:p>
        </w:tc>
        <w:tc>
          <w:tcPr>
            <w:tcW w:w="6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w:t>
            </w:r>
            <w:bookmarkStart w:id="1335" w:name="xdx_984_eus-gaap--UnrecognizedTaxBenefit"/>
            <w:bookmarkEnd w:id="1335"/>
          </w:p>
        </w:tc>
        <w:tc>
          <w:tcPr>
            <w:tcW w:w="1992" w:type="dxa"/>
            <w:tcBorders/>
            <w:shd w:fill="CCEEFF" w:val="clear"/>
            <w:vAlign w:val="center"/>
          </w:tcPr>
          <w:p>
            <w:pPr>
              <w:pStyle w:val="TableContents"/>
              <w:bidi w:val="0"/>
              <w:spacing w:before="0" w:after="283"/>
              <w:jc w:val="right"/>
              <w:rPr/>
            </w:pPr>
            <w:r>
              <w:rPr/>
              <w:t>91</w:t>
            </w:r>
          </w:p>
        </w:tc>
        <w:tc>
          <w:tcPr>
            <w:tcW w:w="11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Additions for current year tax positions</w:t>
            </w:r>
          </w:p>
        </w:tc>
        <w:tc>
          <w:tcPr>
            <w:tcW w:w="60" w:type="dxa"/>
            <w:tcBorders/>
            <w:shd w:fill="FFFFFF" w:val="clear"/>
            <w:vAlign w:val="center"/>
          </w:tcPr>
          <w:p>
            <w:pPr>
              <w:pStyle w:val="TableContents"/>
              <w:bidi w:val="0"/>
              <w:spacing w:before="0" w:after="283"/>
              <w:jc w:val="left"/>
              <w:rPr/>
            </w:pPr>
            <w:r>
              <w:rPr/>
              <w:t> </w:t>
            </w:r>
          </w:p>
        </w:tc>
        <w:tc>
          <w:tcPr>
            <w:tcW w:w="8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36" w:name="xdx_98F_eus-gaap--UnrecognizedTaxBenefit"/>
            <w:bookmarkEnd w:id="1336"/>
          </w:p>
        </w:tc>
        <w:tc>
          <w:tcPr>
            <w:tcW w:w="1992" w:type="dxa"/>
            <w:tcBorders>
              <w:bottom w:val="single" w:sz="8" w:space="0" w:color="000000"/>
            </w:tcBorders>
            <w:shd w:fill="FFFFFF" w:val="clear"/>
            <w:tcMar>
              <w:bottom w:w="28" w:type="dxa"/>
            </w:tcMar>
            <w:vAlign w:val="center"/>
          </w:tcPr>
          <w:p>
            <w:pPr>
              <w:pStyle w:val="TableContents"/>
              <w:bidi w:val="0"/>
              <w:spacing w:before="0" w:after="283"/>
              <w:jc w:val="right"/>
              <w:rPr/>
            </w:pPr>
            <w:r>
              <w:rPr/>
              <w:t>(36</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bookmarkStart w:id="1337" w:name="xdx_988_eus-gaap--UnrecognizedTaxBenefit"/>
            <w:bookmarkEnd w:id="1337"/>
          </w:p>
        </w:tc>
        <w:tc>
          <w:tcPr>
            <w:tcW w:w="1992" w:type="dxa"/>
            <w:tcBorders/>
            <w:shd w:fill="CCEEFF" w:val="clear"/>
            <w:vAlign w:val="center"/>
          </w:tcPr>
          <w:p>
            <w:pPr>
              <w:pStyle w:val="TableContents"/>
              <w:bidi w:val="0"/>
              <w:spacing w:before="0" w:after="283"/>
              <w:jc w:val="right"/>
              <w:rPr/>
            </w:pPr>
            <w:r>
              <w:rPr/>
              <w:t>55</w:t>
            </w:r>
          </w:p>
        </w:tc>
        <w:tc>
          <w:tcPr>
            <w:tcW w:w="11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Expiration</w:t>
            </w:r>
          </w:p>
        </w:tc>
        <w:tc>
          <w:tcPr>
            <w:tcW w:w="60" w:type="dxa"/>
            <w:tcBorders/>
            <w:shd w:fill="FFFFFF" w:val="clear"/>
            <w:vAlign w:val="center"/>
          </w:tcPr>
          <w:p>
            <w:pPr>
              <w:pStyle w:val="TableContents"/>
              <w:bidi w:val="0"/>
              <w:spacing w:before="0" w:after="283"/>
              <w:jc w:val="left"/>
              <w:rPr/>
            </w:pPr>
            <w:r>
              <w:rPr/>
              <w:t> </w:t>
            </w:r>
          </w:p>
        </w:tc>
        <w:tc>
          <w:tcPr>
            <w:tcW w:w="8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38" w:name="xdx_98B_ecustom--UnrecognizedTaxBenefits"/>
            <w:bookmarkEnd w:id="1338"/>
          </w:p>
        </w:tc>
        <w:tc>
          <w:tcPr>
            <w:tcW w:w="1992" w:type="dxa"/>
            <w:tcBorders>
              <w:bottom w:val="single" w:sz="8" w:space="0" w:color="000000"/>
            </w:tcBorders>
            <w:shd w:fill="FFFFFF" w:val="clear"/>
            <w:tcMar>
              <w:bottom w:w="28" w:type="dxa"/>
            </w:tcMar>
            <w:vAlign w:val="center"/>
          </w:tcPr>
          <w:p>
            <w:pPr>
              <w:pStyle w:val="TableContents"/>
              <w:bidi w:val="0"/>
              <w:spacing w:before="0" w:after="283"/>
              <w:jc w:val="right"/>
              <w:rPr/>
            </w:pPr>
            <w:r>
              <w:rPr/>
              <w:t>(55</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83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339" w:name="xdx_986_eus-gaap--UnrecognizedTaxBenefit"/>
            <w:bookmarkEnd w:id="1339"/>
          </w:p>
        </w:tc>
        <w:tc>
          <w:tcPr>
            <w:tcW w:w="199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340" w:name="xdx_8AE_zWxiGUk8NWgi"/>
      <w:bookmarkEnd w:id="1340"/>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341" w:name="xdx_803_eus-gaap--SegmentReportingDisclo"/>
      <w:bookmarkEnd w:id="1341"/>
      <w:r>
        <w:rPr>
          <w:rFonts w:ascii="Times New Roman;Times;Serif" w:hAnsi="Times New Roman;Times;Serif"/>
          <w:b/>
          <w:i w:val="false"/>
          <w:caps/>
          <w:sz w:val="20"/>
        </w:rPr>
        <w:t xml:space="preserve">Note 14 - </w:t>
      </w:r>
      <w:bookmarkStart w:id="1342" w:name="xdx_828_zvWeHQelNZu"/>
      <w:bookmarkEnd w:id="1342"/>
      <w:r>
        <w:rPr>
          <w:rFonts w:ascii="Times New Roman;Times;Serif" w:hAnsi="Times New Roman;Times;Serif"/>
          <w:b/>
          <w:i w:val="false"/>
          <w:caps/>
          <w:sz w:val="20"/>
        </w:rPr>
        <w:t>REPORTABLE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1343" w:name="xdx_904_eus-gaap--NumberOfReportableSegm"/>
      <w:bookmarkEnd w:id="1343"/>
      <w:r>
        <w:rPr>
          <w:rFonts w:ascii="Times New Roman;Times;Serif" w:hAnsi="Times New Roman;Times;Serif"/>
          <w:b w:val="false"/>
          <w:i w:val="false"/>
          <w:caps w:val="false"/>
          <w:smallCaps w:val="false"/>
          <w:sz w:val="20"/>
        </w:rPr>
        <w:t>two reportable segments: DTC and OEM. The DTC segment pertains to Battle Born, LLC branded batteries which are sold directly to consumers. The OEM segment pertains to Dragonfly branded batteries which are sold to original equipment manufacturers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of the segments are the same as those described in the summary of significant accounting policies. The Company evaluates performance for all of its reportable segments based on both segment gross and net profit or 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DTC and OEM, the Chief Operating Decision Maker (“CODM”) uses both segment gross and net profit and loss from operations to allocate resources (including employees, property, and financial or capital resources) for each segment predominantly in the annual budget and forecasting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information for the reported segments is not disclosed as it is not used by the Chief Operating Decision Maker CODM in evaluating the performance of, or making decisions about, the reported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reportable segments are strategic business units that offer different branded products. They are managed separately because each segment requires different technology and marketing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is the Chief Executive Officer.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14 - Reportable Segments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44" w:name="xdx_89B_eus-gaap--ScheduleOfSegmentRepor"/>
      <w:bookmarkEnd w:id="1344"/>
      <w:r>
        <w:rPr>
          <w:rFonts w:ascii="Times New Roman;Times;Serif" w:hAnsi="Times New Roman;Times;Serif"/>
          <w:b w:val="false"/>
          <w:i w:val="false"/>
          <w:caps w:val="false"/>
          <w:smallCaps w:val="false"/>
          <w:sz w:val="20"/>
        </w:rPr>
        <w:t>The following table presents the reportable segments information as of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45" w:name="xdx_8B4_z4Z5RxOejD93"/>
      <w:bookmarkEnd w:id="1345"/>
      <w:r>
        <w:rPr>
          <w:rFonts w:ascii="Times New Roman;Times;Serif" w:hAnsi="Times New Roman;Times;Serif"/>
          <w:b w:val="false"/>
          <w:i w:val="false"/>
          <w:caps w:val="false"/>
          <w:smallCaps w:val="false"/>
          <w:sz w:val="20"/>
        </w:rPr>
        <w:t>SCHEDULE OF REPORTABLE SEGMENTS INFORMATION </w:t>
      </w:r>
    </w:p>
    <w:tbl>
      <w:tblPr>
        <w:tblW w:w="9540" w:type="dxa"/>
        <w:jc w:val="left"/>
        <w:tblInd w:w="0" w:type="dxa"/>
        <w:tblLayout w:type="fixed"/>
        <w:tblCellMar>
          <w:top w:w="0" w:type="dxa"/>
          <w:left w:w="0" w:type="dxa"/>
          <w:bottom w:w="0" w:type="dxa"/>
          <w:right w:w="0" w:type="dxa"/>
        </w:tblCellMar>
      </w:tblPr>
      <w:tblGrid>
        <w:gridCol w:w="5015"/>
        <w:gridCol w:w="60"/>
        <w:gridCol w:w="140"/>
        <w:gridCol w:w="680"/>
        <w:gridCol w:w="95"/>
        <w:gridCol w:w="60"/>
        <w:gridCol w:w="140"/>
        <w:gridCol w:w="680"/>
        <w:gridCol w:w="60"/>
        <w:gridCol w:w="60"/>
        <w:gridCol w:w="140"/>
        <w:gridCol w:w="1025"/>
        <w:gridCol w:w="320"/>
        <w:gridCol w:w="60"/>
        <w:gridCol w:w="140"/>
        <w:gridCol w:w="755"/>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46" w:name="xdx_490_20250101__20251231__us-gaap--Sta"/>
            <w:bookmarkEnd w:id="1346"/>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DTC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47" w:name="xdx_49B_20250101__20251231__us-gaap--Sta"/>
            <w:bookmarkEnd w:id="1347"/>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OEM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48" w:name="xdx_49D_20250101__20251231__us-gaap--Sta"/>
            <w:bookmarkEnd w:id="1348"/>
          </w:p>
        </w:tc>
        <w:tc>
          <w:tcPr>
            <w:tcW w:w="11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49" w:name="xdx_499_20250101__20251231_zffywbtuNghc"/>
            <w:bookmarkEnd w:id="1349"/>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350" w:name="xdx_404_eus-gaap--RevenueFromContractWit"/>
            <w:bookmarkEnd w:id="1350"/>
          </w:p>
        </w:tc>
      </w:tr>
      <w:tr>
        <w:trPr/>
        <w:tc>
          <w:tcPr>
            <w:tcW w:w="5015"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20,696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36,934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1,000</w:t>
            </w:r>
            <w:bookmarkStart w:id="1351" w:name="xdx_F24_zIbRZLyasrM4"/>
            <w:bookmarkEnd w:id="1351"/>
            <w:r>
              <w:rPr/>
              <w:t>(1)</w:t>
            </w:r>
          </w:p>
        </w:tc>
        <w:tc>
          <w:tcPr>
            <w:tcW w:w="320"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58,630</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i/>
              </w:rPr>
            </w:pPr>
            <w:r>
              <w:rPr>
                <w:i/>
              </w:rPr>
              <w:t>Reconciliation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52" w:name="xdx_400_ecustom--ReconciliationOfNetSale"/>
            <w:bookmarkEnd w:id="1352"/>
          </w:p>
        </w:tc>
      </w:tr>
      <w:tr>
        <w:trPr/>
        <w:tc>
          <w:tcPr>
            <w:tcW w:w="5015" w:type="dxa"/>
            <w:tcBorders/>
            <w:shd w:fill="FFFFFF" w:val="clear"/>
            <w:vAlign w:val="center"/>
          </w:tcPr>
          <w:p>
            <w:pPr>
              <w:pStyle w:val="TableContents"/>
              <w:bidi w:val="0"/>
              <w:spacing w:before="0" w:after="283"/>
              <w:jc w:val="left"/>
              <w:rPr/>
            </w:pPr>
            <w:r>
              <w:rPr/>
              <w:t>Reconciling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353" w:name="xdx_40C_eus-gaap--Revenues_pn3n3_zQlJiQI"/>
            <w:bookmarkEnd w:id="1353"/>
          </w:p>
        </w:tc>
      </w:tr>
      <w:tr>
        <w:trPr/>
        <w:tc>
          <w:tcPr>
            <w:tcW w:w="5015" w:type="dxa"/>
            <w:tcBorders/>
            <w:shd w:fill="CCEEFF" w:val="clear"/>
            <w:vAlign w:val="center"/>
          </w:tcPr>
          <w:p>
            <w:pPr>
              <w:pStyle w:val="TableContents"/>
              <w:bidi w:val="0"/>
              <w:spacing w:before="0" w:after="283"/>
              <w:jc w:val="left"/>
              <w:rPr/>
            </w:pPr>
            <w:r>
              <w:rPr/>
              <w:t>Consolidated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58,630</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54" w:name="xdx_403_eus-gaap--CostDirectMaterial_pn3"/>
            <w:bookmarkEnd w:id="1354"/>
          </w:p>
        </w:tc>
      </w:tr>
      <w:tr>
        <w:trPr/>
        <w:tc>
          <w:tcPr>
            <w:tcW w:w="5015" w:type="dxa"/>
            <w:tcBorders/>
            <w:shd w:fill="CCEEFF" w:val="clear"/>
            <w:vAlign w:val="center"/>
          </w:tcPr>
          <w:p>
            <w:pPr>
              <w:pStyle w:val="TableContents"/>
              <w:bidi w:val="0"/>
              <w:spacing w:before="0" w:after="283"/>
              <w:jc w:val="left"/>
              <w:rPr/>
            </w:pPr>
            <w:r>
              <w:rPr/>
              <w:t>Direct material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35,012</w:t>
            </w:r>
          </w:p>
        </w:tc>
        <w:tc>
          <w:tcPr>
            <w:tcW w:w="110" w:type="dxa"/>
            <w:tcBorders/>
            <w:shd w:fill="CCEEFF" w:val="clear"/>
            <w:vAlign w:val="center"/>
          </w:tcPr>
          <w:p>
            <w:pPr>
              <w:pStyle w:val="TableContents"/>
              <w:bidi w:val="0"/>
              <w:spacing w:before="0" w:after="283"/>
              <w:jc w:val="left"/>
              <w:rPr/>
            </w:pPr>
            <w:r>
              <w:rPr/>
              <w:t> </w:t>
            </w:r>
            <w:bookmarkStart w:id="1355" w:name="xdx_408_eus-gaap--CostDirectLabor_pn3n3_"/>
            <w:bookmarkEnd w:id="1355"/>
          </w:p>
        </w:tc>
      </w:tr>
      <w:tr>
        <w:trPr/>
        <w:tc>
          <w:tcPr>
            <w:tcW w:w="5015" w:type="dxa"/>
            <w:tcBorders/>
            <w:shd w:fill="FFFFFF" w:val="clear"/>
            <w:vAlign w:val="center"/>
          </w:tcPr>
          <w:p>
            <w:pPr>
              <w:pStyle w:val="TableContents"/>
              <w:bidi w:val="0"/>
              <w:spacing w:before="0" w:after="283"/>
              <w:jc w:val="left"/>
              <w:rPr/>
            </w:pPr>
            <w:r>
              <w:rPr/>
              <w:t>Direct labor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3,483</w:t>
            </w:r>
          </w:p>
        </w:tc>
        <w:tc>
          <w:tcPr>
            <w:tcW w:w="110" w:type="dxa"/>
            <w:tcBorders/>
            <w:shd w:fill="FFFFFF" w:val="clear"/>
            <w:vAlign w:val="center"/>
          </w:tcPr>
          <w:p>
            <w:pPr>
              <w:pStyle w:val="TableContents"/>
              <w:bidi w:val="0"/>
              <w:spacing w:before="0" w:after="283"/>
              <w:jc w:val="left"/>
              <w:rPr/>
            </w:pPr>
            <w:r>
              <w:rPr/>
              <w:t> </w:t>
            </w:r>
            <w:bookmarkStart w:id="1356" w:name="xdx_402_eus-gaap--CostOfGoodsAndServices"/>
            <w:bookmarkEnd w:id="1356"/>
          </w:p>
        </w:tc>
      </w:tr>
      <w:tr>
        <w:trPr/>
        <w:tc>
          <w:tcPr>
            <w:tcW w:w="5015" w:type="dxa"/>
            <w:tcBorders/>
            <w:shd w:fill="CCEEFF" w:val="clear"/>
            <w:vAlign w:val="center"/>
          </w:tcPr>
          <w:p>
            <w:pPr>
              <w:pStyle w:val="TableContents"/>
              <w:bidi w:val="0"/>
              <w:spacing w:before="0" w:after="283"/>
              <w:jc w:val="left"/>
              <w:rPr/>
            </w:pPr>
            <w:r>
              <w:rPr/>
              <w:t>Direct overhead and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4,488</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57" w:name="xdx_401_eus-gaap--CostOfGoodsAndServices"/>
            <w:bookmarkEnd w:id="1357"/>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42,983</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58" w:name="xdx_405_eus-gaap--GrossProfit_pn3n3_zHNm"/>
            <w:bookmarkEnd w:id="1358"/>
          </w:p>
        </w:tc>
      </w:tr>
      <w:tr>
        <w:trPr/>
        <w:tc>
          <w:tcPr>
            <w:tcW w:w="501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1,000</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15,647</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59" w:name="xdx_403_eus-gaap--ResearchAndDevelopment"/>
            <w:bookmarkEnd w:id="1359"/>
          </w:p>
        </w:tc>
      </w:tr>
      <w:tr>
        <w:trPr/>
        <w:tc>
          <w:tcPr>
            <w:tcW w:w="5015" w:type="dxa"/>
            <w:tcBorders/>
            <w:shd w:fill="FFFFFF" w:val="clear"/>
            <w:vAlign w:val="center"/>
          </w:tcPr>
          <w:p>
            <w:pPr>
              <w:pStyle w:val="TableContents"/>
              <w:bidi w:val="0"/>
              <w:spacing w:before="0" w:after="283"/>
              <w:jc w:val="left"/>
              <w:rPr/>
            </w:pPr>
            <w:r>
              <w:rPr/>
              <w:t>Research &amp;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2,981</w:t>
            </w:r>
            <w:bookmarkStart w:id="1360" w:name="xdx_F2C_zLviY1ExEcj2"/>
            <w:bookmarkEnd w:id="1360"/>
            <w:r>
              <w:rPr/>
              <w:t>(2)</w:t>
            </w:r>
          </w:p>
        </w:tc>
        <w:tc>
          <w:tcPr>
            <w:tcW w:w="320" w:type="dxa"/>
            <w:tcBorders/>
            <w:shd w:fill="FFFFFF" w:val="clear"/>
            <w:vAlign w:val="center"/>
          </w:tcPr>
          <w:p>
            <w:pPr>
              <w:pStyle w:val="TableContents"/>
              <w:bidi w:val="0"/>
              <w:spacing w:before="0" w:after="283"/>
              <w:jc w:val="left"/>
              <w:rPr>
                <w:position w:val="8"/>
                <w:sz w:val="19"/>
              </w:rPr>
            </w:pP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2,981</w:t>
            </w:r>
          </w:p>
        </w:tc>
        <w:tc>
          <w:tcPr>
            <w:tcW w:w="110" w:type="dxa"/>
            <w:tcBorders/>
            <w:shd w:fill="FFFFFF" w:val="clear"/>
            <w:vAlign w:val="center"/>
          </w:tcPr>
          <w:p>
            <w:pPr>
              <w:pStyle w:val="TableContents"/>
              <w:bidi w:val="0"/>
              <w:spacing w:before="0" w:after="283"/>
              <w:jc w:val="left"/>
              <w:rPr/>
            </w:pPr>
            <w:r>
              <w:rPr/>
              <w:t> </w:t>
            </w:r>
            <w:bookmarkStart w:id="1361" w:name="xdx_40B_ecustom--SalesTaxAdjustment_pn3n"/>
            <w:bookmarkEnd w:id="1361"/>
          </w:p>
        </w:tc>
      </w:tr>
      <w:tr>
        <w:trPr/>
        <w:tc>
          <w:tcPr>
            <w:tcW w:w="5015" w:type="dxa"/>
            <w:tcBorders/>
            <w:shd w:fill="CCEEFF" w:val="clear"/>
            <w:vAlign w:val="center"/>
          </w:tcPr>
          <w:p>
            <w:pPr>
              <w:pStyle w:val="TableContents"/>
              <w:bidi w:val="0"/>
              <w:spacing w:before="0" w:after="283"/>
              <w:jc w:val="left"/>
              <w:rPr/>
            </w:pPr>
            <w:r>
              <w:rPr/>
              <w:t>Sales tax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bookmarkStart w:id="1362" w:name="xdx_40B_ecustom--TransactionFees_pn3n3_z"/>
            <w:bookmarkEnd w:id="1362"/>
          </w:p>
        </w:tc>
      </w:tr>
      <w:tr>
        <w:trPr/>
        <w:tc>
          <w:tcPr>
            <w:tcW w:w="5015" w:type="dxa"/>
            <w:tcBorders/>
            <w:shd w:fill="FFFFFF" w:val="clear"/>
            <w:vAlign w:val="center"/>
          </w:tcPr>
          <w:p>
            <w:pPr>
              <w:pStyle w:val="TableContents"/>
              <w:bidi w:val="0"/>
              <w:spacing w:before="0" w:after="283"/>
              <w:jc w:val="left"/>
              <w:rPr/>
            </w:pPr>
            <w:r>
              <w:rPr/>
              <w:t>Credit card &amp; amazon transaction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501</w:t>
            </w:r>
          </w:p>
        </w:tc>
        <w:tc>
          <w:tcPr>
            <w:tcW w:w="110" w:type="dxa"/>
            <w:tcBorders/>
            <w:shd w:fill="FFFFFF" w:val="clear"/>
            <w:vAlign w:val="center"/>
          </w:tcPr>
          <w:p>
            <w:pPr>
              <w:pStyle w:val="TableContents"/>
              <w:bidi w:val="0"/>
              <w:spacing w:before="0" w:after="283"/>
              <w:jc w:val="left"/>
              <w:rPr/>
            </w:pPr>
            <w:r>
              <w:rPr/>
              <w:t> </w:t>
            </w:r>
            <w:bookmarkStart w:id="1363" w:name="xdx_401_eus-gaap--OtherGeneralAndAdminis"/>
            <w:bookmarkEnd w:id="1363"/>
          </w:p>
        </w:tc>
      </w:tr>
      <w:tr>
        <w:trPr/>
        <w:tc>
          <w:tcPr>
            <w:tcW w:w="5015" w:type="dxa"/>
            <w:tcBorders/>
            <w:shd w:fill="CCEEFF" w:val="clear"/>
            <w:vAlign w:val="center"/>
          </w:tcPr>
          <w:p>
            <w:pPr>
              <w:pStyle w:val="TableContents"/>
              <w:bidi w:val="0"/>
              <w:spacing w:before="0" w:after="283"/>
              <w:jc w:val="left"/>
              <w:rPr/>
            </w:pPr>
            <w:r>
              <w:rPr/>
              <w:t>Other general &amp;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22,490</w:t>
            </w:r>
            <w:bookmarkStart w:id="1364" w:name="xdx_F21_z5Skzgnnxl5a"/>
            <w:bookmarkEnd w:id="1364"/>
            <w:r>
              <w:rPr/>
              <w:t>(3)</w:t>
            </w:r>
          </w:p>
        </w:tc>
        <w:tc>
          <w:tcPr>
            <w:tcW w:w="320" w:type="dxa"/>
            <w:tcBorders/>
            <w:shd w:fill="CCEEFF" w:val="cle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22,490</w:t>
            </w:r>
          </w:p>
        </w:tc>
        <w:tc>
          <w:tcPr>
            <w:tcW w:w="110" w:type="dxa"/>
            <w:tcBorders/>
            <w:shd w:fill="CCEEFF" w:val="clear"/>
            <w:vAlign w:val="center"/>
          </w:tcPr>
          <w:p>
            <w:pPr>
              <w:pStyle w:val="TableContents"/>
              <w:bidi w:val="0"/>
              <w:spacing w:before="0" w:after="283"/>
              <w:jc w:val="left"/>
              <w:rPr/>
            </w:pPr>
            <w:r>
              <w:rPr/>
              <w:t> </w:t>
            </w:r>
            <w:bookmarkStart w:id="1365" w:name="xdx_409_eus-gaap--OperatingLeaseImpairme"/>
            <w:bookmarkEnd w:id="1365"/>
          </w:p>
        </w:tc>
      </w:tr>
      <w:tr>
        <w:trPr/>
        <w:tc>
          <w:tcPr>
            <w:tcW w:w="5015" w:type="dxa"/>
            <w:tcBorders/>
            <w:shd w:fill="FFFFFF" w:val="clear"/>
            <w:vAlign w:val="center"/>
          </w:tcPr>
          <w:p>
            <w:pPr>
              <w:pStyle w:val="TableContents"/>
              <w:bidi w:val="0"/>
              <w:spacing w:before="0" w:after="283"/>
              <w:jc w:val="left"/>
              <w:rPr/>
            </w:pPr>
            <w:r>
              <w:rPr/>
              <w:t>Loss on impairment of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2,667</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2,667</w:t>
            </w:r>
          </w:p>
        </w:tc>
        <w:tc>
          <w:tcPr>
            <w:tcW w:w="110" w:type="dxa"/>
            <w:tcBorders/>
            <w:shd w:fill="FFFFFF" w:val="clear"/>
            <w:vAlign w:val="center"/>
          </w:tcPr>
          <w:p>
            <w:pPr>
              <w:pStyle w:val="TableContents"/>
              <w:bidi w:val="0"/>
              <w:spacing w:before="0" w:after="283"/>
              <w:jc w:val="left"/>
              <w:rPr/>
            </w:pPr>
            <w:r>
              <w:rPr/>
              <w:t> </w:t>
            </w:r>
            <w:bookmarkStart w:id="1366" w:name="xdx_408_ecustom--Shipping_pn3n3_zxyQN57V"/>
            <w:bookmarkEnd w:id="1366"/>
          </w:p>
        </w:tc>
      </w:tr>
      <w:tr>
        <w:trPr/>
        <w:tc>
          <w:tcPr>
            <w:tcW w:w="5015" w:type="dxa"/>
            <w:tcBorders/>
            <w:shd w:fill="CCEEFF" w:val="clear"/>
            <w:vAlign w:val="center"/>
          </w:tcPr>
          <w:p>
            <w:pPr>
              <w:pStyle w:val="TableContents"/>
              <w:bidi w:val="0"/>
              <w:spacing w:before="0" w:after="283"/>
              <w:jc w:val="left"/>
              <w:rPr/>
            </w:pPr>
            <w:r>
              <w:rPr/>
              <w:t>Shipping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2,766</w:t>
            </w:r>
          </w:p>
        </w:tc>
        <w:tc>
          <w:tcPr>
            <w:tcW w:w="110" w:type="dxa"/>
            <w:tcBorders/>
            <w:shd w:fill="CCEEFF" w:val="clear"/>
            <w:vAlign w:val="center"/>
          </w:tcPr>
          <w:p>
            <w:pPr>
              <w:pStyle w:val="TableContents"/>
              <w:bidi w:val="0"/>
              <w:spacing w:before="0" w:after="283"/>
              <w:jc w:val="left"/>
              <w:rPr/>
            </w:pPr>
            <w:r>
              <w:rPr/>
              <w:t> </w:t>
            </w:r>
            <w:bookmarkStart w:id="1367" w:name="xdx_40E_ecustom--SalesAndMarketingStockC"/>
            <w:bookmarkEnd w:id="1367"/>
          </w:p>
        </w:tc>
      </w:tr>
      <w:tr>
        <w:trPr/>
        <w:tc>
          <w:tcPr>
            <w:tcW w:w="5015" w:type="dxa"/>
            <w:tcBorders/>
            <w:shd w:fill="FFFFFF" w:val="clear"/>
            <w:vAlign w:val="center"/>
          </w:tcPr>
          <w:p>
            <w:pPr>
              <w:pStyle w:val="TableContents"/>
              <w:bidi w:val="0"/>
              <w:spacing w:before="0" w:after="283"/>
              <w:jc w:val="left"/>
              <w:rPr/>
            </w:pPr>
            <w:r>
              <w:rPr/>
              <w:t>Sales and marketing stock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161</w:t>
            </w:r>
          </w:p>
        </w:tc>
        <w:tc>
          <w:tcPr>
            <w:tcW w:w="110" w:type="dxa"/>
            <w:tcBorders/>
            <w:shd w:fill="FFFFFF" w:val="clear"/>
            <w:vAlign w:val="center"/>
          </w:tcPr>
          <w:p>
            <w:pPr>
              <w:pStyle w:val="TableContents"/>
              <w:bidi w:val="0"/>
              <w:spacing w:before="0" w:after="283"/>
              <w:jc w:val="left"/>
              <w:rPr/>
            </w:pPr>
            <w:r>
              <w:rPr/>
              <w:t> </w:t>
            </w:r>
            <w:bookmarkStart w:id="1368" w:name="xdx_40E_ecustom--SalesAndMarketingWages_"/>
            <w:bookmarkEnd w:id="1368"/>
          </w:p>
        </w:tc>
      </w:tr>
      <w:tr>
        <w:trPr/>
        <w:tc>
          <w:tcPr>
            <w:tcW w:w="5015" w:type="dxa"/>
            <w:tcBorders/>
            <w:shd w:fill="CCEEFF" w:val="clear"/>
            <w:vAlign w:val="center"/>
          </w:tcPr>
          <w:p>
            <w:pPr>
              <w:pStyle w:val="TableContents"/>
              <w:bidi w:val="0"/>
              <w:spacing w:before="0" w:after="283"/>
              <w:jc w:val="left"/>
              <w:rPr/>
            </w:pPr>
            <w:r>
              <w:rPr/>
              <w:t>Sales and marketing wages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2,226</w:t>
            </w:r>
          </w:p>
        </w:tc>
        <w:tc>
          <w:tcPr>
            <w:tcW w:w="110" w:type="dxa"/>
            <w:tcBorders/>
            <w:shd w:fill="CCEEFF" w:val="clear"/>
            <w:vAlign w:val="center"/>
          </w:tcPr>
          <w:p>
            <w:pPr>
              <w:pStyle w:val="TableContents"/>
              <w:bidi w:val="0"/>
              <w:spacing w:before="0" w:after="283"/>
              <w:jc w:val="left"/>
              <w:rPr/>
            </w:pPr>
            <w:r>
              <w:rPr/>
              <w:t> </w:t>
            </w:r>
            <w:bookmarkStart w:id="1369" w:name="xdx_405_ecustom--MarketingSpend_pn3n3_zA"/>
            <w:bookmarkEnd w:id="1369"/>
          </w:p>
        </w:tc>
      </w:tr>
      <w:tr>
        <w:trPr/>
        <w:tc>
          <w:tcPr>
            <w:tcW w:w="5015" w:type="dxa"/>
            <w:tcBorders/>
            <w:shd w:fill="FFFFFF" w:val="clear"/>
            <w:vAlign w:val="center"/>
          </w:tcPr>
          <w:p>
            <w:pPr>
              <w:pStyle w:val="TableContents"/>
              <w:bidi w:val="0"/>
              <w:spacing w:before="0" w:after="283"/>
              <w:jc w:val="left"/>
              <w:rPr/>
            </w:pPr>
            <w:r>
              <w:rPr/>
              <w:t>Marketing spend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2,487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2,750</w:t>
            </w:r>
          </w:p>
        </w:tc>
        <w:tc>
          <w:tcPr>
            <w:tcW w:w="110" w:type="dxa"/>
            <w:tcBorders/>
            <w:shd w:fill="FFFFFF" w:val="clear"/>
            <w:vAlign w:val="center"/>
          </w:tcPr>
          <w:p>
            <w:pPr>
              <w:pStyle w:val="TableContents"/>
              <w:bidi w:val="0"/>
              <w:spacing w:before="0" w:after="283"/>
              <w:jc w:val="left"/>
              <w:rPr/>
            </w:pPr>
            <w:r>
              <w:rPr/>
              <w:t> </w:t>
            </w:r>
            <w:bookmarkStart w:id="1370" w:name="xdx_404_ecustom--Rent_pn3n3_zy0Jj3Er6bR6"/>
            <w:bookmarkEnd w:id="1370"/>
          </w:p>
        </w:tc>
      </w:tr>
      <w:tr>
        <w:trPr/>
        <w:tc>
          <w:tcPr>
            <w:tcW w:w="5015" w:type="dxa"/>
            <w:tcBorders/>
            <w:shd w:fill="CCEEFF" w:val="clear"/>
            <w:vAlign w:val="center"/>
          </w:tcPr>
          <w:p>
            <w:pPr>
              <w:pStyle w:val="TableContents"/>
              <w:bidi w:val="0"/>
              <w:spacing w:before="0" w:after="283"/>
              <w:jc w:val="left"/>
              <w:rPr/>
            </w:pPr>
            <w:r>
              <w:rPr/>
              <w:t>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76</w:t>
            </w:r>
          </w:p>
        </w:tc>
        <w:tc>
          <w:tcPr>
            <w:tcW w:w="110" w:type="dxa"/>
            <w:tcBorders/>
            <w:shd w:fill="CCEEFF" w:val="clear"/>
            <w:vAlign w:val="center"/>
          </w:tcPr>
          <w:p>
            <w:pPr>
              <w:pStyle w:val="TableContents"/>
              <w:bidi w:val="0"/>
              <w:spacing w:before="0" w:after="283"/>
              <w:jc w:val="left"/>
              <w:rPr/>
            </w:pPr>
            <w:r>
              <w:rPr/>
              <w:t> </w:t>
            </w:r>
            <w:bookmarkStart w:id="1371" w:name="xdx_401_ecustom--UnallocatedSalesAndMark"/>
            <w:bookmarkEnd w:id="1371"/>
          </w:p>
        </w:tc>
      </w:tr>
      <w:tr>
        <w:trPr/>
        <w:tc>
          <w:tcPr>
            <w:tcW w:w="5015" w:type="dxa"/>
            <w:tcBorders/>
            <w:shd w:fill="FFFFFF" w:val="clear"/>
            <w:vAlign w:val="center"/>
          </w:tcPr>
          <w:p>
            <w:pPr>
              <w:pStyle w:val="TableContents"/>
              <w:bidi w:val="0"/>
              <w:spacing w:before="0" w:after="283"/>
              <w:jc w:val="left"/>
              <w:rPr/>
            </w:pPr>
            <w:r>
              <w:rPr/>
              <w:t>Unallocated sales and marketing stock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57</w:t>
            </w:r>
            <w:bookmarkStart w:id="1372" w:name="xdx_F21_zApJvyetkWJl"/>
            <w:bookmarkEnd w:id="1372"/>
            <w:r>
              <w:rPr/>
              <w:t>(4)</w:t>
            </w:r>
          </w:p>
        </w:tc>
        <w:tc>
          <w:tcPr>
            <w:tcW w:w="320" w:type="dxa"/>
            <w:tcBorders/>
            <w:shd w:fill="FFFFFF" w:val="clear"/>
            <w:vAlign w:val="center"/>
          </w:tcPr>
          <w:p>
            <w:pPr>
              <w:pStyle w:val="TableContents"/>
              <w:bidi w:val="0"/>
              <w:spacing w:before="0" w:after="283"/>
              <w:jc w:val="left"/>
              <w:rPr>
                <w:position w:val="8"/>
                <w:sz w:val="19"/>
              </w:rPr>
            </w:pP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57</w:t>
            </w:r>
          </w:p>
        </w:tc>
        <w:tc>
          <w:tcPr>
            <w:tcW w:w="110" w:type="dxa"/>
            <w:tcBorders/>
            <w:shd w:fill="FFFFFF" w:val="clear"/>
            <w:vAlign w:val="center"/>
          </w:tcPr>
          <w:p>
            <w:pPr>
              <w:pStyle w:val="TableContents"/>
              <w:bidi w:val="0"/>
              <w:spacing w:before="0" w:after="283"/>
              <w:jc w:val="left"/>
              <w:rPr/>
            </w:pPr>
            <w:r>
              <w:rPr/>
              <w:t> </w:t>
            </w:r>
            <w:bookmarkStart w:id="1373" w:name="xdx_404_ecustom--UnallocatedSalesAndMark"/>
            <w:bookmarkEnd w:id="1373"/>
          </w:p>
        </w:tc>
      </w:tr>
      <w:tr>
        <w:trPr/>
        <w:tc>
          <w:tcPr>
            <w:tcW w:w="5015" w:type="dxa"/>
            <w:tcBorders/>
            <w:shd w:fill="CCEEFF" w:val="clear"/>
            <w:vAlign w:val="center"/>
          </w:tcPr>
          <w:p>
            <w:pPr>
              <w:pStyle w:val="TableContents"/>
              <w:bidi w:val="0"/>
              <w:spacing w:before="0" w:after="283"/>
              <w:jc w:val="left"/>
              <w:rPr/>
            </w:pPr>
            <w:r>
              <w:rPr/>
              <w:t>Unallocated sales and marketing wages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1,363</w:t>
            </w:r>
            <w:bookmarkStart w:id="1374" w:name="xdx_F26_zncXRjvApa7c"/>
            <w:bookmarkEnd w:id="1374"/>
            <w:r>
              <w:rPr/>
              <w:t>(4)</w:t>
            </w:r>
          </w:p>
        </w:tc>
        <w:tc>
          <w:tcPr>
            <w:tcW w:w="320" w:type="dxa"/>
            <w:tcBorders/>
            <w:shd w:fill="CCEEFF" w:val="cle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1,363</w:t>
            </w:r>
          </w:p>
        </w:tc>
        <w:tc>
          <w:tcPr>
            <w:tcW w:w="110" w:type="dxa"/>
            <w:tcBorders/>
            <w:shd w:fill="CCEEFF" w:val="clear"/>
            <w:vAlign w:val="center"/>
          </w:tcPr>
          <w:p>
            <w:pPr>
              <w:pStyle w:val="TableContents"/>
              <w:bidi w:val="0"/>
              <w:spacing w:before="0" w:after="283"/>
              <w:jc w:val="left"/>
              <w:rPr/>
            </w:pPr>
            <w:r>
              <w:rPr/>
              <w:t> </w:t>
            </w:r>
            <w:bookmarkStart w:id="1375" w:name="xdx_40C_eus-gaap--OtherSellingAndMarketi"/>
            <w:bookmarkEnd w:id="1375"/>
          </w:p>
        </w:tc>
      </w:tr>
      <w:tr>
        <w:trPr/>
        <w:tc>
          <w:tcPr>
            <w:tcW w:w="5015" w:type="dxa"/>
            <w:tcBorders/>
            <w:shd w:fill="FFFFFF" w:val="clear"/>
            <w:vAlign w:val="center"/>
          </w:tcPr>
          <w:p>
            <w:pPr>
              <w:pStyle w:val="TableContents"/>
              <w:bidi w:val="0"/>
              <w:spacing w:before="0" w:after="283"/>
              <w:jc w:val="left"/>
              <w:rPr/>
            </w:pPr>
            <w:r>
              <w:rPr/>
              <w:t>Other sales &amp;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pPr>
            <w:r>
              <w:rPr/>
              <w:t>781</w:t>
            </w:r>
            <w:bookmarkStart w:id="1376" w:name="xdx_F21_z2R7rR6mlzDg"/>
            <w:bookmarkEnd w:id="1376"/>
            <w:r>
              <w:rPr/>
              <w:t>(4)</w:t>
            </w:r>
          </w:p>
        </w:tc>
        <w:tc>
          <w:tcPr>
            <w:tcW w:w="320" w:type="dxa"/>
            <w:tcBorders/>
            <w:shd w:fill="FFFFFF" w:val="clear"/>
            <w:vAlign w:val="center"/>
          </w:tcPr>
          <w:p>
            <w:pPr>
              <w:pStyle w:val="TableContents"/>
              <w:bidi w:val="0"/>
              <w:spacing w:before="0" w:after="283"/>
              <w:jc w:val="left"/>
              <w:rPr>
                <w:position w:val="8"/>
                <w:sz w:val="19"/>
              </w:rPr>
            </w:pP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781</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77" w:name="xdx_406_eus-gaap--OperatingExpenses_pn3n"/>
            <w:bookmarkEnd w:id="1377"/>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5,768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30,339</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38,820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78" w:name="xdx_40B_eus-gaap--OperatingIncomeLoss_pn"/>
            <w:bookmarkEnd w:id="1378"/>
          </w:p>
        </w:tc>
      </w:tr>
      <w:tr>
        <w:trPr/>
        <w:tc>
          <w:tcPr>
            <w:tcW w:w="501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(29,339</w:t>
            </w:r>
          </w:p>
        </w:tc>
        <w:tc>
          <w:tcPr>
            <w:tcW w:w="32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(23,173</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79" w:name="xdx_404_eus-gaap--OtherNonoperatingIncom"/>
            <w:bookmarkEnd w:id="1379"/>
          </w:p>
        </w:tc>
      </w:tr>
      <w:tr>
        <w:trPr/>
        <w:tc>
          <w:tcPr>
            <w:tcW w:w="501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131</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131</w:t>
            </w:r>
          </w:p>
        </w:tc>
        <w:tc>
          <w:tcPr>
            <w:tcW w:w="110" w:type="dxa"/>
            <w:tcBorders/>
            <w:shd w:fill="FFFFFF" w:val="clear"/>
            <w:vAlign w:val="center"/>
          </w:tcPr>
          <w:p>
            <w:pPr>
              <w:pStyle w:val="TableContents"/>
              <w:bidi w:val="0"/>
              <w:spacing w:before="0" w:after="283"/>
              <w:jc w:val="left"/>
              <w:rPr/>
            </w:pPr>
            <w:r>
              <w:rPr/>
              <w:t> </w:t>
            </w:r>
            <w:bookmarkStart w:id="1380" w:name="xdx_40F_eus-gaap--InterestExpenseNonoper"/>
            <w:bookmarkEnd w:id="1380"/>
          </w:p>
        </w:tc>
      </w:tr>
      <w:tr>
        <w:trPr/>
        <w:tc>
          <w:tcPr>
            <w:tcW w:w="501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(20,265</w:t>
            </w:r>
          </w:p>
        </w:tc>
        <w:tc>
          <w:tcPr>
            <w:tcW w:w="32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(20,265</w:t>
            </w:r>
          </w:p>
        </w:tc>
        <w:tc>
          <w:tcPr>
            <w:tcW w:w="110" w:type="dxa"/>
            <w:tcBorders/>
            <w:shd w:fill="CCEEFF" w:val="clear"/>
            <w:vAlign w:val="center"/>
          </w:tcPr>
          <w:p>
            <w:pPr>
              <w:pStyle w:val="TableContents"/>
              <w:bidi w:val="0"/>
              <w:spacing w:before="0" w:after="283"/>
              <w:jc w:val="left"/>
              <w:rPr/>
            </w:pPr>
            <w:r>
              <w:rPr/>
              <w:t>)</w:t>
            </w:r>
            <w:bookmarkStart w:id="1381" w:name="xdx_40B_eus-gaap--GainsLossesOnExtinguis"/>
            <w:bookmarkEnd w:id="1381"/>
          </w:p>
        </w:tc>
      </w:tr>
      <w:tr>
        <w:trPr/>
        <w:tc>
          <w:tcPr>
            <w:tcW w:w="5015" w:type="dxa"/>
            <w:tcBorders/>
            <w:shd w:fill="FFFFFF" w:val="clear"/>
            <w:vAlign w:val="center"/>
          </w:tcPr>
          <w:p>
            <w:pPr>
              <w:pStyle w:val="TableContents"/>
              <w:bidi w:val="0"/>
              <w:spacing w:before="0" w:after="283"/>
              <w:jc w:val="left"/>
              <w:rPr/>
            </w:pPr>
            <w:r>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(31,843</w:t>
            </w:r>
          </w:p>
        </w:tc>
        <w:tc>
          <w:tcPr>
            <w:tcW w:w="32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(31,843</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82" w:name="xdx_40D_eus-gaap--FairValueAdjustmentOfW"/>
            <w:bookmarkEnd w:id="1382"/>
          </w:p>
        </w:tc>
      </w:tr>
      <w:tr>
        <w:trPr/>
        <w:tc>
          <w:tcPr>
            <w:tcW w:w="5015" w:type="dxa"/>
            <w:tcBorders/>
            <w:shd w:fill="FFFFFF" w:val="clear"/>
            <w:vAlign w:val="center"/>
          </w:tcPr>
          <w:p>
            <w:pPr>
              <w:pStyle w:val="TableContents"/>
              <w:bidi w:val="0"/>
              <w:spacing w:before="0" w:after="283"/>
              <w:jc w:val="left"/>
              <w:rPr/>
            </w:pPr>
            <w:r>
              <w:rPr/>
              <w:t>Change in FMV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pPr>
            <w:r>
              <w:rPr/>
              <w:t>5,117</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5,117</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83" w:name="xdx_40F_eus-gaap--NonoperatingIncomeExpe"/>
            <w:bookmarkEnd w:id="1383"/>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(46,860</w:t>
            </w:r>
            <w:bookmarkStart w:id="1384" w:name="xdx_F26_znNfWfYDNp5c"/>
            <w:bookmarkEnd w:id="1384"/>
            <w:r>
              <w:rPr/>
              <w:t>(5)</w:t>
            </w:r>
          </w:p>
        </w:tc>
        <w:tc>
          <w:tcPr>
            <w:tcW w:w="320" w:type="dxa"/>
            <w:tcBorders/>
            <w:shd w:fill="FFFFFF" w:val="clear"/>
            <w:vAlign w:val="center"/>
          </w:tcPr>
          <w:p>
            <w:pPr>
              <w:pStyle w:val="TableContents"/>
              <w:bidi w:val="0"/>
              <w:spacing w:before="0" w:after="283"/>
              <w:jc w:val="left"/>
              <w:rPr/>
            </w:pPr>
            <w:r>
              <w:rPr/>
              <w:t>)</w:t>
            </w:r>
            <w:r>
              <w:rPr>
                <w:position w:val="8"/>
                <w:sz w:val="19"/>
              </w:rPr>
              <w:t>(5)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(46,860</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85" w:name="xdx_40F_eus-gaap--IncomeLossFromContinui"/>
            <w:bookmarkEnd w:id="1385"/>
          </w:p>
        </w:tc>
      </w:tr>
      <w:tr>
        <w:trPr/>
        <w:tc>
          <w:tcPr>
            <w:tcW w:w="5015" w:type="dxa"/>
            <w:tcBorders/>
            <w:shd w:fill="FFFFFF" w:val="clear"/>
            <w:vAlign w:val="center"/>
          </w:tcPr>
          <w:p>
            <w:pPr>
              <w:pStyle w:val="TableContents"/>
              <w:bidi w:val="0"/>
              <w:spacing w:before="0" w:after="283"/>
              <w:jc w:val="left"/>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(953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7,119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pPr>
            <w:r>
              <w:rPr/>
              <w:t>(76,199</w:t>
            </w:r>
          </w:p>
        </w:tc>
        <w:tc>
          <w:tcPr>
            <w:tcW w:w="32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(70,033</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86" w:name="xdx_409_eus-gaap--IncomeTaxExpenseBenefi"/>
            <w:bookmarkEnd w:id="1386"/>
          </w:p>
        </w:tc>
      </w:tr>
      <w:tr>
        <w:trPr/>
        <w:tc>
          <w:tcPr>
            <w:tcW w:w="5015" w:type="dxa"/>
            <w:tcBorders/>
            <w:shd w:fill="FFFFFF" w:val="clear"/>
            <w:vAlign w:val="center"/>
          </w:tcPr>
          <w:p>
            <w:pPr>
              <w:pStyle w:val="TableContents"/>
              <w:bidi w:val="0"/>
              <w:spacing w:before="0" w:after="283"/>
              <w:jc w:val="left"/>
              <w:rPr>
                <w:b/>
              </w:rPr>
            </w:pPr>
            <w:r>
              <w:rPr>
                <w:b/>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pPr>
            <w:r>
              <w:rPr/>
              <w:t>(94</w:t>
            </w:r>
          </w:p>
        </w:tc>
        <w:tc>
          <w:tcPr>
            <w:tcW w:w="32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(94</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87" w:name="xdx_40D_eus-gaap--NetIncomeLoss_pn3n3_zk"/>
            <w:bookmarkEnd w:id="1387"/>
          </w:p>
        </w:tc>
      </w:tr>
      <w:tr>
        <w:trPr/>
        <w:tc>
          <w:tcPr>
            <w:tcW w:w="5015"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(953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7,119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pPr>
            <w:r>
              <w:rPr/>
              <w:t>(76,105</w:t>
            </w:r>
          </w:p>
        </w:tc>
        <w:tc>
          <w:tcPr>
            <w:tcW w:w="32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(69,939</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i/>
              </w:rPr>
            </w:pPr>
            <w:r>
              <w:rPr>
                <w:i/>
              </w:rPr>
              <w:t>Reconciliation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88" w:name="xdx_406_ecustom--NetIncomeLossReconcilin"/>
            <w:bookmarkEnd w:id="1388"/>
          </w:p>
        </w:tc>
      </w:tr>
      <w:tr>
        <w:trPr/>
        <w:tc>
          <w:tcPr>
            <w:tcW w:w="5015" w:type="dxa"/>
            <w:tcBorders/>
            <w:shd w:fill="CCEEFF" w:val="clear"/>
            <w:vAlign w:val="center"/>
          </w:tcPr>
          <w:p>
            <w:pPr>
              <w:pStyle w:val="TableContents"/>
              <w:bidi w:val="0"/>
              <w:spacing w:before="0" w:after="283"/>
              <w:jc w:val="left"/>
              <w:rPr/>
            </w:pPr>
            <w:r>
              <w:rPr/>
              <w:t>Reconciling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389" w:name="xdx_403_eus-gaap--ProfitLoss_pn3n3_zKozY"/>
            <w:bookmarkEnd w:id="1389"/>
          </w:p>
        </w:tc>
      </w:tr>
      <w:tr>
        <w:trPr/>
        <w:tc>
          <w:tcPr>
            <w:tcW w:w="5015" w:type="dxa"/>
            <w:tcBorders/>
            <w:shd w:fill="FFFFFF" w:val="clear"/>
            <w:vAlign w:val="center"/>
          </w:tcPr>
          <w:p>
            <w:pPr>
              <w:pStyle w:val="TableContents"/>
              <w:bidi w:val="0"/>
              <w:spacing w:before="0" w:after="283"/>
              <w:jc w:val="left"/>
              <w:rPr/>
            </w:pPr>
            <w:r>
              <w:rPr/>
              <w:t>Consolidated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(69,939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rPr>
      </w:pPr>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14 - Reportable Segments (continued)</w:t>
      </w:r>
    </w:p>
    <w:p>
      <w:pPr>
        <w:pStyle w:val="TextBody"/>
        <w:bidi w:val="0"/>
        <w:spacing w:before="0" w:after="0"/>
        <w:ind w:left="0" w:right="0" w:hanging="0"/>
        <w:jc w:val="both"/>
        <w:rPr>
          <w:caps/>
        </w:rPr>
      </w:pPr>
      <w:r>
        <w:rPr>
          <w:caps/>
        </w:rPr>
        <w:t> </w:t>
      </w:r>
    </w:p>
    <w:tbl>
      <w:tblPr>
        <w:tblW w:w="6963" w:type="dxa"/>
        <w:jc w:val="left"/>
        <w:tblInd w:w="0" w:type="dxa"/>
        <w:tblLayout w:type="fixed"/>
        <w:tblCellMar>
          <w:top w:w="0" w:type="dxa"/>
          <w:left w:w="0" w:type="dxa"/>
          <w:bottom w:w="0" w:type="dxa"/>
          <w:right w:w="0" w:type="dxa"/>
        </w:tblCellMar>
      </w:tblPr>
      <w:tblGrid>
        <w:gridCol w:w="260"/>
        <w:gridCol w:w="23"/>
        <w:gridCol w:w="668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390" w:name="xdx_F09_zGdKUiS0uokb"/>
            <w:bookmarkEnd w:id="1390"/>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6680" w:type="dxa"/>
            <w:tcBorders/>
            <w:vAlign w:val="center"/>
          </w:tcPr>
          <w:p>
            <w:pPr>
              <w:pStyle w:val="TableContents"/>
              <w:bidi w:val="0"/>
              <w:spacing w:before="0" w:after="283"/>
              <w:jc w:val="both"/>
              <w:rPr>
                <w:rFonts w:ascii="Times New Roman;Times;Serif" w:hAnsi="Times New Roman;Times;Serif"/>
                <w:sz w:val="20"/>
              </w:rPr>
            </w:pPr>
            <w:bookmarkStart w:id="1391" w:name="xdx_F1E_zyR8BWgGh5Oa"/>
            <w:bookmarkEnd w:id="1391"/>
            <w:r>
              <w:rPr>
                <w:rFonts w:ascii="Times New Roman;Times;Serif" w:hAnsi="Times New Roman;Times;Serif"/>
                <w:sz w:val="20"/>
              </w:rPr>
              <w:t>Licensing Revenue which is not considered a segment as it is currently immaterial</w:t>
            </w:r>
          </w:p>
        </w:tc>
      </w:tr>
    </w:tbl>
    <w:tbl>
      <w:tblPr>
        <w:tblW w:w="7383" w:type="dxa"/>
        <w:jc w:val="left"/>
        <w:tblInd w:w="0" w:type="dxa"/>
        <w:tblLayout w:type="fixed"/>
        <w:tblCellMar>
          <w:top w:w="0" w:type="dxa"/>
          <w:left w:w="0" w:type="dxa"/>
          <w:bottom w:w="0" w:type="dxa"/>
          <w:right w:w="0" w:type="dxa"/>
        </w:tblCellMar>
      </w:tblPr>
      <w:tblGrid>
        <w:gridCol w:w="260"/>
        <w:gridCol w:w="23"/>
        <w:gridCol w:w="710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392" w:name="xdx_F05_zwWT6Dnes24i"/>
            <w:bookmarkEnd w:id="1392"/>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vAlign w:val="center"/>
          </w:tcPr>
          <w:p>
            <w:pPr>
              <w:pStyle w:val="TableContents"/>
              <w:bidi w:val="0"/>
              <w:spacing w:before="0" w:after="283"/>
              <w:jc w:val="both"/>
              <w:rPr>
                <w:rFonts w:ascii="Times New Roman;Times;Serif" w:hAnsi="Times New Roman;Times;Serif"/>
                <w:sz w:val="20"/>
              </w:rPr>
            </w:pPr>
            <w:bookmarkStart w:id="1393" w:name="xdx_F17_zxi9pfPc3lN3"/>
            <w:bookmarkEnd w:id="1393"/>
            <w:r>
              <w:rPr>
                <w:rFonts w:ascii="Times New Roman;Times;Serif" w:hAnsi="Times New Roman;Times;Serif"/>
                <w:sz w:val="20"/>
              </w:rPr>
              <w:t>Research and Development expenses including employee costs related to new products</w:t>
            </w:r>
          </w:p>
        </w:tc>
      </w:tr>
    </w:tbl>
    <w:tbl>
      <w:tblPr>
        <w:tblW w:w="10205" w:type="dxa"/>
        <w:jc w:val="left"/>
        <w:tblInd w:w="0" w:type="dxa"/>
        <w:tblLayout w:type="fixed"/>
        <w:tblCellMar>
          <w:top w:w="0" w:type="dxa"/>
          <w:left w:w="0" w:type="dxa"/>
          <w:bottom w:w="0" w:type="dxa"/>
          <w:right w:w="0" w:type="dxa"/>
        </w:tblCellMar>
      </w:tblPr>
      <w:tblGrid>
        <w:gridCol w:w="246"/>
        <w:gridCol w:w="23"/>
        <w:gridCol w:w="9936"/>
      </w:tblGrid>
      <w:tr>
        <w:trPr/>
        <w:tc>
          <w:tcPr>
            <w:tcW w:w="246" w:type="dxa"/>
            <w:tcBorders/>
            <w:vAlign w:val="center"/>
          </w:tcPr>
          <w:p>
            <w:pPr>
              <w:pStyle w:val="TableContents"/>
              <w:bidi w:val="0"/>
              <w:spacing w:before="0" w:after="283"/>
              <w:jc w:val="right"/>
              <w:rPr>
                <w:rFonts w:ascii="Times New Roman;Times;Serif" w:hAnsi="Times New Roman;Times;Serif"/>
                <w:sz w:val="20"/>
              </w:rPr>
            </w:pPr>
            <w:bookmarkStart w:id="1394" w:name="xdx_F09_zZbpLymyXjS8"/>
            <w:bookmarkEnd w:id="1394"/>
            <w:r>
              <w:rPr>
                <w:rFonts w:ascii="Times New Roman;Times;Serif" w:hAnsi="Times New Roman;Times;Serif"/>
                <w:sz w:val="20"/>
              </w:rPr>
              <w:t>(3)</w:t>
            </w:r>
          </w:p>
        </w:tc>
        <w:tc>
          <w:tcPr>
            <w:tcW w:w="23" w:type="dxa"/>
            <w:tcBorders/>
            <w:vAlign w:val="center"/>
          </w:tcPr>
          <w:p>
            <w:pPr>
              <w:pStyle w:val="TableContents"/>
              <w:bidi w:val="0"/>
              <w:spacing w:before="0" w:after="283"/>
              <w:jc w:val="left"/>
              <w:rPr>
                <w:sz w:val="4"/>
                <w:szCs w:val="4"/>
              </w:rPr>
            </w:pPr>
            <w:r>
              <w:rPr>
                <w:sz w:val="4"/>
                <w:szCs w:val="4"/>
              </w:rPr>
            </w:r>
          </w:p>
        </w:tc>
        <w:tc>
          <w:tcPr>
            <w:tcW w:w="9936" w:type="dxa"/>
            <w:tcBorders/>
            <w:vAlign w:val="center"/>
          </w:tcPr>
          <w:p>
            <w:pPr>
              <w:pStyle w:val="TableContents"/>
              <w:bidi w:val="0"/>
              <w:spacing w:before="0" w:after="283"/>
              <w:jc w:val="both"/>
              <w:rPr>
                <w:rFonts w:ascii="Times New Roman;Times;Serif" w:hAnsi="Times New Roman;Times;Serif"/>
                <w:sz w:val="20"/>
              </w:rPr>
            </w:pPr>
            <w:bookmarkStart w:id="1395" w:name="xdx_F1B_zH8a8VDdo8C4"/>
            <w:bookmarkEnd w:id="1395"/>
            <w:r>
              <w:rPr>
                <w:rFonts w:ascii="Times New Roman;Times;Serif" w:hAnsi="Times New Roman;Times;Serif"/>
                <w:sz w:val="20"/>
              </w:rPr>
              <w:t>Administrative and Engineering employee costs along with legal, insurance, professional fees related to administration and other general office expenses</w:t>
            </w:r>
          </w:p>
        </w:tc>
      </w:tr>
    </w:tbl>
    <w:tbl>
      <w:tblPr>
        <w:tblW w:w="6273" w:type="dxa"/>
        <w:jc w:val="left"/>
        <w:tblInd w:w="0" w:type="dxa"/>
        <w:tblLayout w:type="fixed"/>
        <w:tblCellMar>
          <w:top w:w="0" w:type="dxa"/>
          <w:left w:w="0" w:type="dxa"/>
          <w:bottom w:w="0" w:type="dxa"/>
          <w:right w:w="0" w:type="dxa"/>
        </w:tblCellMar>
      </w:tblPr>
      <w:tblGrid>
        <w:gridCol w:w="260"/>
        <w:gridCol w:w="23"/>
        <w:gridCol w:w="599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396" w:name="xdx_F0F_zrJLBYQXP4de"/>
            <w:bookmarkEnd w:id="1396"/>
            <w:r>
              <w:rPr>
                <w:rFonts w:ascii="Times New Roman;Times;Serif" w:hAnsi="Times New Roman;Times;Serif"/>
                <w:sz w:val="20"/>
              </w:rPr>
              <w:t>(4)</w:t>
            </w:r>
          </w:p>
        </w:tc>
        <w:tc>
          <w:tcPr>
            <w:tcW w:w="23" w:type="dxa"/>
            <w:tcBorders/>
            <w:vAlign w:val="center"/>
          </w:tcPr>
          <w:p>
            <w:pPr>
              <w:pStyle w:val="TableContents"/>
              <w:bidi w:val="0"/>
              <w:spacing w:before="0" w:after="283"/>
              <w:jc w:val="left"/>
              <w:rPr>
                <w:sz w:val="4"/>
                <w:szCs w:val="4"/>
              </w:rPr>
            </w:pPr>
            <w:r>
              <w:rPr>
                <w:sz w:val="4"/>
                <w:szCs w:val="4"/>
              </w:rPr>
            </w:r>
          </w:p>
        </w:tc>
        <w:tc>
          <w:tcPr>
            <w:tcW w:w="5990" w:type="dxa"/>
            <w:tcBorders/>
            <w:vAlign w:val="center"/>
          </w:tcPr>
          <w:p>
            <w:pPr>
              <w:pStyle w:val="TableContents"/>
              <w:bidi w:val="0"/>
              <w:spacing w:before="0" w:after="283"/>
              <w:jc w:val="both"/>
              <w:rPr>
                <w:rFonts w:ascii="Times New Roman;Times;Serif" w:hAnsi="Times New Roman;Times;Serif"/>
                <w:sz w:val="20"/>
              </w:rPr>
            </w:pPr>
            <w:bookmarkStart w:id="1397" w:name="xdx_F1D_zRwFNd6xcdcc"/>
            <w:bookmarkEnd w:id="1397"/>
            <w:r>
              <w:rPr>
                <w:rFonts w:ascii="Times New Roman;Times;Serif" w:hAnsi="Times New Roman;Times;Serif"/>
                <w:sz w:val="20"/>
              </w:rPr>
              <w:t>General sales and marketing employee cost and other marketing expenses</w:t>
            </w:r>
          </w:p>
        </w:tc>
      </w:tr>
    </w:tbl>
    <w:tbl>
      <w:tblPr>
        <w:tblW w:w="10205" w:type="dxa"/>
        <w:jc w:val="left"/>
        <w:tblInd w:w="0" w:type="dxa"/>
        <w:tblLayout w:type="fixed"/>
        <w:tblCellMar>
          <w:top w:w="0" w:type="dxa"/>
          <w:left w:w="0" w:type="dxa"/>
          <w:bottom w:w="0" w:type="dxa"/>
          <w:right w:w="0" w:type="dxa"/>
        </w:tblCellMar>
      </w:tblPr>
      <w:tblGrid>
        <w:gridCol w:w="258"/>
        <w:gridCol w:w="23"/>
        <w:gridCol w:w="9924"/>
      </w:tblGrid>
      <w:tr>
        <w:trPr/>
        <w:tc>
          <w:tcPr>
            <w:tcW w:w="258" w:type="dxa"/>
            <w:tcBorders/>
            <w:vAlign w:val="center"/>
          </w:tcPr>
          <w:p>
            <w:pPr>
              <w:pStyle w:val="TableContents"/>
              <w:bidi w:val="0"/>
              <w:spacing w:before="0" w:after="283"/>
              <w:jc w:val="right"/>
              <w:rPr>
                <w:rFonts w:ascii="Times New Roman;Times;Serif" w:hAnsi="Times New Roman;Times;Serif"/>
                <w:sz w:val="20"/>
              </w:rPr>
            </w:pPr>
            <w:bookmarkStart w:id="1398" w:name="xdx_F07_zUPhcQYUd2wj"/>
            <w:bookmarkEnd w:id="1398"/>
            <w:r>
              <w:rPr>
                <w:rFonts w:ascii="Times New Roman;Times;Serif" w:hAnsi="Times New Roman;Times;Serif"/>
                <w:sz w:val="20"/>
              </w:rPr>
              <w:t>(5)</w:t>
            </w:r>
          </w:p>
        </w:tc>
        <w:tc>
          <w:tcPr>
            <w:tcW w:w="23" w:type="dxa"/>
            <w:tcBorders/>
            <w:vAlign w:val="center"/>
          </w:tcPr>
          <w:p>
            <w:pPr>
              <w:pStyle w:val="TableContents"/>
              <w:bidi w:val="0"/>
              <w:spacing w:before="0" w:after="283"/>
              <w:jc w:val="left"/>
              <w:rPr>
                <w:sz w:val="4"/>
                <w:szCs w:val="4"/>
              </w:rPr>
            </w:pPr>
            <w:r>
              <w:rPr>
                <w:sz w:val="4"/>
                <w:szCs w:val="4"/>
              </w:rPr>
            </w:r>
          </w:p>
        </w:tc>
        <w:tc>
          <w:tcPr>
            <w:tcW w:w="9924" w:type="dxa"/>
            <w:tcBorders/>
            <w:vAlign w:val="center"/>
          </w:tcPr>
          <w:p>
            <w:pPr>
              <w:pStyle w:val="TableContents"/>
              <w:bidi w:val="0"/>
              <w:spacing w:before="0" w:after="283"/>
              <w:jc w:val="both"/>
              <w:rPr>
                <w:rFonts w:ascii="Times New Roman;Times;Serif" w:hAnsi="Times New Roman;Times;Serif"/>
                <w:sz w:val="20"/>
              </w:rPr>
            </w:pPr>
            <w:bookmarkStart w:id="1399" w:name="xdx_F1D_zsjTcCk28Lmh"/>
            <w:bookmarkEnd w:id="1399"/>
            <w:r>
              <w:rPr>
                <w:rFonts w:ascii="Times New Roman;Times;Serif" w:hAnsi="Times New Roman;Times;Serif"/>
                <w:sz w:val="20"/>
              </w:rPr>
              <w:t>Interest expense related to debt, change in fair market value of warrant liability, and loss on extinguishment of long-term debt</w:t>
            </w:r>
          </w:p>
        </w:tc>
      </w:tr>
    </w:tbl>
    <w:p>
      <w:pPr>
        <w:pStyle w:val="TextBody"/>
        <w:bidi w:val="0"/>
        <w:spacing w:before="0" w:after="0"/>
        <w:ind w:left="0" w:right="0" w:hanging="0"/>
        <w:jc w:val="both"/>
        <w:rPr>
          <w:caps w:val="false"/>
          <w:smallCaps w:val="false"/>
        </w:rPr>
      </w:pPr>
      <w:bookmarkStart w:id="1400" w:name="xdx_8A7_zFdNn17Q0Wea"/>
      <w:bookmarkEnd w:id="140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customer revenues from the Company’s DTC segment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one customer of the Company’s OEM segment represents approximately $</w:t>
      </w:r>
      <w:bookmarkStart w:id="1401" w:name="xdx_900_eus-gaap--RevenueFromContractWit"/>
      <w:bookmarkEnd w:id="1401"/>
      <w:r>
        <w:rPr>
          <w:rFonts w:ascii="Times New Roman;Times;Serif" w:hAnsi="Times New Roman;Times;Serif"/>
          <w:b w:val="false"/>
          <w:i w:val="false"/>
          <w:caps w:val="false"/>
          <w:smallCaps w:val="false"/>
          <w:sz w:val="20"/>
        </w:rPr>
        <w:t xml:space="preserve">15,728, or </w:t>
      </w:r>
      <w:bookmarkStart w:id="1402" w:name="xdx_90A_eus-gaap--RevenueRemainingPerfor"/>
      <w:bookmarkEnd w:id="1402"/>
      <w:r>
        <w:rPr>
          <w:rFonts w:ascii="Times New Roman;Times;Serif" w:hAnsi="Times New Roman;Times;Serif"/>
          <w:b w:val="false"/>
          <w:i w:val="false"/>
          <w:caps w:val="false"/>
          <w:smallCaps w:val="false"/>
          <w:sz w:val="20"/>
        </w:rPr>
        <w:t>27%, of the Company’s consolidated revenues for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14 - Reportable Segments (continued)</w:t>
      </w:r>
    </w:p>
    <w:p>
      <w:pPr>
        <w:pStyle w:val="TextBody"/>
        <w:bidi w:val="0"/>
        <w:spacing w:before="0" w:after="0"/>
        <w:ind w:left="0" w:right="0" w:hanging="0"/>
        <w:jc w:val="both"/>
        <w:rPr>
          <w:caps/>
        </w:rPr>
      </w:pPr>
      <w:r>
        <w:rPr>
          <w:caps/>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reportable segments information as of December 31, 2024:</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03" w:name="xdx_302_134_zEhKmvJXNJ7k"/>
      <w:bookmarkStart w:id="1404" w:name="xdx_302_134_zEhKmvJXNJ7k"/>
      <w:bookmarkEnd w:id="1404"/>
    </w:p>
    <w:tbl>
      <w:tblPr>
        <w:tblW w:w="9540" w:type="dxa"/>
        <w:jc w:val="left"/>
        <w:tblInd w:w="0" w:type="dxa"/>
        <w:tblLayout w:type="fixed"/>
        <w:tblCellMar>
          <w:top w:w="0" w:type="dxa"/>
          <w:left w:w="0" w:type="dxa"/>
          <w:bottom w:w="0" w:type="dxa"/>
          <w:right w:w="0" w:type="dxa"/>
        </w:tblCellMar>
      </w:tblPr>
      <w:tblGrid>
        <w:gridCol w:w="5015"/>
        <w:gridCol w:w="60"/>
        <w:gridCol w:w="140"/>
        <w:gridCol w:w="680"/>
        <w:gridCol w:w="95"/>
        <w:gridCol w:w="60"/>
        <w:gridCol w:w="140"/>
        <w:gridCol w:w="680"/>
        <w:gridCol w:w="60"/>
        <w:gridCol w:w="60"/>
        <w:gridCol w:w="140"/>
        <w:gridCol w:w="1025"/>
        <w:gridCol w:w="320"/>
        <w:gridCol w:w="60"/>
        <w:gridCol w:w="140"/>
        <w:gridCol w:w="755"/>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05" w:name="xdx_497_20240101__20241231__us-gaap--Sta"/>
            <w:bookmarkEnd w:id="1405"/>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DTC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06" w:name="xdx_49F_20240101__20241231__us-gaap--Sta"/>
            <w:bookmarkEnd w:id="1406"/>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OEM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07" w:name="xdx_490_20240101__20241231__us-gaap--Sta"/>
            <w:bookmarkEnd w:id="1407"/>
          </w:p>
        </w:tc>
        <w:tc>
          <w:tcPr>
            <w:tcW w:w="11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08" w:name="xdx_499_20240101__20241231_zJ7WzZRm0lW"/>
            <w:bookmarkEnd w:id="1408"/>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409" w:name="xdx_404_eus-gaap--RevenueFromContractWit"/>
            <w:bookmarkEnd w:id="1409"/>
          </w:p>
        </w:tc>
      </w:tr>
      <w:tr>
        <w:trPr/>
        <w:tc>
          <w:tcPr>
            <w:tcW w:w="5015"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22,616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27,612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417</w:t>
            </w:r>
            <w:bookmarkStart w:id="1410" w:name="xdx_F2D_z0r1qIBq5Gq6"/>
            <w:bookmarkEnd w:id="1410"/>
            <w:r>
              <w:rPr/>
              <w:t>(1)</w:t>
            </w:r>
          </w:p>
        </w:tc>
        <w:tc>
          <w:tcPr>
            <w:tcW w:w="320"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50,645</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i/>
              </w:rPr>
            </w:pPr>
            <w:r>
              <w:rPr>
                <w:i/>
              </w:rPr>
              <w:t>Reconciliation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11" w:name="xdx_400_ecustom--ReconciliationOfNetSale"/>
            <w:bookmarkEnd w:id="1411"/>
          </w:p>
        </w:tc>
      </w:tr>
      <w:tr>
        <w:trPr/>
        <w:tc>
          <w:tcPr>
            <w:tcW w:w="5015" w:type="dxa"/>
            <w:tcBorders/>
            <w:shd w:fill="FFFFFF" w:val="clear"/>
            <w:vAlign w:val="center"/>
          </w:tcPr>
          <w:p>
            <w:pPr>
              <w:pStyle w:val="TableContents"/>
              <w:bidi w:val="0"/>
              <w:spacing w:before="0" w:after="283"/>
              <w:jc w:val="left"/>
              <w:rPr/>
            </w:pPr>
            <w:r>
              <w:rPr/>
              <w:t>Reconciling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412" w:name="xdx_40C_eus-gaap--Revenues_pn3n3_z3iWUF2"/>
            <w:bookmarkEnd w:id="1412"/>
          </w:p>
        </w:tc>
      </w:tr>
      <w:tr>
        <w:trPr/>
        <w:tc>
          <w:tcPr>
            <w:tcW w:w="5015" w:type="dxa"/>
            <w:tcBorders/>
            <w:shd w:fill="CCEEFF" w:val="clear"/>
            <w:vAlign w:val="center"/>
          </w:tcPr>
          <w:p>
            <w:pPr>
              <w:pStyle w:val="TableContents"/>
              <w:bidi w:val="0"/>
              <w:spacing w:before="0" w:after="283"/>
              <w:jc w:val="left"/>
              <w:rPr/>
            </w:pPr>
            <w:r>
              <w:rPr/>
              <w:t>Consolidated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50,645</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13" w:name="xdx_403_eus-gaap--CostDirectMaterial_pn3"/>
            <w:bookmarkEnd w:id="1413"/>
          </w:p>
        </w:tc>
      </w:tr>
      <w:tr>
        <w:trPr/>
        <w:tc>
          <w:tcPr>
            <w:tcW w:w="5015" w:type="dxa"/>
            <w:tcBorders/>
            <w:shd w:fill="CCEEFF" w:val="clear"/>
            <w:vAlign w:val="center"/>
          </w:tcPr>
          <w:p>
            <w:pPr>
              <w:pStyle w:val="TableContents"/>
              <w:bidi w:val="0"/>
              <w:spacing w:before="0" w:after="283"/>
              <w:jc w:val="left"/>
              <w:rPr/>
            </w:pPr>
            <w:r>
              <w:rPr/>
              <w:t>Direct material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32,223</w:t>
            </w:r>
          </w:p>
        </w:tc>
        <w:tc>
          <w:tcPr>
            <w:tcW w:w="110" w:type="dxa"/>
            <w:tcBorders/>
            <w:shd w:fill="CCEEFF" w:val="clear"/>
            <w:vAlign w:val="center"/>
          </w:tcPr>
          <w:p>
            <w:pPr>
              <w:pStyle w:val="TableContents"/>
              <w:bidi w:val="0"/>
              <w:spacing w:before="0" w:after="283"/>
              <w:jc w:val="left"/>
              <w:rPr/>
            </w:pPr>
            <w:r>
              <w:rPr/>
              <w:t> </w:t>
            </w:r>
            <w:bookmarkStart w:id="1414" w:name="xdx_408_eus-gaap--CostDirectLabor_pn3n3_"/>
            <w:bookmarkEnd w:id="1414"/>
          </w:p>
        </w:tc>
      </w:tr>
      <w:tr>
        <w:trPr/>
        <w:tc>
          <w:tcPr>
            <w:tcW w:w="5015" w:type="dxa"/>
            <w:tcBorders/>
            <w:shd w:fill="FFFFFF" w:val="clear"/>
            <w:vAlign w:val="center"/>
          </w:tcPr>
          <w:p>
            <w:pPr>
              <w:pStyle w:val="TableContents"/>
              <w:bidi w:val="0"/>
              <w:spacing w:before="0" w:after="283"/>
              <w:jc w:val="left"/>
              <w:rPr/>
            </w:pPr>
            <w:r>
              <w:rPr/>
              <w:t>Direct labor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3,291</w:t>
            </w:r>
          </w:p>
        </w:tc>
        <w:tc>
          <w:tcPr>
            <w:tcW w:w="110" w:type="dxa"/>
            <w:tcBorders/>
            <w:shd w:fill="FFFFFF" w:val="clear"/>
            <w:vAlign w:val="center"/>
          </w:tcPr>
          <w:p>
            <w:pPr>
              <w:pStyle w:val="TableContents"/>
              <w:bidi w:val="0"/>
              <w:spacing w:before="0" w:after="283"/>
              <w:jc w:val="left"/>
              <w:rPr/>
            </w:pPr>
            <w:r>
              <w:rPr/>
              <w:t> </w:t>
            </w:r>
            <w:bookmarkStart w:id="1415" w:name="xdx_402_eus-gaap--CostOfGoodsAndServices"/>
            <w:bookmarkEnd w:id="1415"/>
          </w:p>
        </w:tc>
      </w:tr>
      <w:tr>
        <w:trPr/>
        <w:tc>
          <w:tcPr>
            <w:tcW w:w="5015" w:type="dxa"/>
            <w:tcBorders/>
            <w:shd w:fill="CCEEFF" w:val="clear"/>
            <w:vAlign w:val="center"/>
          </w:tcPr>
          <w:p>
            <w:pPr>
              <w:pStyle w:val="TableContents"/>
              <w:bidi w:val="0"/>
              <w:spacing w:before="0" w:after="283"/>
              <w:jc w:val="left"/>
              <w:rPr/>
            </w:pPr>
            <w:r>
              <w:rPr/>
              <w:t>Direct overhead and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3,505</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16" w:name="xdx_401_eus-gaap--CostOfGoodsAndServices"/>
            <w:bookmarkEnd w:id="1416"/>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39,019</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17" w:name="xdx_405_eus-gaap--GrossProfit_pn3n3_zPHx"/>
            <w:bookmarkEnd w:id="1417"/>
          </w:p>
        </w:tc>
      </w:tr>
      <w:tr>
        <w:trPr/>
        <w:tc>
          <w:tcPr>
            <w:tcW w:w="501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5,739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417</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11,626</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18" w:name="xdx_403_eus-gaap--ResearchAndDevelopment"/>
            <w:bookmarkEnd w:id="1418"/>
          </w:p>
        </w:tc>
      </w:tr>
      <w:tr>
        <w:trPr/>
        <w:tc>
          <w:tcPr>
            <w:tcW w:w="5015" w:type="dxa"/>
            <w:tcBorders/>
            <w:shd w:fill="FFFFFF" w:val="clear"/>
            <w:vAlign w:val="center"/>
          </w:tcPr>
          <w:p>
            <w:pPr>
              <w:pStyle w:val="TableContents"/>
              <w:bidi w:val="0"/>
              <w:spacing w:before="0" w:after="283"/>
              <w:jc w:val="left"/>
              <w:rPr/>
            </w:pPr>
            <w:r>
              <w:rPr/>
              <w:t>Research &amp;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5,451</w:t>
            </w:r>
            <w:bookmarkStart w:id="1419" w:name="xdx_F2D_zi6VJEIFSM75"/>
            <w:bookmarkEnd w:id="1419"/>
            <w:r>
              <w:rPr/>
              <w:t>(2)</w:t>
            </w:r>
          </w:p>
        </w:tc>
        <w:tc>
          <w:tcPr>
            <w:tcW w:w="320" w:type="dxa"/>
            <w:tcBorders/>
            <w:shd w:fill="FFFFFF" w:val="clear"/>
            <w:vAlign w:val="center"/>
          </w:tcPr>
          <w:p>
            <w:pPr>
              <w:pStyle w:val="TableContents"/>
              <w:bidi w:val="0"/>
              <w:spacing w:before="0" w:after="283"/>
              <w:jc w:val="left"/>
              <w:rPr>
                <w:position w:val="8"/>
                <w:sz w:val="19"/>
              </w:rPr>
            </w:pP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5,451</w:t>
            </w:r>
          </w:p>
        </w:tc>
        <w:tc>
          <w:tcPr>
            <w:tcW w:w="110" w:type="dxa"/>
            <w:tcBorders/>
            <w:shd w:fill="FFFFFF" w:val="clear"/>
            <w:vAlign w:val="center"/>
          </w:tcPr>
          <w:p>
            <w:pPr>
              <w:pStyle w:val="TableContents"/>
              <w:bidi w:val="0"/>
              <w:spacing w:before="0" w:after="283"/>
              <w:jc w:val="left"/>
              <w:rPr/>
            </w:pPr>
            <w:r>
              <w:rPr/>
              <w:t> </w:t>
            </w:r>
            <w:bookmarkStart w:id="1420" w:name="xdx_40B_ecustom--SalesTaxAdjustment_pn3n"/>
            <w:bookmarkEnd w:id="1420"/>
          </w:p>
        </w:tc>
      </w:tr>
      <w:tr>
        <w:trPr/>
        <w:tc>
          <w:tcPr>
            <w:tcW w:w="5015" w:type="dxa"/>
            <w:tcBorders/>
            <w:shd w:fill="CCEEFF" w:val="clear"/>
            <w:vAlign w:val="center"/>
          </w:tcPr>
          <w:p>
            <w:pPr>
              <w:pStyle w:val="TableContents"/>
              <w:bidi w:val="0"/>
              <w:spacing w:before="0" w:after="283"/>
              <w:jc w:val="left"/>
              <w:rPr/>
            </w:pPr>
            <w:r>
              <w:rPr/>
              <w:t>Sales tax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w:t>
            </w:r>
          </w:p>
        </w:tc>
        <w:tc>
          <w:tcPr>
            <w:tcW w:w="110" w:type="dxa"/>
            <w:tcBorders/>
            <w:shd w:fill="CCEEFF" w:val="clear"/>
            <w:vAlign w:val="center"/>
          </w:tcPr>
          <w:p>
            <w:pPr>
              <w:pStyle w:val="TableContents"/>
              <w:bidi w:val="0"/>
              <w:spacing w:before="0" w:after="283"/>
              <w:jc w:val="left"/>
              <w:rPr/>
            </w:pPr>
            <w:r>
              <w:rPr/>
              <w:t> </w:t>
            </w:r>
            <w:bookmarkStart w:id="1421" w:name="xdx_40B_ecustom--TransactionFees_pn3n3_z"/>
            <w:bookmarkEnd w:id="1421"/>
          </w:p>
        </w:tc>
      </w:tr>
      <w:tr>
        <w:trPr/>
        <w:tc>
          <w:tcPr>
            <w:tcW w:w="5015" w:type="dxa"/>
            <w:tcBorders/>
            <w:shd w:fill="FFFFFF" w:val="clear"/>
            <w:vAlign w:val="center"/>
          </w:tcPr>
          <w:p>
            <w:pPr>
              <w:pStyle w:val="TableContents"/>
              <w:bidi w:val="0"/>
              <w:spacing w:before="0" w:after="283"/>
              <w:jc w:val="left"/>
              <w:rPr/>
            </w:pPr>
            <w:r>
              <w:rPr/>
              <w:t>Credit card &amp; amazon transaction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556</w:t>
            </w:r>
          </w:p>
        </w:tc>
        <w:tc>
          <w:tcPr>
            <w:tcW w:w="110" w:type="dxa"/>
            <w:tcBorders/>
            <w:shd w:fill="FFFFFF" w:val="clear"/>
            <w:vAlign w:val="center"/>
          </w:tcPr>
          <w:p>
            <w:pPr>
              <w:pStyle w:val="TableContents"/>
              <w:bidi w:val="0"/>
              <w:spacing w:before="0" w:after="283"/>
              <w:jc w:val="left"/>
              <w:rPr/>
            </w:pPr>
            <w:r>
              <w:rPr/>
              <w:t> </w:t>
            </w:r>
            <w:bookmarkStart w:id="1422" w:name="xdx_401_eus-gaap--GainLossRelatedToLitig"/>
            <w:bookmarkEnd w:id="1422"/>
          </w:p>
        </w:tc>
      </w:tr>
      <w:tr>
        <w:trPr/>
        <w:tc>
          <w:tcPr>
            <w:tcW w:w="5015" w:type="dxa"/>
            <w:tcBorders/>
            <w:shd w:fill="CCEEFF" w:val="clear"/>
            <w:vAlign w:val="center"/>
          </w:tcPr>
          <w:p>
            <w:pPr>
              <w:pStyle w:val="TableContents"/>
              <w:bidi w:val="0"/>
              <w:spacing w:before="0" w:after="283"/>
              <w:jc w:val="left"/>
              <w:rPr/>
            </w:pPr>
            <w:r>
              <w:rPr/>
              <w:t>Loss on settlement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bookmarkStart w:id="1423" w:name="xdx_F24_ztBlRXDVmcZ"/>
            <w:bookmarkEnd w:id="1423"/>
            <w:r>
              <w:rPr/>
              <w:t>(5)</w:t>
            </w:r>
          </w:p>
        </w:tc>
        <w:tc>
          <w:tcPr>
            <w:tcW w:w="320" w:type="dxa"/>
            <w:tcBorders/>
            <w:shd w:fill="CCEEFF" w:val="clear"/>
            <w:vAlign w:val="center"/>
          </w:tcPr>
          <w:p>
            <w:pPr>
              <w:pStyle w:val="TableContents"/>
              <w:bidi w:val="0"/>
              <w:spacing w:before="0" w:after="283"/>
              <w:jc w:val="left"/>
              <w:rPr>
                <w:position w:val="8"/>
                <w:sz w:val="19"/>
              </w:rPr>
            </w:pP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2,500</w:t>
            </w:r>
          </w:p>
        </w:tc>
        <w:tc>
          <w:tcPr>
            <w:tcW w:w="110" w:type="dxa"/>
            <w:tcBorders/>
            <w:shd w:fill="CCEEFF" w:val="clear"/>
            <w:vAlign w:val="center"/>
          </w:tcPr>
          <w:p>
            <w:pPr>
              <w:pStyle w:val="TableContents"/>
              <w:bidi w:val="0"/>
              <w:spacing w:before="0" w:after="283"/>
              <w:jc w:val="left"/>
              <w:rPr/>
            </w:pPr>
            <w:r>
              <w:rPr/>
              <w:t> </w:t>
            </w:r>
            <w:bookmarkStart w:id="1424" w:name="xdx_401_eus-gaap--OtherGeneralAndAdminis"/>
            <w:bookmarkEnd w:id="1424"/>
          </w:p>
        </w:tc>
      </w:tr>
      <w:tr>
        <w:trPr/>
        <w:tc>
          <w:tcPr>
            <w:tcW w:w="5015" w:type="dxa"/>
            <w:tcBorders/>
            <w:shd w:fill="FFFFFF" w:val="clear"/>
            <w:vAlign w:val="center"/>
          </w:tcPr>
          <w:p>
            <w:pPr>
              <w:pStyle w:val="TableContents"/>
              <w:bidi w:val="0"/>
              <w:spacing w:before="0" w:after="283"/>
              <w:jc w:val="left"/>
              <w:rPr/>
            </w:pPr>
            <w:r>
              <w:rPr/>
              <w:t>Other general &amp;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18,749</w:t>
            </w:r>
            <w:bookmarkStart w:id="1425" w:name="xdx_F29_z8K4pMY0s5M1"/>
            <w:bookmarkEnd w:id="1425"/>
            <w:r>
              <w:rPr/>
              <w:t>(3)</w:t>
            </w:r>
          </w:p>
        </w:tc>
        <w:tc>
          <w:tcPr>
            <w:tcW w:w="320" w:type="dxa"/>
            <w:tcBorders/>
            <w:shd w:fill="FFFFFF" w:val="clear"/>
            <w:vAlign w:val="center"/>
          </w:tcPr>
          <w:p>
            <w:pPr>
              <w:pStyle w:val="TableContents"/>
              <w:bidi w:val="0"/>
              <w:spacing w:before="0" w:after="283"/>
              <w:jc w:val="left"/>
              <w:rPr>
                <w:position w:val="8"/>
                <w:sz w:val="19"/>
              </w:rPr>
            </w:pPr>
            <w:r>
              <w:rPr>
                <w:position w:val="8"/>
                <w:sz w:val="19"/>
              </w:rPr>
              <w:t>(3)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18,749</w:t>
            </w:r>
          </w:p>
        </w:tc>
        <w:tc>
          <w:tcPr>
            <w:tcW w:w="110" w:type="dxa"/>
            <w:tcBorders/>
            <w:shd w:fill="FFFFFF" w:val="clear"/>
            <w:vAlign w:val="center"/>
          </w:tcPr>
          <w:p>
            <w:pPr>
              <w:pStyle w:val="TableContents"/>
              <w:bidi w:val="0"/>
              <w:spacing w:before="0" w:after="283"/>
              <w:jc w:val="left"/>
              <w:rPr/>
            </w:pPr>
            <w:r>
              <w:rPr/>
              <w:t> </w:t>
            </w:r>
            <w:bookmarkStart w:id="1426" w:name="xdx_408_ecustom--Shipping_pn3n3_zburtle1"/>
            <w:bookmarkEnd w:id="1426"/>
          </w:p>
        </w:tc>
      </w:tr>
      <w:tr>
        <w:trPr/>
        <w:tc>
          <w:tcPr>
            <w:tcW w:w="5015" w:type="dxa"/>
            <w:tcBorders/>
            <w:shd w:fill="CCEEFF" w:val="clear"/>
            <w:vAlign w:val="center"/>
          </w:tcPr>
          <w:p>
            <w:pPr>
              <w:pStyle w:val="TableContents"/>
              <w:bidi w:val="0"/>
              <w:spacing w:before="0" w:after="283"/>
              <w:jc w:val="left"/>
              <w:rPr/>
            </w:pPr>
            <w:r>
              <w:rPr/>
              <w:t>Shipping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2,529</w:t>
            </w:r>
          </w:p>
        </w:tc>
        <w:tc>
          <w:tcPr>
            <w:tcW w:w="110" w:type="dxa"/>
            <w:tcBorders/>
            <w:shd w:fill="CCEEFF" w:val="clear"/>
            <w:vAlign w:val="center"/>
          </w:tcPr>
          <w:p>
            <w:pPr>
              <w:pStyle w:val="TableContents"/>
              <w:bidi w:val="0"/>
              <w:spacing w:before="0" w:after="283"/>
              <w:jc w:val="left"/>
              <w:rPr/>
            </w:pPr>
            <w:r>
              <w:rPr/>
              <w:t> </w:t>
            </w:r>
            <w:bookmarkStart w:id="1427" w:name="xdx_40E_ecustom--SalesAndMarketingStockC"/>
            <w:bookmarkEnd w:id="1427"/>
          </w:p>
        </w:tc>
      </w:tr>
      <w:tr>
        <w:trPr/>
        <w:tc>
          <w:tcPr>
            <w:tcW w:w="5015" w:type="dxa"/>
            <w:tcBorders/>
            <w:shd w:fill="FFFFFF" w:val="clear"/>
            <w:vAlign w:val="center"/>
          </w:tcPr>
          <w:p>
            <w:pPr>
              <w:pStyle w:val="TableContents"/>
              <w:bidi w:val="0"/>
              <w:spacing w:before="0" w:after="283"/>
              <w:jc w:val="left"/>
              <w:rPr/>
            </w:pPr>
            <w:r>
              <w:rPr/>
              <w:t>Sales and marketing stock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211</w:t>
            </w:r>
          </w:p>
        </w:tc>
        <w:tc>
          <w:tcPr>
            <w:tcW w:w="110" w:type="dxa"/>
            <w:tcBorders/>
            <w:shd w:fill="FFFFFF" w:val="clear"/>
            <w:vAlign w:val="center"/>
          </w:tcPr>
          <w:p>
            <w:pPr>
              <w:pStyle w:val="TableContents"/>
              <w:bidi w:val="0"/>
              <w:spacing w:before="0" w:after="283"/>
              <w:jc w:val="left"/>
              <w:rPr/>
            </w:pPr>
            <w:r>
              <w:rPr/>
              <w:t> </w:t>
            </w:r>
            <w:bookmarkStart w:id="1428" w:name="xdx_40E_ecustom--SalesAndMarketingWages_"/>
            <w:bookmarkEnd w:id="1428"/>
          </w:p>
        </w:tc>
      </w:tr>
      <w:tr>
        <w:trPr/>
        <w:tc>
          <w:tcPr>
            <w:tcW w:w="5015" w:type="dxa"/>
            <w:tcBorders/>
            <w:shd w:fill="CCEEFF" w:val="clear"/>
            <w:vAlign w:val="center"/>
          </w:tcPr>
          <w:p>
            <w:pPr>
              <w:pStyle w:val="TableContents"/>
              <w:bidi w:val="0"/>
              <w:spacing w:before="0" w:after="283"/>
              <w:jc w:val="left"/>
              <w:rPr/>
            </w:pPr>
            <w:r>
              <w:rPr/>
              <w:t>Sales and marketing wages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2,874</w:t>
            </w:r>
          </w:p>
        </w:tc>
        <w:tc>
          <w:tcPr>
            <w:tcW w:w="110" w:type="dxa"/>
            <w:tcBorders/>
            <w:shd w:fill="CCEEFF" w:val="clear"/>
            <w:vAlign w:val="center"/>
          </w:tcPr>
          <w:p>
            <w:pPr>
              <w:pStyle w:val="TableContents"/>
              <w:bidi w:val="0"/>
              <w:spacing w:before="0" w:after="283"/>
              <w:jc w:val="left"/>
              <w:rPr/>
            </w:pPr>
            <w:r>
              <w:rPr/>
              <w:t> </w:t>
            </w:r>
            <w:bookmarkStart w:id="1429" w:name="xdx_405_ecustom--MarketingSpend_pn3n3_ze"/>
            <w:bookmarkEnd w:id="1429"/>
          </w:p>
        </w:tc>
      </w:tr>
      <w:tr>
        <w:trPr/>
        <w:tc>
          <w:tcPr>
            <w:tcW w:w="5015" w:type="dxa"/>
            <w:tcBorders/>
            <w:shd w:fill="FFFFFF" w:val="clear"/>
            <w:vAlign w:val="center"/>
          </w:tcPr>
          <w:p>
            <w:pPr>
              <w:pStyle w:val="TableContents"/>
              <w:bidi w:val="0"/>
              <w:spacing w:before="0" w:after="283"/>
              <w:jc w:val="left"/>
              <w:rPr/>
            </w:pPr>
            <w:r>
              <w:rPr/>
              <w:t>Marketing spend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2,401</w:t>
            </w:r>
          </w:p>
        </w:tc>
        <w:tc>
          <w:tcPr>
            <w:tcW w:w="110" w:type="dxa"/>
            <w:tcBorders/>
            <w:shd w:fill="FFFFFF" w:val="clear"/>
            <w:vAlign w:val="center"/>
          </w:tcPr>
          <w:p>
            <w:pPr>
              <w:pStyle w:val="TableContents"/>
              <w:bidi w:val="0"/>
              <w:spacing w:before="0" w:after="283"/>
              <w:jc w:val="left"/>
              <w:rPr/>
            </w:pPr>
            <w:r>
              <w:rPr/>
              <w:t> </w:t>
            </w:r>
            <w:bookmarkStart w:id="1430" w:name="xdx_404_ecustom--Rent_pn3n3_zTg5Qtl6swn7"/>
            <w:bookmarkEnd w:id="1430"/>
          </w:p>
        </w:tc>
      </w:tr>
      <w:tr>
        <w:trPr/>
        <w:tc>
          <w:tcPr>
            <w:tcW w:w="5015" w:type="dxa"/>
            <w:tcBorders/>
            <w:shd w:fill="CCEEFF" w:val="clear"/>
            <w:vAlign w:val="center"/>
          </w:tcPr>
          <w:p>
            <w:pPr>
              <w:pStyle w:val="TableContents"/>
              <w:bidi w:val="0"/>
              <w:spacing w:before="0" w:after="283"/>
              <w:jc w:val="left"/>
              <w:rPr/>
            </w:pPr>
            <w:r>
              <w:rPr/>
              <w:t>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w:t>
            </w:r>
          </w:p>
        </w:tc>
        <w:tc>
          <w:tcPr>
            <w:tcW w:w="110" w:type="dxa"/>
            <w:tcBorders/>
            <w:shd w:fill="CCEEFF" w:val="clear"/>
            <w:vAlign w:val="center"/>
          </w:tcPr>
          <w:p>
            <w:pPr>
              <w:pStyle w:val="TableContents"/>
              <w:bidi w:val="0"/>
              <w:spacing w:before="0" w:after="283"/>
              <w:jc w:val="left"/>
              <w:rPr/>
            </w:pPr>
            <w:r>
              <w:rPr/>
              <w:t> </w:t>
            </w:r>
            <w:bookmarkStart w:id="1431" w:name="xdx_401_ecustom--UnallocatedSalesAndMark"/>
            <w:bookmarkEnd w:id="1431"/>
          </w:p>
        </w:tc>
      </w:tr>
      <w:tr>
        <w:trPr/>
        <w:tc>
          <w:tcPr>
            <w:tcW w:w="5015" w:type="dxa"/>
            <w:tcBorders/>
            <w:shd w:fill="FFFFFF" w:val="clear"/>
            <w:vAlign w:val="center"/>
          </w:tcPr>
          <w:p>
            <w:pPr>
              <w:pStyle w:val="TableContents"/>
              <w:bidi w:val="0"/>
              <w:spacing w:before="0" w:after="283"/>
              <w:jc w:val="left"/>
              <w:rPr/>
            </w:pPr>
            <w:r>
              <w:rPr/>
              <w:t>Unallocated sales and marketing stock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54</w:t>
            </w:r>
            <w:bookmarkStart w:id="1432" w:name="xdx_F23_zc4cYEWP19k3"/>
            <w:bookmarkEnd w:id="1432"/>
            <w:r>
              <w:rPr/>
              <w:t>(4)</w:t>
            </w:r>
          </w:p>
        </w:tc>
        <w:tc>
          <w:tcPr>
            <w:tcW w:w="320" w:type="dxa"/>
            <w:tcBorders/>
            <w:shd w:fill="FFFFFF" w:val="clear"/>
            <w:vAlign w:val="center"/>
          </w:tcPr>
          <w:p>
            <w:pPr>
              <w:pStyle w:val="TableContents"/>
              <w:bidi w:val="0"/>
              <w:spacing w:before="0" w:after="283"/>
              <w:jc w:val="left"/>
              <w:rPr>
                <w:position w:val="8"/>
                <w:sz w:val="19"/>
              </w:rPr>
            </w:pP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w:t>
            </w:r>
          </w:p>
        </w:tc>
        <w:tc>
          <w:tcPr>
            <w:tcW w:w="110" w:type="dxa"/>
            <w:tcBorders/>
            <w:shd w:fill="FFFFFF" w:val="clear"/>
            <w:vAlign w:val="center"/>
          </w:tcPr>
          <w:p>
            <w:pPr>
              <w:pStyle w:val="TableContents"/>
              <w:bidi w:val="0"/>
              <w:spacing w:before="0" w:after="283"/>
              <w:jc w:val="left"/>
              <w:rPr/>
            </w:pPr>
            <w:r>
              <w:rPr/>
              <w:t> </w:t>
            </w:r>
            <w:bookmarkStart w:id="1433" w:name="xdx_404_ecustom--UnallocatedSalesAndMark"/>
            <w:bookmarkEnd w:id="1433"/>
          </w:p>
        </w:tc>
      </w:tr>
      <w:tr>
        <w:trPr/>
        <w:tc>
          <w:tcPr>
            <w:tcW w:w="5015" w:type="dxa"/>
            <w:tcBorders/>
            <w:shd w:fill="CCEEFF" w:val="clear"/>
            <w:vAlign w:val="center"/>
          </w:tcPr>
          <w:p>
            <w:pPr>
              <w:pStyle w:val="TableContents"/>
              <w:bidi w:val="0"/>
              <w:spacing w:before="0" w:after="283"/>
              <w:jc w:val="left"/>
              <w:rPr/>
            </w:pPr>
            <w:r>
              <w:rPr/>
              <w:t>Unallocated sales and marketing wages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292</w:t>
            </w:r>
            <w:bookmarkStart w:id="1434" w:name="xdx_F20_zGimCgxgRS8k"/>
            <w:bookmarkEnd w:id="1434"/>
            <w:r>
              <w:rPr/>
              <w:t>(4)</w:t>
            </w:r>
          </w:p>
        </w:tc>
        <w:tc>
          <w:tcPr>
            <w:tcW w:w="320" w:type="dxa"/>
            <w:tcBorders/>
            <w:shd w:fill="CCEEFF" w:val="cle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292</w:t>
            </w:r>
          </w:p>
        </w:tc>
        <w:tc>
          <w:tcPr>
            <w:tcW w:w="110" w:type="dxa"/>
            <w:tcBorders/>
            <w:shd w:fill="CCEEFF" w:val="clear"/>
            <w:vAlign w:val="center"/>
          </w:tcPr>
          <w:p>
            <w:pPr>
              <w:pStyle w:val="TableContents"/>
              <w:bidi w:val="0"/>
              <w:spacing w:before="0" w:after="283"/>
              <w:jc w:val="left"/>
              <w:rPr/>
            </w:pPr>
            <w:r>
              <w:rPr/>
              <w:t> </w:t>
            </w:r>
            <w:bookmarkStart w:id="1435" w:name="xdx_40C_eus-gaap--OtherSellingAndMarketi"/>
            <w:bookmarkEnd w:id="1435"/>
          </w:p>
        </w:tc>
      </w:tr>
      <w:tr>
        <w:trPr/>
        <w:tc>
          <w:tcPr>
            <w:tcW w:w="5015" w:type="dxa"/>
            <w:tcBorders/>
            <w:shd w:fill="FFFFFF" w:val="clear"/>
            <w:vAlign w:val="center"/>
          </w:tcPr>
          <w:p>
            <w:pPr>
              <w:pStyle w:val="TableContents"/>
              <w:bidi w:val="0"/>
              <w:spacing w:before="0" w:after="283"/>
              <w:jc w:val="left"/>
              <w:rPr/>
            </w:pPr>
            <w:r>
              <w:rPr/>
              <w:t>Other sales &amp;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pPr>
            <w:r>
              <w:rPr/>
              <w:t>1,591</w:t>
            </w:r>
            <w:bookmarkStart w:id="1436" w:name="xdx_F2D_zqhkOGdDnGca"/>
            <w:bookmarkEnd w:id="1436"/>
            <w:r>
              <w:rPr/>
              <w:t>(4)</w:t>
            </w:r>
          </w:p>
        </w:tc>
        <w:tc>
          <w:tcPr>
            <w:tcW w:w="320" w:type="dxa"/>
            <w:tcBorders/>
            <w:shd w:fill="FFFFFF" w:val="clear"/>
            <w:vAlign w:val="center"/>
          </w:tcPr>
          <w:p>
            <w:pPr>
              <w:pStyle w:val="TableContents"/>
              <w:bidi w:val="0"/>
              <w:spacing w:before="0" w:after="283"/>
              <w:jc w:val="left"/>
              <w:rPr>
                <w:position w:val="8"/>
                <w:sz w:val="19"/>
              </w:rPr>
            </w:pP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1,591</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37" w:name="xdx_406_eus-gaap--OperatingExpenses_pn3n"/>
            <w:bookmarkEnd w:id="1437"/>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26,137</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37,385</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38" w:name="xdx_40B_eus-gaap--OperatingIncomeLoss_pn"/>
            <w:bookmarkEnd w:id="1438"/>
          </w:p>
        </w:tc>
      </w:tr>
      <w:tr>
        <w:trPr/>
        <w:tc>
          <w:tcPr>
            <w:tcW w:w="501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(25,720</w:t>
            </w:r>
          </w:p>
        </w:tc>
        <w:tc>
          <w:tcPr>
            <w:tcW w:w="32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(25,759</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39" w:name="xdx_404_eus-gaap--OtherNonoperatingIncom"/>
            <w:bookmarkEnd w:id="1439"/>
          </w:p>
        </w:tc>
      </w:tr>
      <w:tr>
        <w:trPr/>
        <w:tc>
          <w:tcPr>
            <w:tcW w:w="501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(36</w:t>
            </w:r>
          </w:p>
        </w:tc>
        <w:tc>
          <w:tcPr>
            <w:tcW w:w="32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w:t>
            </w:r>
          </w:p>
        </w:tc>
        <w:tc>
          <w:tcPr>
            <w:tcW w:w="110" w:type="dxa"/>
            <w:tcBorders/>
            <w:shd w:fill="FFFFFF" w:val="clear"/>
            <w:vAlign w:val="center"/>
          </w:tcPr>
          <w:p>
            <w:pPr>
              <w:pStyle w:val="TableContents"/>
              <w:bidi w:val="0"/>
              <w:spacing w:before="0" w:after="283"/>
              <w:jc w:val="left"/>
              <w:rPr/>
            </w:pPr>
            <w:r>
              <w:rPr/>
              <w:t>)</w:t>
            </w:r>
            <w:bookmarkStart w:id="1440" w:name="xdx_40F_eus-gaap--InterestExpenseNonoper"/>
            <w:bookmarkEnd w:id="1440"/>
          </w:p>
        </w:tc>
      </w:tr>
      <w:tr>
        <w:trPr/>
        <w:tc>
          <w:tcPr>
            <w:tcW w:w="501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(21,504</w:t>
            </w:r>
          </w:p>
        </w:tc>
        <w:tc>
          <w:tcPr>
            <w:tcW w:w="32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(21,504</w:t>
            </w:r>
          </w:p>
        </w:tc>
        <w:tc>
          <w:tcPr>
            <w:tcW w:w="110" w:type="dxa"/>
            <w:tcBorders/>
            <w:shd w:fill="CCEEFF" w:val="clear"/>
            <w:vAlign w:val="center"/>
          </w:tcPr>
          <w:p>
            <w:pPr>
              <w:pStyle w:val="TableContents"/>
              <w:bidi w:val="0"/>
              <w:spacing w:before="0" w:after="283"/>
              <w:jc w:val="left"/>
              <w:rPr/>
            </w:pPr>
            <w:r>
              <w:rPr/>
              <w:t>)</w:t>
            </w:r>
            <w:bookmarkStart w:id="1441" w:name="xdx_40D_eus-gaap--FairValueAdjustmentOfW"/>
            <w:bookmarkEnd w:id="1441"/>
          </w:p>
        </w:tc>
      </w:tr>
      <w:tr>
        <w:trPr/>
        <w:tc>
          <w:tcPr>
            <w:tcW w:w="5015" w:type="dxa"/>
            <w:tcBorders/>
            <w:shd w:fill="FFFFFF" w:val="clear"/>
            <w:vAlign w:val="center"/>
          </w:tcPr>
          <w:p>
            <w:pPr>
              <w:pStyle w:val="TableContents"/>
              <w:bidi w:val="0"/>
              <w:spacing w:before="0" w:after="283"/>
              <w:jc w:val="left"/>
              <w:rPr/>
            </w:pPr>
            <w:r>
              <w:rPr/>
              <w:t>Change in FMV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pPr>
            <w:r>
              <w:rPr/>
              <w:t>6,684</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6,684</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42" w:name="xdx_40F_eus-gaap--NonoperatingIncomeExpe"/>
            <w:bookmarkEnd w:id="1442"/>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(14,856</w:t>
            </w:r>
            <w:bookmarkStart w:id="1443" w:name="xdx_F29_zN3rIPUQs4R4"/>
            <w:bookmarkEnd w:id="1443"/>
            <w:r>
              <w:rPr/>
              <w:t>(6)</w:t>
            </w:r>
          </w:p>
        </w:tc>
        <w:tc>
          <w:tcPr>
            <w:tcW w:w="320" w:type="dxa"/>
            <w:tcBorders/>
            <w:shd w:fill="FFFFFF" w:val="clear"/>
            <w:vAlign w:val="center"/>
          </w:tcPr>
          <w:p>
            <w:pPr>
              <w:pStyle w:val="TableContents"/>
              <w:bidi w:val="0"/>
              <w:spacing w:before="0" w:after="283"/>
              <w:jc w:val="left"/>
              <w:rPr/>
            </w:pPr>
            <w:r>
              <w:rPr/>
              <w:t>)</w:t>
            </w:r>
            <w:r>
              <w:rPr>
                <w:position w:val="8"/>
                <w:sz w:val="19"/>
              </w:rPr>
              <w:t>(6)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(14,856</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44" w:name="xdx_40F_eus-gaap--IncomeLossFromContinui"/>
            <w:bookmarkEnd w:id="1444"/>
          </w:p>
        </w:tc>
      </w:tr>
      <w:tr>
        <w:trPr/>
        <w:tc>
          <w:tcPr>
            <w:tcW w:w="5015" w:type="dxa"/>
            <w:tcBorders/>
            <w:shd w:fill="FFFFFF" w:val="clear"/>
            <w:vAlign w:val="center"/>
          </w:tcPr>
          <w:p>
            <w:pPr>
              <w:pStyle w:val="TableContents"/>
              <w:bidi w:val="0"/>
              <w:spacing w:before="0" w:after="283"/>
              <w:jc w:val="left"/>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pPr>
            <w:r>
              <w:rPr/>
              <w:t>(40,576</w:t>
            </w:r>
          </w:p>
        </w:tc>
        <w:tc>
          <w:tcPr>
            <w:tcW w:w="32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(40,615</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45" w:name="xdx_409_eus-gaap--IncomeTaxExpenseBenefi"/>
            <w:bookmarkEnd w:id="1445"/>
          </w:p>
        </w:tc>
      </w:tr>
      <w:tr>
        <w:trPr/>
        <w:tc>
          <w:tcPr>
            <w:tcW w:w="5015" w:type="dxa"/>
            <w:tcBorders/>
            <w:shd w:fill="FFFFFF" w:val="clear"/>
            <w:vAlign w:val="center"/>
          </w:tcPr>
          <w:p>
            <w:pPr>
              <w:pStyle w:val="TableContents"/>
              <w:bidi w:val="0"/>
              <w:spacing w:before="0" w:after="283"/>
              <w:jc w:val="left"/>
              <w:rPr>
                <w:b/>
              </w:rPr>
            </w:pPr>
            <w:r>
              <w:rPr>
                <w:b/>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46" w:name="xdx_40D_eus-gaap--NetIncomeLoss_pn3n3_zS"/>
            <w:bookmarkEnd w:id="1446"/>
          </w:p>
        </w:tc>
      </w:tr>
      <w:tr>
        <w:trPr/>
        <w:tc>
          <w:tcPr>
            <w:tcW w:w="5015"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pPr>
            <w:r>
              <w:rPr/>
              <w:t>(40,576</w:t>
            </w:r>
          </w:p>
        </w:tc>
        <w:tc>
          <w:tcPr>
            <w:tcW w:w="32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(40,615</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i/>
              </w:rPr>
            </w:pPr>
            <w:r>
              <w:rPr>
                <w:i/>
              </w:rPr>
              <w:t>Reconciliation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47" w:name="xdx_406_ecustom--NetIncomeLossReconcilin"/>
            <w:bookmarkEnd w:id="1447"/>
          </w:p>
        </w:tc>
      </w:tr>
      <w:tr>
        <w:trPr/>
        <w:tc>
          <w:tcPr>
            <w:tcW w:w="5015" w:type="dxa"/>
            <w:tcBorders/>
            <w:shd w:fill="CCEEFF" w:val="clear"/>
            <w:vAlign w:val="center"/>
          </w:tcPr>
          <w:p>
            <w:pPr>
              <w:pStyle w:val="TableContents"/>
              <w:bidi w:val="0"/>
              <w:spacing w:before="0" w:after="283"/>
              <w:jc w:val="left"/>
              <w:rPr/>
            </w:pPr>
            <w:r>
              <w:rPr/>
              <w:t>Reconciling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448" w:name="xdx_402_eus-gaap--ProfitLoss_pn3n3_zgi30"/>
            <w:bookmarkEnd w:id="1448"/>
          </w:p>
        </w:tc>
      </w:tr>
      <w:tr>
        <w:trPr/>
        <w:tc>
          <w:tcPr>
            <w:tcW w:w="5015" w:type="dxa"/>
            <w:tcBorders/>
            <w:shd w:fill="FFFFFF" w:val="clear"/>
            <w:vAlign w:val="center"/>
          </w:tcPr>
          <w:p>
            <w:pPr>
              <w:pStyle w:val="TableContents"/>
              <w:bidi w:val="0"/>
              <w:spacing w:before="0" w:after="283"/>
              <w:jc w:val="left"/>
              <w:rPr/>
            </w:pPr>
            <w:r>
              <w:rPr/>
              <w:t>Consolidated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(40,615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rPr>
      </w:pPr>
      <w:bookmarkStart w:id="1449" w:name="xdx_C0F_gL3SOSRIBSTB-OXVJT_zUDd7KzxYWy4"/>
      <w:bookmarkEnd w:id="1449"/>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14 - Reportable Segments (continued)</w:t>
      </w:r>
    </w:p>
    <w:p>
      <w:pPr>
        <w:pStyle w:val="TextBody"/>
        <w:bidi w:val="0"/>
        <w:spacing w:before="0" w:after="0"/>
        <w:ind w:left="0" w:right="0" w:hanging="0"/>
        <w:jc w:val="both"/>
        <w:rPr>
          <w:caps/>
        </w:rPr>
      </w:pPr>
      <w:r>
        <w:rPr>
          <w:caps/>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963" w:type="dxa"/>
        <w:jc w:val="left"/>
        <w:tblInd w:w="0" w:type="dxa"/>
        <w:tblLayout w:type="fixed"/>
        <w:tblCellMar>
          <w:top w:w="0" w:type="dxa"/>
          <w:left w:w="0" w:type="dxa"/>
          <w:bottom w:w="0" w:type="dxa"/>
          <w:right w:w="0" w:type="dxa"/>
        </w:tblCellMar>
      </w:tblPr>
      <w:tblGrid>
        <w:gridCol w:w="260"/>
        <w:gridCol w:w="23"/>
        <w:gridCol w:w="668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450" w:name="xdx_F09_zILbaEcSp55a"/>
            <w:bookmarkEnd w:id="1450"/>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6680" w:type="dxa"/>
            <w:tcBorders/>
            <w:vAlign w:val="center"/>
          </w:tcPr>
          <w:p>
            <w:pPr>
              <w:pStyle w:val="TableContents"/>
              <w:bidi w:val="0"/>
              <w:spacing w:before="0" w:after="283"/>
              <w:jc w:val="both"/>
              <w:rPr>
                <w:rFonts w:ascii="Times New Roman;Times;Serif" w:hAnsi="Times New Roman;Times;Serif"/>
                <w:sz w:val="20"/>
              </w:rPr>
            </w:pPr>
            <w:bookmarkStart w:id="1451" w:name="xdx_F1D_z78bTpimOyyf"/>
            <w:bookmarkEnd w:id="1451"/>
            <w:r>
              <w:rPr>
                <w:rFonts w:ascii="Times New Roman;Times;Serif" w:hAnsi="Times New Roman;Times;Serif"/>
                <w:sz w:val="20"/>
              </w:rPr>
              <w:t>Licensing Revenue which is not considered a segment as it is currently immaterial</w:t>
            </w:r>
          </w:p>
        </w:tc>
      </w:tr>
    </w:tbl>
    <w:tbl>
      <w:tblPr>
        <w:tblW w:w="7383" w:type="dxa"/>
        <w:jc w:val="left"/>
        <w:tblInd w:w="0" w:type="dxa"/>
        <w:tblLayout w:type="fixed"/>
        <w:tblCellMar>
          <w:top w:w="0" w:type="dxa"/>
          <w:left w:w="0" w:type="dxa"/>
          <w:bottom w:w="0" w:type="dxa"/>
          <w:right w:w="0" w:type="dxa"/>
        </w:tblCellMar>
      </w:tblPr>
      <w:tblGrid>
        <w:gridCol w:w="260"/>
        <w:gridCol w:w="23"/>
        <w:gridCol w:w="710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452" w:name="xdx_F05_zt0ZqkRrFN95"/>
            <w:bookmarkEnd w:id="1452"/>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vAlign w:val="center"/>
          </w:tcPr>
          <w:p>
            <w:pPr>
              <w:pStyle w:val="TableContents"/>
              <w:bidi w:val="0"/>
              <w:spacing w:before="0" w:after="283"/>
              <w:jc w:val="both"/>
              <w:rPr>
                <w:rFonts w:ascii="Times New Roman;Times;Serif" w:hAnsi="Times New Roman;Times;Serif"/>
                <w:sz w:val="20"/>
              </w:rPr>
            </w:pPr>
            <w:bookmarkStart w:id="1453" w:name="xdx_F18_zeIXuJFbbMak"/>
            <w:bookmarkEnd w:id="1453"/>
            <w:r>
              <w:rPr>
                <w:rFonts w:ascii="Times New Roman;Times;Serif" w:hAnsi="Times New Roman;Times;Serif"/>
                <w:sz w:val="20"/>
              </w:rPr>
              <w:t>Research and Development expenses including employee costs related to new products</w:t>
            </w:r>
          </w:p>
        </w:tc>
      </w:tr>
    </w:tbl>
    <w:tbl>
      <w:tblPr>
        <w:tblW w:w="10205" w:type="dxa"/>
        <w:jc w:val="left"/>
        <w:tblInd w:w="0" w:type="dxa"/>
        <w:tblLayout w:type="fixed"/>
        <w:tblCellMar>
          <w:top w:w="0" w:type="dxa"/>
          <w:left w:w="0" w:type="dxa"/>
          <w:bottom w:w="0" w:type="dxa"/>
          <w:right w:w="0" w:type="dxa"/>
        </w:tblCellMar>
      </w:tblPr>
      <w:tblGrid>
        <w:gridCol w:w="246"/>
        <w:gridCol w:w="23"/>
        <w:gridCol w:w="9936"/>
      </w:tblGrid>
      <w:tr>
        <w:trPr/>
        <w:tc>
          <w:tcPr>
            <w:tcW w:w="246" w:type="dxa"/>
            <w:tcBorders/>
            <w:vAlign w:val="center"/>
          </w:tcPr>
          <w:p>
            <w:pPr>
              <w:pStyle w:val="TableContents"/>
              <w:bidi w:val="0"/>
              <w:spacing w:before="0" w:after="283"/>
              <w:jc w:val="right"/>
              <w:rPr>
                <w:rFonts w:ascii="Times New Roman;Times;Serif" w:hAnsi="Times New Roman;Times;Serif"/>
                <w:sz w:val="20"/>
              </w:rPr>
            </w:pPr>
            <w:bookmarkStart w:id="1454" w:name="xdx_F08_z7B4dZgQ1687"/>
            <w:bookmarkEnd w:id="1454"/>
            <w:r>
              <w:rPr>
                <w:rFonts w:ascii="Times New Roman;Times;Serif" w:hAnsi="Times New Roman;Times;Serif"/>
                <w:sz w:val="20"/>
              </w:rPr>
              <w:t>(3)</w:t>
            </w:r>
          </w:p>
        </w:tc>
        <w:tc>
          <w:tcPr>
            <w:tcW w:w="23" w:type="dxa"/>
            <w:tcBorders/>
            <w:vAlign w:val="center"/>
          </w:tcPr>
          <w:p>
            <w:pPr>
              <w:pStyle w:val="TableContents"/>
              <w:bidi w:val="0"/>
              <w:spacing w:before="0" w:after="283"/>
              <w:jc w:val="left"/>
              <w:rPr>
                <w:sz w:val="4"/>
                <w:szCs w:val="4"/>
              </w:rPr>
            </w:pPr>
            <w:r>
              <w:rPr>
                <w:sz w:val="4"/>
                <w:szCs w:val="4"/>
              </w:rPr>
            </w:r>
          </w:p>
        </w:tc>
        <w:tc>
          <w:tcPr>
            <w:tcW w:w="9936" w:type="dxa"/>
            <w:tcBorders/>
            <w:vAlign w:val="center"/>
          </w:tcPr>
          <w:p>
            <w:pPr>
              <w:pStyle w:val="TableContents"/>
              <w:bidi w:val="0"/>
              <w:spacing w:before="0" w:after="283"/>
              <w:jc w:val="both"/>
              <w:rPr>
                <w:rFonts w:ascii="Times New Roman;Times;Serif" w:hAnsi="Times New Roman;Times;Serif"/>
                <w:sz w:val="20"/>
              </w:rPr>
            </w:pPr>
            <w:bookmarkStart w:id="1455" w:name="xdx_F11_zvRuEDJDbFad"/>
            <w:bookmarkEnd w:id="1455"/>
            <w:r>
              <w:rPr>
                <w:rFonts w:ascii="Times New Roman;Times;Serif" w:hAnsi="Times New Roman;Times;Serif"/>
                <w:sz w:val="20"/>
              </w:rPr>
              <w:t>Administrative and Engineering employee costs along with legal, insurance, professional fees related to administration and other general office expenses</w:t>
            </w:r>
          </w:p>
        </w:tc>
      </w:tr>
    </w:tbl>
    <w:tbl>
      <w:tblPr>
        <w:tblW w:w="6273" w:type="dxa"/>
        <w:jc w:val="left"/>
        <w:tblInd w:w="0" w:type="dxa"/>
        <w:tblLayout w:type="fixed"/>
        <w:tblCellMar>
          <w:top w:w="0" w:type="dxa"/>
          <w:left w:w="0" w:type="dxa"/>
          <w:bottom w:w="0" w:type="dxa"/>
          <w:right w:w="0" w:type="dxa"/>
        </w:tblCellMar>
      </w:tblPr>
      <w:tblGrid>
        <w:gridCol w:w="260"/>
        <w:gridCol w:w="23"/>
        <w:gridCol w:w="599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456" w:name="xdx_F09_zYBES3rKDwEk"/>
            <w:bookmarkEnd w:id="1456"/>
            <w:r>
              <w:rPr>
                <w:rFonts w:ascii="Times New Roman;Times;Serif" w:hAnsi="Times New Roman;Times;Serif"/>
                <w:sz w:val="20"/>
              </w:rPr>
              <w:t>(4)</w:t>
            </w:r>
          </w:p>
        </w:tc>
        <w:tc>
          <w:tcPr>
            <w:tcW w:w="23" w:type="dxa"/>
            <w:tcBorders/>
            <w:vAlign w:val="center"/>
          </w:tcPr>
          <w:p>
            <w:pPr>
              <w:pStyle w:val="TableContents"/>
              <w:bidi w:val="0"/>
              <w:spacing w:before="0" w:after="283"/>
              <w:jc w:val="left"/>
              <w:rPr>
                <w:sz w:val="4"/>
                <w:szCs w:val="4"/>
              </w:rPr>
            </w:pPr>
            <w:r>
              <w:rPr>
                <w:sz w:val="4"/>
                <w:szCs w:val="4"/>
              </w:rPr>
            </w:r>
          </w:p>
        </w:tc>
        <w:tc>
          <w:tcPr>
            <w:tcW w:w="5990" w:type="dxa"/>
            <w:tcBorders/>
            <w:vAlign w:val="center"/>
          </w:tcPr>
          <w:p>
            <w:pPr>
              <w:pStyle w:val="TableContents"/>
              <w:bidi w:val="0"/>
              <w:spacing w:before="0" w:after="283"/>
              <w:jc w:val="both"/>
              <w:rPr>
                <w:rFonts w:ascii="Times New Roman;Times;Serif" w:hAnsi="Times New Roman;Times;Serif"/>
                <w:sz w:val="20"/>
              </w:rPr>
            </w:pPr>
            <w:bookmarkStart w:id="1457" w:name="xdx_F1C_zwNE4XKoVCx8"/>
            <w:bookmarkEnd w:id="1457"/>
            <w:r>
              <w:rPr>
                <w:rFonts w:ascii="Times New Roman;Times;Serif" w:hAnsi="Times New Roman;Times;Serif"/>
                <w:sz w:val="20"/>
              </w:rPr>
              <w:t>General sales and marketing employee cost and other marketing expenses</w:t>
            </w:r>
          </w:p>
        </w:tc>
      </w:tr>
    </w:tbl>
    <w:tbl>
      <w:tblPr>
        <w:tblW w:w="4413" w:type="dxa"/>
        <w:jc w:val="left"/>
        <w:tblInd w:w="0" w:type="dxa"/>
        <w:tblLayout w:type="fixed"/>
        <w:tblCellMar>
          <w:top w:w="0" w:type="dxa"/>
          <w:left w:w="0" w:type="dxa"/>
          <w:bottom w:w="0" w:type="dxa"/>
          <w:right w:w="0" w:type="dxa"/>
        </w:tblCellMar>
      </w:tblPr>
      <w:tblGrid>
        <w:gridCol w:w="260"/>
        <w:gridCol w:w="23"/>
        <w:gridCol w:w="413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458" w:name="xdx_F0C_zyaEJFlV7ERj"/>
            <w:bookmarkEnd w:id="1458"/>
            <w:r>
              <w:rPr>
                <w:rFonts w:ascii="Times New Roman;Times;Serif" w:hAnsi="Times New Roman;Times;Serif"/>
                <w:sz w:val="20"/>
              </w:rPr>
              <w:t>(5)</w:t>
            </w:r>
          </w:p>
        </w:tc>
        <w:tc>
          <w:tcPr>
            <w:tcW w:w="23" w:type="dxa"/>
            <w:tcBorders/>
            <w:vAlign w:val="center"/>
          </w:tcPr>
          <w:p>
            <w:pPr>
              <w:pStyle w:val="TableContents"/>
              <w:bidi w:val="0"/>
              <w:spacing w:before="0" w:after="283"/>
              <w:jc w:val="left"/>
              <w:rPr>
                <w:sz w:val="4"/>
                <w:szCs w:val="4"/>
              </w:rPr>
            </w:pPr>
            <w:r>
              <w:rPr>
                <w:sz w:val="4"/>
                <w:szCs w:val="4"/>
              </w:rPr>
            </w:r>
          </w:p>
        </w:tc>
        <w:tc>
          <w:tcPr>
            <w:tcW w:w="4130" w:type="dxa"/>
            <w:tcBorders/>
            <w:vAlign w:val="center"/>
          </w:tcPr>
          <w:p>
            <w:pPr>
              <w:pStyle w:val="TableContents"/>
              <w:bidi w:val="0"/>
              <w:spacing w:before="0" w:after="283"/>
              <w:jc w:val="both"/>
              <w:rPr>
                <w:rFonts w:ascii="Times New Roman;Times;Serif" w:hAnsi="Times New Roman;Times;Serif"/>
                <w:sz w:val="20"/>
              </w:rPr>
            </w:pPr>
            <w:bookmarkStart w:id="1459" w:name="xdx_F12_zjuEGPwwDxS9"/>
            <w:bookmarkEnd w:id="1459"/>
            <w:r>
              <w:rPr>
                <w:rFonts w:ascii="Times New Roman;Times;Serif" w:hAnsi="Times New Roman;Times;Serif"/>
                <w:sz w:val="20"/>
              </w:rPr>
              <w:t>Loss on settlement from patent licensing litigation</w:t>
            </w:r>
          </w:p>
        </w:tc>
      </w:tr>
    </w:tbl>
    <w:tbl>
      <w:tblPr>
        <w:tblW w:w="6993" w:type="dxa"/>
        <w:jc w:val="left"/>
        <w:tblInd w:w="0" w:type="dxa"/>
        <w:tblLayout w:type="fixed"/>
        <w:tblCellMar>
          <w:top w:w="0" w:type="dxa"/>
          <w:left w:w="0" w:type="dxa"/>
          <w:bottom w:w="0" w:type="dxa"/>
          <w:right w:w="0" w:type="dxa"/>
        </w:tblCellMar>
      </w:tblPr>
      <w:tblGrid>
        <w:gridCol w:w="260"/>
        <w:gridCol w:w="23"/>
        <w:gridCol w:w="671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460" w:name="xdx_F01_zrUhK6P7iey7"/>
            <w:bookmarkEnd w:id="1460"/>
            <w:r>
              <w:rPr>
                <w:rFonts w:ascii="Times New Roman;Times;Serif" w:hAnsi="Times New Roman;Times;Serif"/>
                <w:sz w:val="20"/>
              </w:rPr>
              <w:t>(6)</w:t>
            </w:r>
          </w:p>
        </w:tc>
        <w:tc>
          <w:tcPr>
            <w:tcW w:w="23" w:type="dxa"/>
            <w:tcBorders/>
            <w:vAlign w:val="center"/>
          </w:tcPr>
          <w:p>
            <w:pPr>
              <w:pStyle w:val="TableContents"/>
              <w:bidi w:val="0"/>
              <w:spacing w:before="0" w:after="283"/>
              <w:jc w:val="left"/>
              <w:rPr>
                <w:sz w:val="4"/>
                <w:szCs w:val="4"/>
              </w:rPr>
            </w:pPr>
            <w:r>
              <w:rPr>
                <w:sz w:val="4"/>
                <w:szCs w:val="4"/>
              </w:rPr>
            </w:r>
          </w:p>
        </w:tc>
        <w:tc>
          <w:tcPr>
            <w:tcW w:w="6710" w:type="dxa"/>
            <w:tcBorders/>
            <w:vAlign w:val="center"/>
          </w:tcPr>
          <w:p>
            <w:pPr>
              <w:pStyle w:val="TableContents"/>
              <w:bidi w:val="0"/>
              <w:spacing w:before="0" w:after="283"/>
              <w:jc w:val="both"/>
              <w:rPr>
                <w:rFonts w:ascii="Times New Roman;Times;Serif" w:hAnsi="Times New Roman;Times;Serif"/>
                <w:sz w:val="20"/>
              </w:rPr>
            </w:pPr>
            <w:bookmarkStart w:id="1461" w:name="xdx_F1D_zswjKe5sa5X3"/>
            <w:bookmarkEnd w:id="1461"/>
            <w:r>
              <w:rPr>
                <w:rFonts w:ascii="Times New Roman;Times;Serif" w:hAnsi="Times New Roman;Times;Serif"/>
                <w:sz w:val="20"/>
              </w:rPr>
              <w:t>Interest expense related to debt and change in fair market value of warrant liability</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1462" w:name="xdx_C06_gL3SOSRIBSTB-OXVJT_zEC7D1RBRvu8"/>
      <w:bookmarkEnd w:id="146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customer revenues from the Company’s DTC segment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one customer of the Company’s OEM segment represents approximately $</w:t>
      </w:r>
      <w:bookmarkStart w:id="1463" w:name="xdx_90A_eus-gaap--RevenueFromContractWit"/>
      <w:bookmarkEnd w:id="1463"/>
      <w:r>
        <w:rPr>
          <w:rFonts w:ascii="Times New Roman;Times;Serif" w:hAnsi="Times New Roman;Times;Serif"/>
          <w:b w:val="false"/>
          <w:i w:val="false"/>
          <w:caps w:val="false"/>
          <w:smallCaps w:val="false"/>
          <w:sz w:val="20"/>
        </w:rPr>
        <w:t xml:space="preserve">7,310, or </w:t>
      </w:r>
      <w:bookmarkStart w:id="1464" w:name="xdx_90A_eus-gaap--RevenueRemainingPerfor"/>
      <w:bookmarkEnd w:id="1464"/>
      <w:r>
        <w:rPr>
          <w:rFonts w:ascii="Times New Roman;Times;Serif" w:hAnsi="Times New Roman;Times;Serif"/>
          <w:b w:val="false"/>
          <w:i w:val="false"/>
          <w:caps w:val="false"/>
          <w:smallCaps w:val="false"/>
          <w:sz w:val="20"/>
        </w:rPr>
        <w:t>14%, of the Company’s consolidated revenues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465" w:name="xdx_80B_eus-gaap--SubsequentEventsTextBl"/>
      <w:bookmarkEnd w:id="1465"/>
      <w:r>
        <w:rPr>
          <w:rFonts w:ascii="Times New Roman;Times;Serif" w:hAnsi="Times New Roman;Times;Serif"/>
          <w:b/>
          <w:i w:val="false"/>
          <w:caps/>
          <w:sz w:val="20"/>
        </w:rPr>
        <w:t xml:space="preserve">Note 15 - </w:t>
      </w:r>
      <w:bookmarkStart w:id="1466" w:name="xdx_82E_zyuceDAtpD1g"/>
      <w:bookmarkEnd w:id="1466"/>
      <w:r>
        <w:rPr>
          <w:rFonts w:ascii="Times New Roman;Times;Serif" w:hAnsi="Times New Roman;Times;Serif"/>
          <w:b/>
          <w:i w:val="false"/>
          <w:caps/>
          <w:sz w:val="20"/>
        </w:rPr>
        <w:t>SUBSEQUENT EVENTS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the Company entered into an Equity Distribution Agreement with Canaccord Genuity LLC (the “Lead Agent”), as representative of the several sales agents identified on Schedule 1 thereto, pursuant to which the Company may offer and sell, from time to time, through the Lead Agent, up to $</w:t>
      </w:r>
      <w:bookmarkStart w:id="1467" w:name="xdx_900_eus-gaap--StockIssuedDuringPerio"/>
      <w:bookmarkEnd w:id="1467"/>
      <w:r>
        <w:rPr>
          <w:rFonts w:ascii="Times New Roman;Times;Serif" w:hAnsi="Times New Roman;Times;Serif"/>
          <w:b w:val="false"/>
          <w:i w:val="false"/>
          <w:caps w:val="false"/>
          <w:smallCaps w:val="false"/>
          <w:sz w:val="20"/>
        </w:rPr>
        <w:t>50.0 million of shares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2026, the Company’s executive leadership team agreed to reduce their salaries by approximately 20% for the remainder of fiscal 2026, effective April 1, 2026. The adjusted salaries are as follows: Dr. Phares - $</w:t>
      </w:r>
      <w:bookmarkStart w:id="1468" w:name="xdx_904_eus-gaap--EmployeeBenefitsAndSha"/>
      <w:bookmarkEnd w:id="1468"/>
      <w:r>
        <w:rPr>
          <w:rFonts w:ascii="Times New Roman;Times;Serif" w:hAnsi="Times New Roman;Times;Serif"/>
          <w:b w:val="false"/>
          <w:i w:val="false"/>
          <w:caps w:val="false"/>
          <w:smallCaps w:val="false"/>
          <w:sz w:val="20"/>
        </w:rPr>
        <w:t>498; Mr. Seaburg - $</w:t>
      </w:r>
      <w:bookmarkStart w:id="1469" w:name="xdx_904_eus-gaap--EmployeeBenefitsAndSha"/>
      <w:bookmarkEnd w:id="1469"/>
      <w:r>
        <w:rPr>
          <w:rFonts w:ascii="Times New Roman;Times;Serif" w:hAnsi="Times New Roman;Times;Serif"/>
          <w:b w:val="false"/>
          <w:i w:val="false"/>
          <w:caps w:val="false"/>
          <w:smallCaps w:val="false"/>
          <w:sz w:val="20"/>
        </w:rPr>
        <w:t>221; Mr. Bourns - $</w:t>
      </w:r>
      <w:bookmarkStart w:id="1470" w:name="xdx_90F_eus-gaap--EmployeeBenefitsAndSha"/>
      <w:bookmarkEnd w:id="1470"/>
      <w:r>
        <w:rPr>
          <w:rFonts w:ascii="Times New Roman;Times;Serif" w:hAnsi="Times New Roman;Times;Serif"/>
          <w:b w:val="false"/>
          <w:i w:val="false"/>
          <w:caps w:val="false"/>
          <w:smallCaps w:val="false"/>
          <w:sz w:val="20"/>
        </w:rPr>
        <w:t>264; and Dr. Singh - $</w:t>
      </w:r>
      <w:bookmarkStart w:id="1471" w:name="xdx_904_eus-gaap--EmployeeBenefitsAndSha"/>
      <w:bookmarkEnd w:id="1471"/>
      <w:r>
        <w:rPr>
          <w:rFonts w:ascii="Times New Roman;Times;Serif" w:hAnsi="Times New Roman;Times;Serif"/>
          <w:b w:val="false"/>
          <w:i w:val="false"/>
          <w:caps w:val="false"/>
          <w:smallCaps w:val="false"/>
          <w:sz w:val="20"/>
        </w:rPr>
        <w:t>280.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cash compensation, the executives were granted stock options under the Company’s 2022 Plan at an exercise price of $</w:t>
      </w:r>
      <w:bookmarkStart w:id="1472" w:name="xdx_90A_eus-gaap--SharePrice_iI_pid_c202"/>
      <w:bookmarkEnd w:id="1472"/>
      <w:r>
        <w:rPr>
          <w:rFonts w:ascii="Times New Roman;Times;Serif" w:hAnsi="Times New Roman;Times;Serif"/>
          <w:b w:val="false"/>
          <w:i w:val="false"/>
          <w:caps w:val="false"/>
          <w:smallCaps w:val="false"/>
          <w:sz w:val="20"/>
        </w:rPr>
        <w:t xml:space="preserve">2.99 per share: Dr. Phares - </w:t>
      </w:r>
      <w:bookmarkStart w:id="1473" w:name="xdx_90B_eus-gaap--ShareBasedCompensation"/>
      <w:bookmarkEnd w:id="1473"/>
      <w:r>
        <w:rPr>
          <w:rFonts w:ascii="Times New Roman;Times;Serif" w:hAnsi="Times New Roman;Times;Serif"/>
          <w:b w:val="false"/>
          <w:i w:val="false"/>
          <w:caps w:val="false"/>
          <w:smallCaps w:val="false"/>
          <w:sz w:val="20"/>
        </w:rPr>
        <w:t xml:space="preserve">38,269 shares; Mr. Seaburg - </w:t>
      </w:r>
      <w:bookmarkStart w:id="1474" w:name="xdx_905_eus-gaap--ShareBasedCompensation"/>
      <w:bookmarkEnd w:id="1474"/>
      <w:r>
        <w:rPr>
          <w:rFonts w:ascii="Times New Roman;Times;Serif" w:hAnsi="Times New Roman;Times;Serif"/>
          <w:b w:val="false"/>
          <w:i w:val="false"/>
          <w:caps w:val="false"/>
          <w:smallCaps w:val="false"/>
          <w:sz w:val="20"/>
        </w:rPr>
        <w:t xml:space="preserve">36,607 shares; Mr. Bourns - </w:t>
      </w:r>
      <w:bookmarkStart w:id="1475" w:name="xdx_900_eus-gaap--ShareBasedCompensation"/>
      <w:bookmarkEnd w:id="1475"/>
      <w:r>
        <w:rPr>
          <w:rFonts w:ascii="Times New Roman;Times;Serif" w:hAnsi="Times New Roman;Times;Serif"/>
          <w:b w:val="false"/>
          <w:i w:val="false"/>
          <w:caps w:val="false"/>
          <w:smallCaps w:val="false"/>
          <w:sz w:val="20"/>
        </w:rPr>
        <w:t xml:space="preserve">20,303 shares; and Dr. Singh </w:t>
      </w:r>
      <w:bookmarkStart w:id="1476" w:name="xdx_904_eus-gaap--ShareBasedCompensation"/>
      <w:bookmarkEnd w:id="1476"/>
      <w:r>
        <w:rPr>
          <w:rFonts w:ascii="Times New Roman;Times;Serif" w:hAnsi="Times New Roman;Times;Serif"/>
          <w:b w:val="false"/>
          <w:i w:val="false"/>
          <w:caps w:val="false"/>
          <w:smallCaps w:val="false"/>
          <w:sz w:val="20"/>
        </w:rPr>
        <w:t>21,534 shares. The options vest in three equal annual installments beginning April 1, 2026, subject to continued service and the terms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each non-employee director agreed to a comparable 20% reduction in cash compensation for the remainder of fiscal 2026. In lieu thereof, the directors were granted and aggregated of </w:t>
      </w:r>
      <w:bookmarkStart w:id="1477" w:name="xdx_90F_eus-gaap--ShareBasedCompensation"/>
      <w:bookmarkEnd w:id="1477"/>
      <w:r>
        <w:rPr>
          <w:rFonts w:ascii="Times New Roman;Times;Serif" w:hAnsi="Times New Roman;Times;Serif"/>
          <w:b w:val="false"/>
          <w:i w:val="false"/>
          <w:caps w:val="false"/>
          <w:smallCaps w:val="false"/>
          <w:sz w:val="20"/>
        </w:rPr>
        <w:t>13,364 RSUs under the Plan, subject to the same vesting terms and continued Board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December 31, 2025, certain securityholders exercised an aggregate of </w:t>
      </w:r>
      <w:bookmarkStart w:id="1478" w:name="xdx_900_eus-gaap--StockIssuedDuringPerio"/>
      <w:bookmarkEnd w:id="1478"/>
      <w:r>
        <w:rPr>
          <w:rFonts w:ascii="Times New Roman;Times;Serif" w:hAnsi="Times New Roman;Times;Serif"/>
          <w:b w:val="false"/>
          <w:i w:val="false"/>
          <w:caps w:val="false"/>
          <w:smallCaps w:val="false"/>
          <w:sz w:val="20"/>
        </w:rPr>
        <w:t xml:space="preserve">70,267 penny warrants for an aggregate of </w:t>
      </w:r>
      <w:bookmarkStart w:id="1479" w:name="xdx_90E_eus-gaap--StockIssuedDuringPerio"/>
      <w:bookmarkEnd w:id="1479"/>
      <w:r>
        <w:rPr>
          <w:rFonts w:ascii="Times New Roman;Times;Serif" w:hAnsi="Times New Roman;Times;Serif"/>
          <w:b w:val="false"/>
          <w:i w:val="false"/>
          <w:caps w:val="false"/>
          <w:smallCaps w:val="false"/>
          <w:sz w:val="20"/>
        </w:rPr>
        <w:t>69,985 shares of Common Stock on a cashless basis at an exercise price of $</w:t>
      </w:r>
      <w:bookmarkStart w:id="1480" w:name="xdx_905_eus-gaap--SharePrice_iI_pid_c202"/>
      <w:bookmarkEnd w:id="1480"/>
      <w:r>
        <w:rPr>
          <w:rFonts w:ascii="Times New Roman;Times;Serif" w:hAnsi="Times New Roman;Times;Serif"/>
          <w:b w:val="false"/>
          <w:i w:val="false"/>
          <w:caps w:val="false"/>
          <w:smallCaps w:val="false"/>
          <w:sz w:val="20"/>
        </w:rPr>
        <w:t>0.01 per share.</w:t>
      </w:r>
    </w:p>
    <w:p>
      <w:pPr>
        <w:pStyle w:val="TextBody"/>
        <w:bidi w:val="0"/>
        <w:spacing w:before="0" w:after="0"/>
        <w:ind w:left="0" w:right="0" w:hanging="0"/>
        <w:jc w:val="center"/>
        <w:rPr>
          <w:caps w:val="false"/>
          <w:smallCaps w:val="false"/>
        </w:rPr>
      </w:pPr>
      <w:bookmarkStart w:id="1481" w:name="xdx_815_zJOq1eNyzCJe"/>
      <w:bookmarkEnd w:id="148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482" w:name="ex4-19.htm"/>
      <w:bookmarkStart w:id="1483" w:name="ksex419"/>
      <w:bookmarkEnd w:id="1482"/>
      <w:bookmarkEnd w:id="148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summarizes the most important terms of our capital stock. It is subject to and qualified in its entirety by reference to our Articles of Incorporation, as amended (“</w:t>
      </w:r>
      <w:r>
        <w:rPr>
          <w:rFonts w:ascii="Times New Roman;Times;Serif" w:hAnsi="Times New Roman;Times;Serif"/>
          <w:b/>
          <w:i/>
          <w:caps w:val="false"/>
          <w:smallCaps w:val="false"/>
          <w:sz w:val="20"/>
        </w:rPr>
        <w:t>Charter</w:t>
      </w:r>
      <w:r>
        <w:rPr>
          <w:rFonts w:ascii="Times New Roman;Times;Serif" w:hAnsi="Times New Roman;Times;Serif"/>
          <w:b w:val="false"/>
          <w:i/>
          <w:caps w:val="false"/>
          <w:smallCaps w:val="false"/>
          <w:sz w:val="20"/>
        </w:rPr>
        <w:t>”), Certificate of Designation of Rights and Preferences of Series B Convertible Preferred Stock (the “</w:t>
      </w:r>
      <w:r>
        <w:rPr>
          <w:rFonts w:ascii="Times New Roman;Times;Serif" w:hAnsi="Times New Roman;Times;Serif"/>
          <w:b/>
          <w:i/>
          <w:caps w:val="false"/>
          <w:smallCaps w:val="false"/>
          <w:sz w:val="20"/>
        </w:rPr>
        <w:t>Certificate of Designation</w:t>
      </w:r>
      <w:r>
        <w:rPr>
          <w:rFonts w:ascii="Times New Roman;Times;Serif" w:hAnsi="Times New Roman;Times;Serif"/>
          <w:b w:val="false"/>
          <w:i/>
          <w:caps w:val="false"/>
          <w:smallCaps w:val="false"/>
          <w:sz w:val="20"/>
        </w:rPr>
        <w:t>”) and bylaws (“</w:t>
      </w:r>
      <w:r>
        <w:rPr>
          <w:rFonts w:ascii="Times New Roman;Times;Serif" w:hAnsi="Times New Roman;Times;Serif"/>
          <w:b/>
          <w:i/>
          <w:caps w:val="false"/>
          <w:smallCaps w:val="false"/>
          <w:sz w:val="20"/>
        </w:rPr>
        <w:t>Bylaws</w:t>
      </w:r>
      <w:r>
        <w:rPr>
          <w:rFonts w:ascii="Times New Roman;Times;Serif" w:hAnsi="Times New Roman;Times;Serif"/>
          <w:b w:val="false"/>
          <w:i/>
          <w:caps w:val="false"/>
          <w:smallCaps w:val="false"/>
          <w:sz w:val="20"/>
        </w:rPr>
        <w:t>”), which are included as exhibits to our annual report, of which this exhibit is a part. We encourage you to read our Charter, our Certificate of Designation, our Bylaws and the applicable provisions of the Nevada Revised Statutes (the “</w:t>
      </w:r>
      <w:r>
        <w:rPr>
          <w:rFonts w:ascii="Times New Roman;Times;Serif" w:hAnsi="Times New Roman;Times;Serif"/>
          <w:b/>
          <w:i/>
          <w:caps w:val="false"/>
          <w:smallCaps w:val="false"/>
          <w:sz w:val="20"/>
        </w:rPr>
        <w:t>NRS</w:t>
      </w:r>
      <w:r>
        <w:rPr>
          <w:rFonts w:ascii="Times New Roman;Times;Serif" w:hAnsi="Times New Roman;Times;Serif"/>
          <w:b w:val="false"/>
          <w:i/>
          <w:caps w:val="false"/>
          <w:smallCaps w:val="false"/>
          <w:sz w:val="20"/>
        </w:rPr>
        <w:t>”),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405,000,000 shares of capital stock authorized under our Charter, which consists of 400,000,000 shares of common stock with a par value of $0.0001 per share and 5,000,000 shares of preferred stock with par value $0.0001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authority, without further action by our stockholders, to issue up to 5,000,000 shares of preferred stock in one or more series and to fix the designations, rights, preferences, privileges and restrictions thereof, without further vote or action by the stockholders. These rights, preferences and privileges could include dividend rights, conversion rights, voting rights, redemption, liquidation preferences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5,000,000 authorized shares of preferred stock under the Charter, our board of directors has designated 25,000 shares as Series B Convertible Preferred Stock (the “</w:t>
      </w:r>
      <w:r>
        <w:rPr>
          <w:rFonts w:ascii="Times New Roman;Times;Serif" w:hAnsi="Times New Roman;Times;Serif"/>
          <w:b/>
          <w:i w:val="false"/>
          <w:caps w:val="false"/>
          <w:smallCaps w:val="false"/>
          <w:sz w:val="20"/>
        </w:rPr>
        <w:t>Series B Preferred Stock</w:t>
      </w:r>
      <w:r>
        <w:rPr>
          <w:rFonts w:ascii="Times New Roman;Times;Serif" w:hAnsi="Times New Roman;Times;Serif"/>
          <w:b w:val="false"/>
          <w:i w:val="false"/>
          <w:caps w:val="false"/>
          <w:smallCaps w:val="false"/>
          <w:sz w:val="20"/>
        </w:rPr>
        <w:t>”) pursuant to the Certificate of Designation. The Certificate of Designation provides the following with respect to the rights, powers, preferences and privileges of our Series B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B Preferred Stock has a stated value of $1,000 per share.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Ranking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 Preferred Stock, with respect to the payment of dividends, distributions and payments upon the liquidation, dissolution and winding up of the Company, ranks senior to all of our capital stock, unless the Requisite Holders (as defined in the Certificate of Designation) consents to our creation of other capital stock that is senior or equal in rank to the Series B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Series B Preferred Stock will be entitled to receive dividends, which will accrue at 10% per annum, commencing from the date of issuance of the Series B Preferred Stock (the “</w:t>
      </w:r>
      <w:r>
        <w:rPr>
          <w:rFonts w:ascii="Times New Roman;Times;Serif" w:hAnsi="Times New Roman;Times;Serif"/>
          <w:b/>
          <w:i w:val="false"/>
          <w:caps w:val="false"/>
          <w:smallCaps w:val="false"/>
          <w:sz w:val="20"/>
        </w:rPr>
        <w:t>Initial Issuance Date</w:t>
      </w:r>
      <w:r>
        <w:rPr>
          <w:rFonts w:ascii="Times New Roman;Times;Serif" w:hAnsi="Times New Roman;Times;Serif"/>
          <w:b w:val="false"/>
          <w:i w:val="false"/>
          <w:caps w:val="false"/>
          <w:smallCaps w:val="false"/>
          <w:sz w:val="20"/>
        </w:rPr>
        <w:t>”), payable (i) 80% in cash (the “</w:t>
      </w:r>
      <w:r>
        <w:rPr>
          <w:rFonts w:ascii="Times New Roman;Times;Serif" w:hAnsi="Times New Roman;Times;Serif"/>
          <w:b/>
          <w:i w:val="false"/>
          <w:caps w:val="false"/>
          <w:smallCaps w:val="false"/>
          <w:sz w:val="20"/>
        </w:rPr>
        <w:t>Cash Dividends</w:t>
      </w:r>
      <w:r>
        <w:rPr>
          <w:rFonts w:ascii="Times New Roman;Times;Serif" w:hAnsi="Times New Roman;Times;Serif"/>
          <w:b w:val="false"/>
          <w:i w:val="false"/>
          <w:caps w:val="false"/>
          <w:smallCaps w:val="false"/>
          <w:sz w:val="20"/>
        </w:rPr>
        <w:t>”) and (i) 20% “in kind” and added the Liquidation Preference (as defined below) of such holder’s Series B Preferred Stock (“</w:t>
      </w:r>
      <w:r>
        <w:rPr>
          <w:rFonts w:ascii="Times New Roman;Times;Serif" w:hAnsi="Times New Roman;Times;Serif"/>
          <w:b/>
          <w:i w:val="false"/>
          <w:caps w:val="false"/>
          <w:smallCaps w:val="false"/>
          <w:sz w:val="20"/>
        </w:rPr>
        <w:t>PIK Dividends</w:t>
      </w:r>
      <w:r>
        <w:rPr>
          <w:rFonts w:ascii="Times New Roman;Times;Serif" w:hAnsi="Times New Roman;Times;Serif"/>
          <w:b w:val="false"/>
          <w:i w:val="false"/>
          <w:caps w:val="false"/>
          <w:smallCaps w:val="false"/>
          <w:sz w:val="20"/>
        </w:rPr>
        <w:t>”). Such dividends are payable quarterly in arrears on the first trading day of each fiscal quarter commencing on the first trading day of the initial fiscal quarter after the date of issuance. Upon the occurrence of certain events, the dividend rate may automatically increase, as described in the Certificate of Designation.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at Option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from and after six months following the first date of issuance of any shares of Series B Preferred Stock, subject to the Beneficial Ownership Limitation (as defined below), each holder of Series B Preferred Stock may convert all or a portion of the outstanding Series B Preferred Stock, at such holder’s option, into shares of common stock at a conversion rate equal to the quotient of (i) the Liquidation Preference (as defined below) divided by (ii) $3.15.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Preference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B Preferred Stock carries a liquidation preference equal to (1) one thousand dollars ($1,000), plus (2) the aggregate amount of all PIK Dividends paid since the Initial Issuance Date, plus (3) the aggregate amount of all cash and PIK dividends that have accrued and remain unpaid since the Initial Issuance Date (the “</w:t>
      </w:r>
      <w:r>
        <w:rPr>
          <w:rFonts w:ascii="Times New Roman;Times;Serif" w:hAnsi="Times New Roman;Times;Serif"/>
          <w:b/>
          <w:i w:val="false"/>
          <w:caps w:val="false"/>
          <w:smallCaps w:val="false"/>
          <w:sz w:val="20"/>
        </w:rPr>
        <w:t>Liquidation Preference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Series B Preferred Stock shall have no voting power and no right to vote on any matter at any time, either as a separate series or class or together with any other series or class of shares of capital stock, and shall not be entitled to call a meeting of such holders for any purpose nor shall they be entitled to participate in any meeting of the holders of common stock, except as provided in the Certificate of Designation (or as otherwise required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of Control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change of control of the Company, each holder may require us to exchange such holder’s shares of Series B Preferred Stock for consideration equal to the Optional Redemption Price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 Optional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right, at any time, to redeem all or part of the then outstanding shares of Series B Preferred Stock (a “</w:t>
      </w:r>
      <w:r>
        <w:rPr>
          <w:rFonts w:ascii="Times New Roman;Times;Serif" w:hAnsi="Times New Roman;Times;Serif"/>
          <w:b/>
          <w:i w:val="false"/>
          <w:caps w:val="false"/>
          <w:smallCaps w:val="false"/>
          <w:sz w:val="20"/>
        </w:rPr>
        <w:t>Company Optional Redemption</w:t>
      </w:r>
      <w:r>
        <w:rPr>
          <w:rFonts w:ascii="Times New Roman;Times;Serif" w:hAnsi="Times New Roman;Times;Serif"/>
          <w:b w:val="false"/>
          <w:i w:val="false"/>
          <w:caps w:val="false"/>
          <w:smallCaps w:val="false"/>
          <w:sz w:val="20"/>
        </w:rPr>
        <w:t>”) by delivering a written notice to each holder of Series B Preferred Stock (such delivery date, the “</w:t>
      </w:r>
      <w:r>
        <w:rPr>
          <w:rFonts w:ascii="Times New Roman;Times;Serif" w:hAnsi="Times New Roman;Times;Serif"/>
          <w:b/>
          <w:i w:val="false"/>
          <w:caps w:val="false"/>
          <w:smallCaps w:val="false"/>
          <w:sz w:val="20"/>
        </w:rPr>
        <w:t>Company Optional Redemption Notice Date</w:t>
      </w:r>
      <w:r>
        <w:rPr>
          <w:rFonts w:ascii="Times New Roman;Times;Serif" w:hAnsi="Times New Roman;Times;Serif"/>
          <w:b w:val="false"/>
          <w:i w:val="false"/>
          <w:caps w:val="false"/>
          <w:smallCaps w:val="false"/>
          <w:sz w:val="20"/>
        </w:rPr>
        <w:t>”). The shares of Series B Preferred Stock subject to redemption will be redeemed by us in cash at a price equal to the greater of (a) the Liquidation Preference of the Series B Preferred Stock being redeemed as of the Company Optional Redemption Notice Date and (b) the as-converted value of the Series B Preferred Stock (as set forth in the Certificate of Designation) being redeemed as of the Company Optional Redemption Notice Date (the “</w:t>
      </w:r>
      <w:r>
        <w:rPr>
          <w:rFonts w:ascii="Times New Roman;Times;Serif" w:hAnsi="Times New Roman;Times;Serif"/>
          <w:b/>
          <w:i w:val="false"/>
          <w:caps w:val="false"/>
          <w:smallCaps w:val="false"/>
          <w:sz w:val="20"/>
        </w:rPr>
        <w:t>Optional Redemption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 Automatic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future equity offerings, we will be required to use 50% of the net proceeds from such offering to redeem outstanding shares of the Series B Preferred Stock at the Optional Redemption Price. In the event we have not redeemed the outstanding shares of Series B Preferred Stock by October 7, 2027 or upon the occurrence of a Non-Payment Event (as defined in the Certificate of Designation), the holders will have the right to require us to redeem the Series B Preferred Stock at the Optional Redemption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 contains a variety of obligations on our part not to engage in specified activities. In particular, we will not, and will cause our subsidiaries to not, redeem, repurchase or declare any dividend or distribution on any of our capital stock (other than as required under the Certificate of Designation) and will not incur any funded indebtedness (other than Permitted Indebtedness, as defined in the Certificate of Designation), enter into any transactions with affiliates, or incur any liens, in each case without the prior written consent of the Requisite Holders and subject to certain exceptions, as applicable. In addition, we will not issue any shares of Series B Preferred Stock or issue any other securities that would cause a breach or default under the Certificate of Designation.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Series B Preferred Stock is restricted from acquiring shares of common stock upon conversion thereof that would result in the number of shares beneficially owned by such holder and its affiliates exceeding 4.99% of the total number of shares of common stock outstanding immediately after giving effect to the conversion (the “</w:t>
      </w: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certain terms and provisions of our Public Warrants is not complete and is subject to, and qualified in its entirety by the provisions of the respective Warrant Agreement and form of Public Warrant which are filed as exhibits to this annual report of which this exhibit is a part. We encourage you to review the terms and provisions set forth in the Warrant Agreement and form of Public Warrant. The Public Warrants are administered by Equiniti Trust Company, LLC, as the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If a registration statement registering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redeemable Public Warrant entitles the registered holder to purchase one share of common stock at a price of $1,035 per share, subject to adjustment for stock splits or combinations, stock dividends and distributions, reclassifications, subdivisions, and other similar transactions. Pursuant to the Amended And Restated Warrant Agreement,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Adjustments;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shares underlying the Public Warrants are subject to appropriate adjustment in the event of stock splits, stock dividends on our common shares, stock combinations or similar events affecting our common shares. If, at any time while the Public Warrants are outstanding, (1) we consolidate or merge with or into another corporation whether or not the Company is the surviving corporation, (2) we sell, lease, license, assign, transfer, convey or otherwise dispose of all or substantially all of our assets, or any of its significant subsidiaries (as defined in Rule 1-02 of Regulation S-X) or (3) we effect any reclassification or recapitalization of the ordinary shares or any compulsory exchange pursuant to which the ordinary shares are converted into or exchanged for other securities, cash or property, or each, a “Fundamental Transaction,” then upon any subsequent exercise of the Warrants, the holders thereof will have the right to receive the same amount and kind of securities, cash or property as it would have been entitled to receive upon the occurrence of such Fundamental Transaction if it had been, immediately prior to such Fundamental Transaction, the holder of the number of ordinary shares then issuable upon exercise of those Warrants, and any additional consideration payable as part of the Fundamental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call the Public Warrants for redemption in accordance with the terms summarized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$0.90 per warrant;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“30-day redemption period”) to each warrant holder;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sales price of our common stock equals or exceeds $1,440 per share for any ten (10) trading days within a 30-trading day period ending three business days before we send the notice of redemption;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there is a current registration statement in effect with respect to the offer and sale of the shares of common stock underlying such warrants at the time of redemption and for the entire 30-trading day period referred to above and continuing each day thereafter until the date of redemption.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and the limitations provided within the Amended and Restated Warrant Agreement, the Public Warrants may be transferred at the option of the holders upon surrender of the to the warrant agent, together with the appropriate instruments of transfer.</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as a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Warrant Agreement or by virtue of such holder’s ownership of common stock, holders of the Public Warrants do not have rights or privileges of holders of common stock, including any voting rights, until a holder exercises such Public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and Warrant Agreement are governed by New York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the Charter, the Bylaws and Nevada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Nevada corporation and are generally governed by the NRS. The following is a brief description of the provisions in our Charter, Bylaws and the NRS that could have an effect of delaying, deferring, or preventing a change in control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NRS, our Charter,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Combinations with Interested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expiration of the two-year period, the corporation is prohibited from engaging in a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are entitled to opt out of the business combination provisions of the NRS. In our Charter, we have not opted out of the business combination provisions of NRS 78.411 to 78.444, inclusive.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law also protects the corporation and its stockholders from persons acquiring a “controlling interest” in a corporation. The provisions can be found in NRS 78.378 to 78.3793, inclusive. Delaware law does not have similar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Charter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and Bylaws provide for: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classifying our board of directors into three classes;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authorizing the issuance of “blank check” preferred stock, the terms of which may be established and shares of which may be issued without stockholder approval;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the removal of directors by the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the affirmative vote of holders of at least 66 2/3% of the voting power of all of the then outstanding shares of stock entitled to vote in the election of directors, voting as a single class, to adopt, amend alter or repeal our Bylaws and amend certain provisions of our Chart, including provisions relating to the size of the board, removal of directors, special meetings, and actions by written consent;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prohibiting stockholder action by written consent, thereby requiring all stockholder actions to be taken at a meeting of our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eliminating the ability of stockholders to call a special meeting of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advance notice requirements for nominations for election to the board of directors or for proposing matters that can be acted upon at stockholder meetings;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Nevada as the exclusive jurisdiction for certain stockholder litigation against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Classes of common stock and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class or series, delay, defer, or prevent a change of control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78.138 of the NRS provides that, unless the corporation’s Charter provide otherwise, a director or officer will not be individually liable unless the presumption that it is acting in good faith and on an informed basis with a view to the interests of the corporation has been rebutted, and it is proven that (i) the director’s or officer’s acts or omissions constituted a breach of his or her fiduciary duties, and (ii) such breach involved intentional misconduct, fraud, or a knowing violation of the law.</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78.7502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they are or were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them in connection with the action, suit or proceeding if they: (a) are not liable pursuant to NRS 78.138; or (b) acted in good faith and in a manner which they reasonably believed to be in or not opposed to the best interests of the corporation, and, with respect to any criminal action or proceeding, had no reasonable cause to believe their conduct was unlawful.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they reasonably believed to be in or not opposed to the best interests of the corporation, or that, with respect to any criminal action or proceeding, they had reasonable cause to believe that their conduct was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78.7502 of the NRS provides that a corporation may indemnify any person who was or is a party or is threatened to be made a party to any threatened, pending or completed action or suit by or in the right of the corporation to procure a judgment in its favor by reason of the fact that they are or were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them in connection with the defense or settlement of the action or suit if they: (a) are not liable pursuant to NRS 78.138; or (b) acted in good faith and in a manner which they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78.751 of the NRS provides that to the extent that a director, officer, employee or agent of a corporation has been successful on the merits or otherwise in defense of any action, suit or proceeding referred to above, or in defense of any claim, issue or matter therein, the corporation shall indemnify them against expenses, including attorneys’ fees, actually and reasonably incurred by them in connection with their defense.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Charter, bylaws, or other agreement. Section 78.751 of the NRS permits a Nevada company to indemnify its officers and directors against expenses incurred by them in defending a civil or criminal action, suit, or proceeding as they are incurred and in advance of final disposition thereof upon receipt of an undertaking by or on behalf of the director or officer to repay the amount if it is ultimately determined by a court of competent jurisdiction that the director or officer is not entitled to be indemnified by the corporation. The Charter, bylaws, or other agreement may require a corporation to advance such expenses upon receipt of such an undertaking. Section 78.751 of the NRS further permits a Nevada company to grant its directors and officers additional rights of indemnification under its articles of incorporation, bylaws, or other agreement; provided, however, that unless advanced or otherwise ordered by a court, indemnification may not be made to or on behalf of any director or officer finally adjudged by a court, after exhaustion of appeals, to be liable for intentional misconduct, fraud, or a knowing violation of law that was material to the cause of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them and liability and expenses incurred by them in their capacity as a director, officer, employee, or agent, or arising out of their status as such, whether or not the company has the authority to indemnify them against such liability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without interest, if it shall ultimately be determined by final adjudication from which there is no further right to appeal that the indemnitee is not entitled to be indemnified.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insurance policy pursuant to which our directors and officers are insured against liability for actions taken in their capacities as directors and officers. We believe these provisions in the Charter and the Bylaws and these indemnification agreements are necessary to attract and retain qualified persons as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Choice of Forum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in Article XI, includes a mandatory forum provision that, to the fullest extent permitted by law, and unless we consent in writing, the Second Judicial District Court, in and for the State of Nevada, located in Washoe County, shall be the sole and exclusive forum for (a) 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Charter or Bylaws, (d) any action to interpret, apply, enforce or determine the validity of the Charter or Bylaws or (e) any action asserting a claim governed by the internal affairs doctrine.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Transfer Agent and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shares of common stock and warrant agent for all of our warrants is Equiniti Trust Company,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Capital Market under the symbol “DFLI” and our Public Warrants are currently listed on the Nasdaq Capital Market under the symbol “DFLIW”.</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1484" w:name="ex23-1.htm"/>
      <w:bookmarkStart w:id="1485" w:name="ksex231"/>
      <w:bookmarkEnd w:id="1484"/>
      <w:bookmarkEnd w:id="148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Forms S-8 (Nos. 333-286400, 333-291637, 333-294096, 333-280173, 333-268784 and 333-274277 ), Form S-3 (No. 333-275559) and on Post-Effective Amendment No. 1 to Form S-1 on Form S-3 (No. 333-272401) of our report dated March 30, 2026, with respect to the consolidated financial statements of Dragonfly Energy Holding Corp. included in this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 xml:space="preserve">CBIZ CPAs P.C.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486" w:name="ex23-2.htm"/>
      <w:bookmarkStart w:id="1487" w:name="ksex232"/>
      <w:bookmarkEnd w:id="1486"/>
      <w:bookmarkEnd w:id="148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Forms S-8 (Nos. 333-294096, 333-291627, 333-286400, 333-280173, 333-268784 and 333-274277), on Form S-3 (Nos. 333-284669 and 333-275559) and on Post-Effective Amendment No. 1 to Form S-1 on Form S-3 (No. 333-272401) of our report dated March 31, 2025, except for the effect of the reverse stock split described in Note 1, as to which the date is March 30, 2026, with respect to the consolidated financial statements of Dragonfly Energy Holdings Corp. included in this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488" w:name="ex31-1.htm"/>
      <w:bookmarkStart w:id="1489" w:name="ksex311"/>
      <w:bookmarkEnd w:id="1488"/>
      <w:bookmarkEnd w:id="148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RULES 13a-14(a) AND 15d-14(a) UNDER THE SECURITIES EXCHANGE ACT OF 1934, 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Denis Phares, certify that: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for the period ended December 31, 2025 of Dragonfly Energy Holdings Corp.;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75"/>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490" w:name="ex31-2.htm"/>
      <w:bookmarkStart w:id="1491" w:name="ksex312"/>
      <w:bookmarkEnd w:id="1490"/>
      <w:bookmarkEnd w:id="149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RULES 13a-14(a) AND 15d-14(a) UNDER THE SECURITIES EXCHANGE ACT OF 1934, AS ADOPTED PURSUANT TO 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Denis Phares,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8"/>
        <w:gridCol w:w="9977"/>
      </w:tblGrid>
      <w:tr>
        <w:trPr/>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10-K for the period ended December 31, 2025 of Dragonfly Energy Holdings Corp.;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75"/>
        <w:gridCol w:w="36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492" w:name="ex32-1.htm"/>
      <w:bookmarkStart w:id="1493" w:name="ksex321"/>
      <w:bookmarkEnd w:id="1492"/>
      <w:bookmarkEnd w:id="149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AND CHIEF FINANCIAL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Annual Report on Form 10-K of Dragonfly Energy Holdings Corp. (the “Company”) for the year ended December 31, 2025 (the “Annual Report”), Denis Phares, as Chief Executive Officer and as Interim Chief Financial Officer, certifies in his capacity as such officer of the Company, that to his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Annual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8415" w:type="dxa"/>
        <w:jc w:val="left"/>
        <w:tblInd w:w="0" w:type="dxa"/>
        <w:tblLayout w:type="fixed"/>
        <w:tblCellMar>
          <w:top w:w="0" w:type="dxa"/>
          <w:left w:w="0" w:type="dxa"/>
          <w:bottom w:w="0" w:type="dxa"/>
          <w:right w:w="0" w:type="dxa"/>
        </w:tblCellMar>
      </w:tblPr>
      <w:tblGrid>
        <w:gridCol w:w="1910"/>
        <w:gridCol w:w="320"/>
        <w:gridCol w:w="6185"/>
      </w:tblGrid>
      <w:tr>
        <w:trPr/>
        <w:tc>
          <w:tcPr>
            <w:tcW w:w="1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30,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1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91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91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Interim Chief Financial Officer</w:t>
            </w:r>
          </w:p>
        </w:tc>
      </w:tr>
      <w:tr>
        <w:trPr/>
        <w:tc>
          <w:tcPr>
            <w:tcW w:w="191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 and 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shall not be deemed “filed” for any purpose, nor shall it be deemed to be incorporated by reference into any filing under the Securities Act of 1933 or the Exchange Act.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1847986/000110465922081684/cntq-20210630xex2d1a.htm" TargetMode="External"/><Relationship Id="rId7" Type="http://schemas.openxmlformats.org/officeDocument/2006/relationships/hyperlink" Target="https://www.sec.gov/Archives/edgar/data/1847986/000149315223010262/ex2-1.htm" TargetMode="External"/><Relationship Id="rId8" Type="http://schemas.openxmlformats.org/officeDocument/2006/relationships/hyperlink" Target="https://www.sec.gov/Archives/edgar/data/1847986/000149315223010262/ex3-1.htm" TargetMode="External"/><Relationship Id="rId9" Type="http://schemas.openxmlformats.org/officeDocument/2006/relationships/hyperlink" Target="https://www.sec.gov/Archives/edgar/data/1847986/000149315223043109/ex3-1.htm" TargetMode="External"/><Relationship Id="rId10" Type="http://schemas.openxmlformats.org/officeDocument/2006/relationships/hyperlink" Target="https://www.sec.gov/Archives/edgar/data/1847986/000149315224047295/ex3-1.htm" TargetMode="External"/><Relationship Id="rId11" Type="http://schemas.openxmlformats.org/officeDocument/2006/relationships/hyperlink" Target="https://www.sec.gov/Archives/edgar/data/1847986/000164117225006463/ex3-1.htm" TargetMode="External"/><Relationship Id="rId12" Type="http://schemas.openxmlformats.org/officeDocument/2006/relationships/hyperlink" Target="https://www.sec.gov/Archives/edgar/data/1847986/000149315225028282/ex3-1.htm" TargetMode="External"/><Relationship Id="rId13" Type="http://schemas.openxmlformats.org/officeDocument/2006/relationships/hyperlink" Target="https://www.sec.gov/Archives/edgar/data/1847986/000149315225008445/ex3-1.htm" TargetMode="External"/><Relationship Id="rId14" Type="http://schemas.openxmlformats.org/officeDocument/2006/relationships/hyperlink" Target="https://www.sec.gov/Archives/edgar/data/1847986/000149315225020907/ex3-1.htm" TargetMode="External"/><Relationship Id="rId15" Type="http://schemas.openxmlformats.org/officeDocument/2006/relationships/hyperlink" Target="https://www.sec.gov/Archives/edgar/data/1847986/000149315223010262/ex3-2.htm" TargetMode="External"/><Relationship Id="rId16" Type="http://schemas.openxmlformats.org/officeDocument/2006/relationships/hyperlink" Target="https://www.sec.gov/Archives/edgar/data/1847986/000110465922107212/tm2222125d3_ex4-1.htm" TargetMode="External"/><Relationship Id="rId17" Type="http://schemas.openxmlformats.org/officeDocument/2006/relationships/hyperlink" Target="https://www.sec.gov/Archives/edgar/data/1847986/000110465922107212/tm2222125d3_ex4-2.htm" TargetMode="External"/><Relationship Id="rId18" Type="http://schemas.openxmlformats.org/officeDocument/2006/relationships/hyperlink" Target="https://www.sec.gov/Archives/edgar/data/1847986/000110465922107212/tm2222125d3_ex4-3.htm" TargetMode="External"/><Relationship Id="rId19" Type="http://schemas.openxmlformats.org/officeDocument/2006/relationships/hyperlink" Target="https://www.sec.gov/Archives/edgar/data/1847986/000110465922110688/dfli-20220630xex4d4.htm" TargetMode="External"/><Relationship Id="rId20" Type="http://schemas.openxmlformats.org/officeDocument/2006/relationships/hyperlink" Target="https://www.sec.gov/Archives/edgar/data/1847986/000149315223012533/ex4-5.htm" TargetMode="External"/><Relationship Id="rId21" Type="http://schemas.openxmlformats.org/officeDocument/2006/relationships/hyperlink" Target="https://www.sec.gov/Archives/edgar/data/1847986/000149315223007147/ex4-1.htm" TargetMode="External"/><Relationship Id="rId22" Type="http://schemas.openxmlformats.org/officeDocument/2006/relationships/hyperlink" Target="https://www.sec.gov/Archives/edgar/data/1847986/000149315223021997/ex4-1.htm" TargetMode="External"/><Relationship Id="rId23" Type="http://schemas.openxmlformats.org/officeDocument/2006/relationships/hyperlink" Target="https://www.sec.gov/Archives/edgar/data/1847986/000149315223021293/ex4-8.htm" TargetMode="External"/><Relationship Id="rId24" Type="http://schemas.openxmlformats.org/officeDocument/2006/relationships/hyperlink" Target="https://www.sec.gov/Archives/edgar/data/1847986/000149315223046623/ex4-1.htm" TargetMode="External"/><Relationship Id="rId25" Type="http://schemas.openxmlformats.org/officeDocument/2006/relationships/hyperlink" Target="https://www.sec.gov/Archives/edgar/data/1847986/000149315224008733/ex4-1.htm" TargetMode="External"/><Relationship Id="rId26" Type="http://schemas.openxmlformats.org/officeDocument/2006/relationships/hyperlink" Target="https://www.sec.gov/Archives/edgar/data/1847986/000149315224008722/ex4-1.htm" TargetMode="External"/><Relationship Id="rId27" Type="http://schemas.openxmlformats.org/officeDocument/2006/relationships/hyperlink" Target="https://www.sec.gov/Archives/edgar/data/1847986/000149315224019360/ex4-3.htm" TargetMode="External"/><Relationship Id="rId28" Type="http://schemas.openxmlformats.org/officeDocument/2006/relationships/hyperlink" Target="https://www.sec.gov/Archives/edgar/data/1847986/000149315224025664/ex4-1.htm" TargetMode="External"/><Relationship Id="rId29" Type="http://schemas.openxmlformats.org/officeDocument/2006/relationships/hyperlink" Target="https://www.sec.gov/Archives/edgar/data/1847986/000149315224040278/ex4-1.htm" TargetMode="External"/><Relationship Id="rId30" Type="http://schemas.openxmlformats.org/officeDocument/2006/relationships/hyperlink" Target="https://www.sec.gov/Archives/edgar/data/1847986/000149315225000307/ex4-1.htm" TargetMode="External"/><Relationship Id="rId31" Type="http://schemas.openxmlformats.org/officeDocument/2006/relationships/hyperlink" Target="https://www.sec.gov/Archives/edgar/data/1847986/000149315225008445/ex4-1.htm" TargetMode="External"/><Relationship Id="rId32" Type="http://schemas.openxmlformats.org/officeDocument/2006/relationships/hyperlink" Target="https://www.sec.gov/Archives/edgar/data/1847986/000149315225008445/ex4-2.htm" TargetMode="External"/><Relationship Id="rId33" Type="http://schemas.openxmlformats.org/officeDocument/2006/relationships/hyperlink" Target="https://www.sec.gov/Archives/edgar/data/1847986/000149315225018340/ex4-1.htm" TargetMode="External"/><Relationship Id="rId34" Type="http://schemas.openxmlformats.org/officeDocument/2006/relationships/hyperlink" Target="https://www.sec.gov/Archives/edgar/data/1847986/000110465922107212/tm2222125d3_ex10-5.htm" TargetMode="External"/><Relationship Id="rId35" Type="http://schemas.openxmlformats.org/officeDocument/2006/relationships/hyperlink" Target="https://www.sec.gov/Archives/edgar/data/1847986/000110465922107212/tm2222125d3_ex10-6.htm" TargetMode="External"/><Relationship Id="rId36" Type="http://schemas.openxmlformats.org/officeDocument/2006/relationships/hyperlink" Target="https://www.sec.gov/Archives/edgar/data/1847986/000110465922081684/cntq-20210630xex10d11.htm" TargetMode="External"/><Relationship Id="rId37" Type="http://schemas.openxmlformats.org/officeDocument/2006/relationships/hyperlink" Target="https://www.sec.gov/Archives/edgar/data/1847986/000110465922081684/cntq-20210630xex10d12.htm" TargetMode="External"/><Relationship Id="rId38" Type="http://schemas.openxmlformats.org/officeDocument/2006/relationships/hyperlink" Target="https://www.sec.gov/Archives/edgar/data/1847986/000110465922107212/tm2222125d3_ex10-10.htm" TargetMode="External"/><Relationship Id="rId39" Type="http://schemas.openxmlformats.org/officeDocument/2006/relationships/hyperlink" Target="https://www.sec.gov/Archives/edgar/data/1847986/000110465922107212/tm2222125d3_ex10-11.htm" TargetMode="External"/><Relationship Id="rId40" Type="http://schemas.openxmlformats.org/officeDocument/2006/relationships/hyperlink" Target="https://www.sec.gov/Archives/edgar/data/1847986/000110465922107212/tm2222125d3_ex10-12.htm" TargetMode="External"/><Relationship Id="rId41" Type="http://schemas.openxmlformats.org/officeDocument/2006/relationships/hyperlink" Target="https://www.sec.gov/Archives/edgar/data/1847986/000110465922107212/tm2222125d3_ex10-13.htm" TargetMode="External"/><Relationship Id="rId42" Type="http://schemas.openxmlformats.org/officeDocument/2006/relationships/hyperlink" Target="https://www.sec.gov/Archives/edgar/data/1847986/000110465922107212/tm2222125d3_ex10-14.htm" TargetMode="External"/><Relationship Id="rId43" Type="http://schemas.openxmlformats.org/officeDocument/2006/relationships/hyperlink" Target="https://www.sec.gov/Archives/edgar/data/1847986/000110465922107212/tm2222125d3_ex10-15.htm" TargetMode="External"/><Relationship Id="rId44" Type="http://schemas.openxmlformats.org/officeDocument/2006/relationships/hyperlink" Target="https://www.sec.gov/Archives/edgar/data/1847986/000110465922107212/tm2222125d3_ex10-19.htm" TargetMode="External"/><Relationship Id="rId45" Type="http://schemas.openxmlformats.org/officeDocument/2006/relationships/hyperlink" Target="https://www.sec.gov/Archives/edgar/data/1847986/000110465922107212/tm2222125d3_ex10-20.htm" TargetMode="External"/><Relationship Id="rId46" Type="http://schemas.openxmlformats.org/officeDocument/2006/relationships/hyperlink" Target="https://www.sec.gov/Archives/edgar/data/1847986/000110465922107212/tm2222125d3_ex10-21.htm" TargetMode="External"/><Relationship Id="rId47" Type="http://schemas.openxmlformats.org/officeDocument/2006/relationships/hyperlink" Target="https://www.sec.gov/Archives/edgar/data/1847986/000164117225001755/ex10-19.htm" TargetMode="External"/><Relationship Id="rId48" Type="http://schemas.openxmlformats.org/officeDocument/2006/relationships/hyperlink" Target="https://www.sec.gov/Archives/edgar/data/1847986/000110465922114961/dfli-20220630xex10d23.htm" TargetMode="External"/><Relationship Id="rId49" Type="http://schemas.openxmlformats.org/officeDocument/2006/relationships/hyperlink" Target="https://www.sec.gov/Archives/edgar/data/1847986/000149315223012533/ex10-28.htm" TargetMode="External"/><Relationship Id="rId50" Type="http://schemas.openxmlformats.org/officeDocument/2006/relationships/hyperlink" Target="https://www.sec.gov/Archives/edgar/data/1847986/000149315223012533/ex10-29.htm" TargetMode="External"/><Relationship Id="rId51" Type="http://schemas.openxmlformats.org/officeDocument/2006/relationships/hyperlink" Target="https://www.sec.gov/Archives/edgar/data/1847986/000149315223012533/ex10-30.htm" TargetMode="External"/><Relationship Id="rId52" Type="http://schemas.openxmlformats.org/officeDocument/2006/relationships/hyperlink" Target="https://www.sec.gov/Archives/edgar/data/1847986/000149315223012533/ex10-31.htm" TargetMode="External"/><Relationship Id="rId53" Type="http://schemas.openxmlformats.org/officeDocument/2006/relationships/hyperlink" Target="https://www.sec.gov/Archives/edgar/data/1847986/000149315223012533/ex10-32.htm" TargetMode="External"/><Relationship Id="rId54" Type="http://schemas.openxmlformats.org/officeDocument/2006/relationships/hyperlink" Target="https://www.sec.gov/Archives/edgar/data/1847986/000149315223012533/ex10-33.htm" TargetMode="External"/><Relationship Id="rId55" Type="http://schemas.openxmlformats.org/officeDocument/2006/relationships/hyperlink" Target="https://www.sec.gov/Archives/edgar/data/1847986/000149315223012533/ex10-34.htm" TargetMode="External"/><Relationship Id="rId56" Type="http://schemas.openxmlformats.org/officeDocument/2006/relationships/hyperlink" Target="https://www.sec.gov/Archives/edgar/data/1847986/000149315223012533/ex10-35.htm" TargetMode="External"/><Relationship Id="rId57" Type="http://schemas.openxmlformats.org/officeDocument/2006/relationships/hyperlink" Target="https://www.sec.gov/Archives/edgar/data/1847986/000149315223012533/ex10-36.htm" TargetMode="External"/><Relationship Id="rId58" Type="http://schemas.openxmlformats.org/officeDocument/2006/relationships/hyperlink" Target="https://www.sec.gov/Archives/edgar/data/1847986/000149315223012533/ex10-37.htm" TargetMode="External"/><Relationship Id="rId59" Type="http://schemas.openxmlformats.org/officeDocument/2006/relationships/hyperlink" Target="https://www.sec.gov/Archives/edgar/data/1847986/000149315223012533/ex10-38.htm" TargetMode="External"/><Relationship Id="rId60" Type="http://schemas.openxmlformats.org/officeDocument/2006/relationships/hyperlink" Target="https://www.sec.gov/Archives/edgar/data/1847986/000149315223009479/ex10-1.htm" TargetMode="External"/><Relationship Id="rId61" Type="http://schemas.openxmlformats.org/officeDocument/2006/relationships/hyperlink" Target="https://www.sec.gov/Archives/edgar/data/1847986/000149315223046623/ex10-1.htm" TargetMode="External"/><Relationship Id="rId62" Type="http://schemas.openxmlformats.org/officeDocument/2006/relationships/hyperlink" Target="https://www.sec.gov/Archives/edgar/data/1847986/000149315224014831/ex10-42.htm" TargetMode="External"/><Relationship Id="rId63" Type="http://schemas.openxmlformats.org/officeDocument/2006/relationships/hyperlink" Target="https://www.sec.gov/Archives/edgar/data/1847986/000149315224014831/ex10-43.htm" TargetMode="External"/><Relationship Id="rId64" Type="http://schemas.openxmlformats.org/officeDocument/2006/relationships/hyperlink" Target="https://www.sec.gov/Archives/edgar/data/1847986/000149315224014831/ex10-44.htm" TargetMode="External"/><Relationship Id="rId65" Type="http://schemas.openxmlformats.org/officeDocument/2006/relationships/hyperlink" Target="https://www.sec.gov/Archives/edgar/data/1847986/000149315224014831/ex10-45.htm" TargetMode="External"/><Relationship Id="rId66" Type="http://schemas.openxmlformats.org/officeDocument/2006/relationships/hyperlink" Target="https://www.sec.gov/Archives/edgar/data/1847986/000149315224014831/ex10-46.htm" TargetMode="External"/><Relationship Id="rId67" Type="http://schemas.openxmlformats.org/officeDocument/2006/relationships/hyperlink" Target="https://www.sec.gov/Archives/edgar/data/1847986/000149315224014831/ex10-47.htm" TargetMode="External"/><Relationship Id="rId68" Type="http://schemas.openxmlformats.org/officeDocument/2006/relationships/hyperlink" Target="https://www.sec.gov/Archives/edgar/data/1847986/000149315224019360/ex10-1.htm" TargetMode="External"/><Relationship Id="rId69" Type="http://schemas.openxmlformats.org/officeDocument/2006/relationships/hyperlink" Target="https://www.sec.gov/Archives/edgar/data/1847986/000149315224020704/ex10-1.htm" TargetMode="External"/><Relationship Id="rId70" Type="http://schemas.openxmlformats.org/officeDocument/2006/relationships/hyperlink" Target="https://www.sec.gov/Archives/edgar/data/1847986/000149315224025664/ex10-1.htm" TargetMode="External"/><Relationship Id="rId71" Type="http://schemas.openxmlformats.org/officeDocument/2006/relationships/hyperlink" Target="https://www.sec.gov/Archives/edgar/data/1847986/000149315224029924/ex10-1.htm" TargetMode="External"/><Relationship Id="rId72" Type="http://schemas.openxmlformats.org/officeDocument/2006/relationships/hyperlink" Target="https://www.sec.gov/Archives/edgar/data/1847986/000149315224029924/ex10-2.htm" TargetMode="External"/><Relationship Id="rId73" Type="http://schemas.openxmlformats.org/officeDocument/2006/relationships/hyperlink" Target="https://www.sec.gov/Archives/edgar/data/1847986/000149315224029924/ex10-3.htm" TargetMode="External"/><Relationship Id="rId74" Type="http://schemas.openxmlformats.org/officeDocument/2006/relationships/hyperlink" Target="https://www.sec.gov/Archives/edgar/data/1847986/000149315224029924/ex10-4.htm" TargetMode="External"/><Relationship Id="rId75" Type="http://schemas.openxmlformats.org/officeDocument/2006/relationships/hyperlink" Target="https://www.sec.gov/Archives/edgar/data/1847986/000149315224040278/ex10-1.htm" TargetMode="External"/><Relationship Id="rId76" Type="http://schemas.openxmlformats.org/officeDocument/2006/relationships/hyperlink" Target="https://www.sec.gov/Archives/edgar/data/1847986/000149315225000307/ex10-1.htm" TargetMode="External"/><Relationship Id="rId77" Type="http://schemas.openxmlformats.org/officeDocument/2006/relationships/hyperlink" Target="https://www.sec.gov/Archives/edgar/data/1847986/000149315225005013/ex10-1.htm" TargetMode="External"/><Relationship Id="rId78" Type="http://schemas.openxmlformats.org/officeDocument/2006/relationships/hyperlink" Target="https://www.sec.gov/Archives/edgar/data/1847986/000149315225008445/ex10-1.htm" TargetMode="External"/><Relationship Id="rId79" Type="http://schemas.openxmlformats.org/officeDocument/2006/relationships/hyperlink" Target="https://www.sec.gov/Archives/edgar/data/1847986/000149315225008445/ex10-2.htm" TargetMode="External"/><Relationship Id="rId80" Type="http://schemas.openxmlformats.org/officeDocument/2006/relationships/hyperlink" Target="https://www.sec.gov/Archives/edgar/data/1847986/000149315225008445/ex10-4.htm" TargetMode="External"/><Relationship Id="rId81" Type="http://schemas.openxmlformats.org/officeDocument/2006/relationships/hyperlink" Target="https://www.sec.gov/Archives/edgar/data/1847986/000164117225020360/ex10-1.htm" TargetMode="External"/><Relationship Id="rId82" Type="http://schemas.openxmlformats.org/officeDocument/2006/relationships/hyperlink" Target="https://www.sec.gov/Archives/edgar/data/1847986/000149315225018142/ex10-1.htm" TargetMode="External"/><Relationship Id="rId83" Type="http://schemas.openxmlformats.org/officeDocument/2006/relationships/hyperlink" Target="https://www.sec.gov/Archives/edgar/data/1847986/000149315225018691/ex10-1.htm" TargetMode="External"/><Relationship Id="rId84" Type="http://schemas.openxmlformats.org/officeDocument/2006/relationships/hyperlink" Target="https://www.sec.gov/Archives/edgar/data/1847986/000149315225020907/ex10-1.htm" TargetMode="External"/><Relationship Id="rId85" Type="http://schemas.openxmlformats.org/officeDocument/2006/relationships/hyperlink" Target="https://www.sec.gov/Archives/edgar/data/1847986/000149315226004495/ex1-1.htm" TargetMode="External"/><Relationship Id="rId86" Type="http://schemas.openxmlformats.org/officeDocument/2006/relationships/hyperlink" Target="https://www.sec.gov/Archives/edgar/data/1847986/000164117225000298/ex16-1.htm" TargetMode="External"/><Relationship Id="rId87" Type="http://schemas.openxmlformats.org/officeDocument/2006/relationships/hyperlink" Target="https://www.sec.gov/Archives/edgar/data/1847986/000164117225001755/ex19-1.htm" TargetMode="External"/><Relationship Id="rId88" Type="http://schemas.openxmlformats.org/officeDocument/2006/relationships/hyperlink" Target="https://www.sec.gov/Archives/edgar/data/1847986/000164117225001755/ex21-1.htm" TargetMode="External"/><Relationship Id="rId89" Type="http://schemas.openxmlformats.org/officeDocument/2006/relationships/hyperlink" Target="https://www.sec.gov/Archives/edgar/data/1847986/000149315224014831/ex97-1.htm" TargetMode="External"/><Relationship Id="rId90" Type="http://schemas.openxmlformats.org/officeDocument/2006/relationships/fontTable" Target="fontTable.xml"/><Relationship Id="rId9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91238</Words>
  <Characters>498860</Characters>
  <CharactersWithSpaces>593237</CharactersWithSpaces>
  <Paragraphs>14042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