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(Name(s)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of Dragonfly Energy Holdings Corp. (the “Company”), or the Annual Meeting, which will be held on Monday, October 15, 2025, at 9:00 a.m., Pacific Time. This year’s Annual Meeting will be held via the Internet. Stockholders will be able to listen to the meeting live, submit questions and vote online regardless of location via the Internet at </w:t>
      </w:r>
      <w:r>
        <w:rPr>
          <w:rFonts w:ascii="Times New Roman" w:cs="Times New Roman" w:eastAsia="Times New Roman" w:hAnsi="Times New Roman"/>
          <w:sz w:val="18"/>
          <w:szCs w:val="18"/>
          <w:i w:val="1"/>
          <w:iCs w:val="1"/>
          <w:color w:val="auto"/>
        </w:rPr>
        <w:t xml:space="preserve">http://web.viewproxy.com/DFLI/2025. </w:t>
      </w:r>
      <w:r>
        <w:rPr>
          <w:rFonts w:ascii="Times New Roman" w:cs="Times New Roman" w:eastAsia="Times New Roman" w:hAnsi="Times New Roman"/>
          <w:sz w:val="18"/>
          <w:szCs w:val="18"/>
          <w:color w:val="auto"/>
        </w:rPr>
        <w:t>You will be able to attend the Annual Meeting by first registering at</w:t>
      </w:r>
      <w:r>
        <w:rPr>
          <w:rFonts w:ascii="Times New Roman" w:cs="Times New Roman" w:eastAsia="Times New Roman" w:hAnsi="Times New Roman"/>
          <w:sz w:val="18"/>
          <w:szCs w:val="18"/>
          <w:i w:val="1"/>
          <w:iCs w:val="1"/>
          <w:color w:val="auto"/>
        </w:rPr>
        <w:t xml:space="preserve"> http://web.viewproxy.com/DFLI/2025. </w:t>
      </w:r>
      <w:r>
        <w:rPr>
          <w:rFonts w:ascii="Times New Roman" w:cs="Times New Roman" w:eastAsia="Times New Roman" w:hAnsi="Times New Roman"/>
          <w:sz w:val="18"/>
          <w:szCs w:val="18"/>
          <w:color w:val="auto"/>
        </w:rPr>
        <w:t>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 a meeting invitation by e-mail with your unique join link along with a password prior to the meeting date. </w:t>
      </w:r>
      <w:r>
        <w:rPr>
          <w:rFonts w:ascii="Times New Roman" w:cs="Times New Roman" w:eastAsia="Times New Roman" w:hAnsi="Times New Roman"/>
          <w:sz w:val="18"/>
          <w:szCs w:val="18"/>
          <w:b w:val="1"/>
          <w:bCs w:val="1"/>
          <w:color w:val="auto"/>
        </w:rPr>
        <w:t>You will not be able to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 in person.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225"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2028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one-for-two (1:2) and not greater than one-for-fifty (1:50)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of the Company, as amended (the “Articles of Incorporation”), to increase the number of shares of common stock authorized for issuance thereunder to 400,000,000 in the event a reverse stock split of our common stock is effectuated in which our authorized common stock is reduced on a pro rata basis with such reverse stock split (the “Increase in Authorized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2022 Equity Incentive Plan (the “2022 Plan”) to increase the number of shares of common stock authorized for issuance thereunder by 9,000,000 to 10,217,443 (the “Equity Plan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to adjust the voting requirements to amend the number of shares of authorized common stock and preferred stock (the “Voting Standard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the Increase in Authorized Proposal, the Equity Plan Proposal and/or the Voting Standard Proposal are insufficient to approve such proposals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Company’s fiscal year ending December 31, 2025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complete, sign and return the proxy card whether or not you plan to attend the Annual Meeting. Alternatively, you may vote online at </w:t>
      </w:r>
      <w:r>
        <w:rPr>
          <w:rFonts w:ascii="Times New Roman" w:cs="Times New Roman" w:eastAsia="Times New Roman" w:hAnsi="Times New Roman"/>
          <w:sz w:val="18"/>
          <w:szCs w:val="18"/>
          <w:i w:val="1"/>
          <w:iCs w:val="1"/>
          <w:color w:val="auto"/>
        </w:rPr>
        <w:t xml:space="preserve">http://web.viewproxy.com/DFLI/2025. </w:t>
      </w:r>
      <w:r>
        <w:rPr>
          <w:rFonts w:ascii="Times New Roman" w:cs="Times New Roman" w:eastAsia="Times New Roman" w:hAnsi="Times New Roman"/>
          <w:sz w:val="18"/>
          <w:szCs w:val="18"/>
          <w:b w:val="1"/>
          <w:bCs w:val="1"/>
          <w:color w:val="auto"/>
        </w:rPr>
        <w:t>Your vote is important regardless of the number of shares you own. Voting by proxy will not prevent you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voting at the virtual Annual Meeting (provided you follow the revocation procedures described in the accompanying proxy statement) but will assure that your vote is counted if you cannot attend.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the Board and the employees of Dragonfly Energy Holdings Corp., we thank you for your continued support and look forward to speaking with you at the Annual Meeting.</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Clove Road, Suite 400, Little Falls, NJ, 07424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1-844-202-5696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October 15, 2025</w:t>
      </w:r>
    </w:p>
    <w:p>
      <w:pPr>
        <w:spacing w:after="0" w:line="211" w:lineRule="exact"/>
        <w:rPr>
          <w:sz w:val="20"/>
          <w:szCs w:val="20"/>
          <w:color w:val="auto"/>
        </w:rPr>
      </w:pPr>
    </w:p>
    <w:p>
      <w:pPr>
        <w:sectPr>
          <w:pgSz w:w="11900" w:h="16838" w:orient="portrait"/>
          <w:cols w:equalWidth="0" w:num="2">
            <w:col w:w="420" w:space="38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 a.m., Pacific Time</w:t>
      </w:r>
    </w:p>
    <w:p>
      <w:pPr>
        <w:spacing w:after="0" w:line="211" w:lineRule="exact"/>
        <w:rPr>
          <w:sz w:val="20"/>
          <w:szCs w:val="20"/>
          <w:color w:val="auto"/>
        </w:rPr>
      </w:pPr>
    </w:p>
    <w:p>
      <w:pPr>
        <w:sectPr>
          <w:pgSz w:w="11900" w:h="16838" w:orient="portrait"/>
          <w:cols w:equalWidth="0" w:num="2">
            <w:col w:w="460" w:space="340"/>
            <w:col w:w="104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year’s Annual Meeting will be held via the Internet. Stockholders will be able to listen, vote and submit questions regardless of location via the Internet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b w:val="1"/>
          <w:bCs w:val="1"/>
          <w:color w:val="auto"/>
        </w:rPr>
        <w:t xml:space="preserve"> You will be able to attend the Annual Meeting by first registering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b w:val="1"/>
          <w:bCs w:val="1"/>
          <w:color w:val="auto"/>
        </w:rPr>
        <w:t>. You will receive a meeting invitation by e-mail with your unique join link along with a password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prior to the meeting date.</w:t>
      </w:r>
    </w:p>
    <w:p>
      <w:pPr>
        <w:spacing w:after="0" w:line="180" w:lineRule="exact"/>
        <w:rPr>
          <w:sz w:val="20"/>
          <w:szCs w:val="20"/>
          <w:color w:val="auto"/>
        </w:rPr>
      </w:pPr>
    </w:p>
    <w:p>
      <w:pPr>
        <w:sectPr>
          <w:pgSz w:w="11900" w:h="16838" w:orient="portrait"/>
          <w:cols w:equalWidth="0" w:num="2">
            <w:col w:w="480" w:space="320"/>
            <w:col w:w="104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 our 2025 Annual Meeting, we will ask you:</w:t>
      </w:r>
    </w:p>
    <w:p>
      <w:pPr>
        <w:spacing w:after="0" w:line="225"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(the “Board”) to hold office until the 2028 annual meeting of stockholders (the “Director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one-for-two (1:2) and not greater than one-for-fifty (1:50) (the “Reverse Stock Split”), with the exact ratio to be determined by our Board and included in a public announcement (the “Reverse Stock Split Proposal”);</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of the Company, as amended (the “Articles of Incorporation”), to increase the number of shares of common stock authorized for issuance thereunder to 400,000,000 in the event a reverse stock split of our common stock is effectuated in which our authorized common stock is reduced on a pro rata basis with such reverse stock split (the “Increase in Authorized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2022 Equity Incentive Plan (the “2022 Plan”) to increase the number of shares of common stock authorized for issuance thereunder by 9,000,000 to 10,217,443 (the “Equity Plan Proposal”);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to adjust the voting requirements to amend the number of shares of authorized common stock and preferred stock (the “Voting Standard Proposal”);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the Increase in Authorized Proposal, the Equity Plan Proposal and/or the Voting Standard Proposal are insufficient to approve such proposals (the “Adjournment Proposal);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Company’s fiscal year ending December 31, 2025 (the “Auditor Proposal”);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at the Annual Meeting (or any adjournment or postponement of the Annual Meeting) if you were a stockholder of Dragonfly Energy Holdings Corp. at the close of business on September 10, 2025 (the “Record Date”). Only stockholders of record at the close of business on the Record Date are entitled to notice of, and to vote at, the Annual Meeting.</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jc w:val="right"/>
        <w:ind w:right="10220"/>
        <w:spacing w:after="0"/>
        <w:rPr>
          <w:sz w:val="20"/>
          <w:szCs w:val="20"/>
          <w:color w:val="auto"/>
        </w:rPr>
      </w:pPr>
      <w:r>
        <w:rPr>
          <w:rFonts w:ascii="Times New Roman" w:cs="Times New Roman" w:eastAsia="Times New Roman" w:hAnsi="Times New Roman"/>
          <w:sz w:val="17"/>
          <w:szCs w:val="17"/>
          <w:color w:val="auto"/>
        </w:rPr>
        <w:t>Reno, Nevada</w:t>
      </w:r>
    </w:p>
    <w:p>
      <w:pPr>
        <w:spacing w:after="0" w:line="39" w:lineRule="exact"/>
        <w:rPr>
          <w:sz w:val="20"/>
          <w:szCs w:val="20"/>
          <w:color w:val="auto"/>
        </w:rPr>
      </w:pPr>
    </w:p>
    <w:p>
      <w:pPr>
        <w:jc w:val="right"/>
        <w:ind w:right="10160"/>
        <w:spacing w:after="0"/>
        <w:rPr>
          <w:sz w:val="20"/>
          <w:szCs w:val="20"/>
          <w:color w:val="auto"/>
        </w:rPr>
      </w:pPr>
      <w:r>
        <w:rPr>
          <w:rFonts w:ascii="Times New Roman" w:cs="Times New Roman" w:eastAsia="Times New Roman" w:hAnsi="Times New Roman"/>
          <w:sz w:val="18"/>
          <w:szCs w:val="18"/>
          <w:color w:val="auto"/>
        </w:rPr>
        <w:t>, 2025</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2025 ANNUAL MEETING OF STOCKHOLDERS TO BE HELD ON OCTOBER 15, 2025: Our Proxy Statement for the 2025 Annual Meeting of Stockholders and the Annual Report to Stockholders on Form 10-K for the fiscal year ended December 31, 2024 are available at </w:t>
      </w:r>
      <w:r>
        <w:rPr>
          <w:rFonts w:ascii="Times New Roman" w:cs="Times New Roman" w:eastAsia="Times New Roman" w:hAnsi="Times New Roman"/>
          <w:sz w:val="18"/>
          <w:szCs w:val="18"/>
          <w:b w:val="1"/>
          <w:bCs w:val="1"/>
          <w:i w:val="1"/>
          <w:iCs w:val="1"/>
          <w:color w:val="auto"/>
        </w:rPr>
        <w:t>http://web.viewproxy.com/DFLI/2025</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You are cordially invited to attend the Annual Meeting via live webcast by visiting </w:t>
      </w:r>
      <w:r>
        <w:rPr>
          <w:rFonts w:ascii="Times New Roman" w:cs="Times New Roman" w:eastAsia="Times New Roman" w:hAnsi="Times New Roman"/>
          <w:sz w:val="18"/>
          <w:szCs w:val="18"/>
          <w:b w:val="1"/>
          <w:bCs w:val="1"/>
          <w:i w:val="1"/>
          <w:iCs w:val="1"/>
          <w:color w:val="auto"/>
        </w:rPr>
        <w:t>http://web.viewproxy.com/DFLI/2025.</w:t>
      </w:r>
      <w:r>
        <w:rPr>
          <w:rFonts w:ascii="Times New Roman" w:cs="Times New Roman" w:eastAsia="Times New Roman" w:hAnsi="Times New Roman"/>
          <w:sz w:val="18"/>
          <w:szCs w:val="18"/>
          <w:b w:val="1"/>
          <w:bCs w:val="1"/>
          <w:color w:val="auto"/>
        </w:rPr>
        <w:t xml:space="preserve"> To be sure your vote is counted and assure a quorum is present, it is important that you vote your shares regardless of the number of shares you own. The Board urges you to vote over the Internet by going to </w:t>
      </w:r>
      <w:r>
        <w:rPr>
          <w:rFonts w:ascii="Times New Roman" w:cs="Times New Roman" w:eastAsia="Times New Roman" w:hAnsi="Times New Roman"/>
          <w:sz w:val="18"/>
          <w:szCs w:val="18"/>
          <w:b w:val="1"/>
          <w:bCs w:val="1"/>
          <w:i w:val="1"/>
          <w:iCs w:val="1"/>
          <w:color w:val="auto"/>
        </w:rPr>
        <w:t>http://web.viewproxy.com/DFLI/2025</w:t>
      </w:r>
      <w:r>
        <w:rPr>
          <w:rFonts w:ascii="Times New Roman" w:cs="Times New Roman" w:eastAsia="Times New Roman" w:hAnsi="Times New Roman"/>
          <w:sz w:val="18"/>
          <w:szCs w:val="18"/>
          <w:b w:val="1"/>
          <w:bCs w:val="1"/>
          <w:color w:val="auto"/>
        </w:rPr>
        <w:t xml:space="preserve"> or by telephone by calling Alliance Advisors at 1-844-202-5696 or to sign, date and mark the proxy card promptly and return it to Dragonfly Energy Holdings Corp. Voting over the Internet or by telephone or by returning the proxy card will not prevent you from voting at the virtual Annual Meeting. </w:t>
      </w:r>
      <w:r>
        <w:rPr>
          <w:rFonts w:ascii="Times New Roman" w:cs="Times New Roman" w:eastAsia="Times New Roman" w:hAnsi="Times New Roman"/>
          <w:sz w:val="18"/>
          <w:szCs w:val="18"/>
          <w:b w:val="1"/>
          <w:bCs w:val="1"/>
          <w:i w:val="1"/>
          <w:iCs w:val="1"/>
          <w:color w:val="auto"/>
        </w:rPr>
        <w:t>Under Securities and Exchange Commission rules,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Dragonfly Energy Holdings Corp., or Dragonfly, is a Nevada corporation. As used in this proxy statement, “we,” “us,” “our” and the “Company” refer to Dragonfly Energy Holdings Corp. The term “Annual Meeting” as used in this proxy statement refers to the 2025 Annual Meeting of Stockholders and includes any adjournment or postponement of the Annual Meeting.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where you can access this proxy statement for the 2025 Annual Meeting, our Annual Report on Form 10-K for the fiscal year ended December 31,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is soliciting your proxy to vote at the Annual Meeting. This proxy statement is first being made available to stockholders on or about , 2025. This proxy statement summarizes the information you will need to know to cast an informed vote at the Annual Meeting. You do not need to attend the Annual Meeting to vote your shares. You may simply complete, sign and return the proxy card and your votes will be cast for you at the Annual Meeting or you may vote online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xml:space="preserve"> This process is described below in the section entitled “Voting Rights.”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and the Notice of Annual Meeting are dated , 2025. If you owned shares of common stock of Dragonfly at the close of business on September 10,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you are entitled to vote at the Annual Meeting, as set out below. Each share of common stock is entitled to one vote per share. On the Record Date, there were shares of common stock outstanding.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year’s Annual Meeting will be held in a virtual meeting format only. The Annual Meeting will convene on October 15, 2025, at 9:00 a.m., Pacific Time. In order to participate in the Annual Meeting live via the Internet, you must register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xml:space="preserve"> by 11:59 p.m., Eastern Time by October 14, 2025. If you are a registered holder, you must register using the virtual control number included on your proxy card.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the day of the Annual Meeting, if you have properly registered, you may enter the Annual Meeting by logging in using the event password you received via email in your registration confirmation at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where you will be able to listen to the meeting live, submit questions and vote online. You will need the virtual control number. As part of the Annual Meeting, we will hold a live question and answer session, during which we intend to answer questions submitted in writing during the meeting in accordance with the Annual Meeting procedures which are pertinent to the Company and the meeting matters, as time permits. Questions and answers will be grouped by topic and substantially similar questions will be grouped and answered once.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encounter any technical difficulties accessing the Annual Meeting live audio webcast during the meeting time, there will be technicians ready to assist you with any technical difficulties you may have accessing the Annual Meeting live audio webcast. Please be sure to check in by 8:45 a.m., Pacific Time on October 15, 2025, the day of the Annual Meeting, so that any technical difficulties may be addressed before the Annual Meeting live audio webcast begins. If you encounter any difficulties accessing the webcast during the check-in or meeting time, please email VirtualMeeting@viewproxy.com or call 1-844-202-5696.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live webcast of the Annual Meeting, we encourage you to vote in advance by Internet, telephone or mail so that your vote will be counted even if you later decide not to attend the virtual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you will be asked to vote:</w:t>
      </w:r>
    </w:p>
    <w:p>
      <w:pPr>
        <w:spacing w:after="0" w:line="2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to hold office until the 2028 annual meeting of stockholders (the “</w:t>
      </w:r>
      <w:r>
        <w:rPr>
          <w:rFonts w:ascii="Times New Roman" w:cs="Times New Roman" w:eastAsia="Times New Roman" w:hAnsi="Times New Roman"/>
          <w:sz w:val="18"/>
          <w:szCs w:val="18"/>
          <w:b w:val="1"/>
          <w:bCs w:val="1"/>
          <w:color w:val="auto"/>
        </w:rPr>
        <w:t>Directo</w:t>
      </w: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Board, in its discretion at any time within one year after stockholder approval is obtained, to effect a reverse stock split of only the then-outstanding shares of our common stock (with no change to the authorized capital stock of the Company), at a ratio of not less than one-for-two (1:2) and not greater than one-for-fifty (1:50)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with the exact ratio to be determined by our Board and included in a public announcement (the “</w:t>
      </w:r>
      <w:r>
        <w:rPr>
          <w:rFonts w:ascii="Times New Roman" w:cs="Times New Roman" w:eastAsia="Times New Roman" w:hAnsi="Times New Roman"/>
          <w:sz w:val="18"/>
          <w:szCs w:val="18"/>
          <w:b w:val="1"/>
          <w:bCs w:val="1"/>
          <w:color w:val="auto"/>
        </w:rPr>
        <w:t>Reverse Stock Split 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Articles of Incorporation of the Company, as amended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to increase the number of common stock authorized for issuance thereunder to 400,000,000 in the event a reverse stock split of our common stock is effectuated prior to approval of the Reverse Stock Split Proposal (the “</w:t>
      </w:r>
      <w:r>
        <w:rPr>
          <w:rFonts w:ascii="Times New Roman" w:cs="Times New Roman" w:eastAsia="Times New Roman" w:hAnsi="Times New Roman"/>
          <w:sz w:val="18"/>
          <w:szCs w:val="18"/>
          <w:b w:val="1"/>
          <w:bCs w:val="1"/>
          <w:color w:val="auto"/>
        </w:rPr>
        <w:t>Increase in Authorized Proposal</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2022 Plan to increase the number of shares of common stock authorized for issuance thereunder by 9,000,000 to 10,217,443 (the “</w:t>
      </w:r>
      <w:r>
        <w:rPr>
          <w:rFonts w:ascii="Times New Roman" w:cs="Times New Roman" w:eastAsia="Times New Roman" w:hAnsi="Times New Roman"/>
          <w:sz w:val="18"/>
          <w:szCs w:val="18"/>
          <w:b w:val="1"/>
          <w:bCs w:val="1"/>
          <w:color w:val="auto"/>
        </w:rPr>
        <w:t>Equity Plan Proposal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Articles of Incorporation to adjust the voting requirements to amend the number of shares of authorized common stock and preferred stock (the “</w:t>
      </w:r>
      <w:r>
        <w:rPr>
          <w:rFonts w:ascii="Times New Roman" w:cs="Times New Roman" w:eastAsia="Times New Roman" w:hAnsi="Times New Roman"/>
          <w:sz w:val="18"/>
          <w:szCs w:val="18"/>
          <w:b w:val="1"/>
          <w:bCs w:val="1"/>
          <w:color w:val="auto"/>
        </w:rPr>
        <w:t>Voting Standard Proposal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in the event that the number of shares of common stock present or represented by proxy at the Annual Meeting and voting “FOR” the approval of the Reverse Stock Split Proposal, the Increase in Authorized Proposal, the Equity Plan Proposal and/or the Voting Standard Proposal are insufficient to approve such proposals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the Company’s independent registered public accounting firm for the Company’s fiscal year ending December 31, 2025 (the “</w:t>
      </w:r>
      <w:r>
        <w:rPr>
          <w:rFonts w:ascii="Times New Roman" w:cs="Times New Roman" w:eastAsia="Times New Roman" w:hAnsi="Times New Roman"/>
          <w:sz w:val="18"/>
          <w:szCs w:val="18"/>
          <w:b w:val="1"/>
          <w:bCs w:val="1"/>
          <w:color w:val="auto"/>
        </w:rPr>
        <w:t>Auditor Proposal</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that may properly come before the meeting or any adjournment or postponement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The holders of one-third of the voting power of the outstanding shares of capital stock entitled to vote at the Annual Meeting as of the Record Date, represented in person or by proxy, will constitute a quorum for the transaction of business at the Annual Meeting. We will include proxies marked as abstentions and withheld votes to determine the number of shares present at the Annual Meeting. If brokers have, and exercise, discretionary authority on at least one item on the agenda for the Annual Meeting, uninstructed shares for which broker non-votes occur will constitute voting power present for the discretionary matter and will therefore count towards the quorum.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common stock are entitled to one vote at the Annual Meeting for each share of the common stock owned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via live webcast, by phone, over the Internet or by proxy. If you wish to vote your shares electronically at the Annual Meeting, there will be a live link provided during the Annual Meeting (you will need the virtual control number assigned to you).</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vote over the Internet, you must go to </w:t>
      </w:r>
      <w:r>
        <w:rPr>
          <w:rFonts w:ascii="Times New Roman" w:cs="Times New Roman" w:eastAsia="Times New Roman" w:hAnsi="Times New Roman"/>
          <w:sz w:val="18"/>
          <w:szCs w:val="18"/>
          <w:i w:val="1"/>
          <w:iCs w:val="1"/>
          <w:color w:val="auto"/>
        </w:rPr>
        <w:t>http://web.viewproxy.com/DFLI/2025</w:t>
      </w:r>
      <w:r>
        <w:rPr>
          <w:rFonts w:ascii="Times New Roman" w:cs="Times New Roman" w:eastAsia="Times New Roman" w:hAnsi="Times New Roman"/>
          <w:sz w:val="18"/>
          <w:szCs w:val="18"/>
          <w:color w:val="auto"/>
        </w:rPr>
        <w:t xml:space="preserve">. To vote by phone, please call 1-844-202-5696.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8"/>
          <w:szCs w:val="18"/>
          <w:b w:val="1"/>
          <w:bCs w:val="1"/>
          <w:color w:val="auto"/>
        </w:rPr>
        <w:t>If you are a stockholder of record and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return a properly executed proxy card or vote by proxy over the Internet but do not mark the boxes showing how you wish to vote, your proxy will vote your shares “FOR” the Board’s nominees for director; “FOR” the Reverse Stock Split Proposal; “FOR” the Increase in Authorized Proposal; “FOR” the Equity Plan Proposal; “FOR” the Voting Standard Proposal; “FOR” the Adjournment Proposal; and “FOR” the Auditor Proposal and, in the discretion of the proxy holders, on any other matters that properly come before the meeting. </w:t>
      </w:r>
      <w:r>
        <w:rPr>
          <w:rFonts w:ascii="Times New Roman" w:cs="Times New Roman" w:eastAsia="Times New Roman" w:hAnsi="Times New Roman"/>
          <w:sz w:val="18"/>
          <w:szCs w:val="18"/>
          <w:color w:val="auto"/>
        </w:rPr>
        <w:t>If any other matter is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proxy will vote your shares as a majority of the Board determines. As of the date of this proxy statement, we know of no other matters that may be presented at the Annual Meeting, other than those listed in the Notice of the Annual Meeting.</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bank, brokerage firm or other nominee, you should vote your shares in accordance with the steps required by such bank, brokerage firm or other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that a quorum is present, the following votes will be required to approve each proposal:</w:t>
      </w:r>
    </w:p>
    <w:p>
      <w:pPr>
        <w:spacing w:after="0" w:line="225" w:lineRule="exact"/>
        <w:rPr>
          <w:sz w:val="20"/>
          <w:szCs w:val="20"/>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Director Proposal, directors are elected by a plurality of the votes cast in person or represented by proxy and entitled to vote on the election of directors. The director nominees who receive the greatest number of votes at the Annual Meeting (up to the total number of directors to be elected) will be elected. As a result, withheld votes and “broker non-votes” (see below), if any, will not affect the outcome of the vote on the Director Proposal. Consequently, only shares that are voted in favor of a particular nominee will be counted toward such nominee’s achievement of a plurality. You may not vote your shares cumulatively for the election of directors.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Proposal requires the affirmative vote of a majority of the total votes cast on this proposal, in person or by proxy. Shares that are not represented at the Annual Meeting, abstentions, if any, and, if this proposal is deemed to be “non-routine,” broker non-votes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Authorized Proposal requires the affirmative vote of a majority in voting power of the outstanding shares of our common stock entitled to vote on the proposal. Shares that are not represented at the Annual Meeting, abstentions, if any, and, if this proposal is deemed to be “non-routine,” broker non-votes with respect to this proposal will have the same practical effect as a vote against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Plan Proposal requires the affirmative vote of a majority of the total votes cast on this proposal, in person or by proxy. Shares that are not represented at the Annual Meeting, abstentions, if any, and, if this proposal is deemed to be “non-routine,” broker non-votes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Standard Proposal requires the affirmative vote of a majority in voting power of the outstanding shares of our common stock entitled to vote on the proposal. Shares that are not represented at the Annual Meeting, abstentions, if any, and, if this proposal is deemed to be “non-routine,” broker non-votes with respect to this proposal will have the same practical effect as a vote against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requires the affirmative vote of a majority of the total votes cast on this proposal, in person or by proxy. Shares that are not represented at the Annual Meeting, abstentions, if any, and, if this proposal is deemed to be “non-routine,” broker non-votes with respect to this proposal will not affect the outcome of the vote on this proposal. If this proposal is deemed to be “routine,” no broker non-votes will occur on this proposal.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Proposal requires the affirmative vote of a majority of the total votes cast on this proposal, in person or by proxy. Shares that are not represented at the Annual Meeting and abstentions will not affect the outcome of the vote on this proposal. Because this proposal is “routine,” no broker non-votes will occur on this proposal.</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matter that may properly come before the Annual Meeting, the affirmative vote of a majority of the total votes cast by holders of our common stock, in person or by proxy, is required to approve such proposals, except as required by law. As a result, abstentions, if any, will not affect the outcome of the vote on these proposals. No broker non-votes will occur on any “routine” proposals, and broker non-votes will not affect the outcome of any “non-routine”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You will not have any dissenters’ rights of appraisal in connection with any of the matters to be voted on at the Annual Meeting.</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has determined that a vote in favor of the foregoing proposals is in the best interests of Dragonfly and our stockholders and unanimously recommends a vote </w:t>
      </w:r>
      <w:r>
        <w:rPr>
          <w:rFonts w:ascii="Times New Roman" w:cs="Times New Roman" w:eastAsia="Times New Roman" w:hAnsi="Times New Roman"/>
          <w:sz w:val="18"/>
          <w:szCs w:val="18"/>
          <w:b w:val="1"/>
          <w:bCs w:val="1"/>
          <w:color w:val="auto"/>
        </w:rPr>
        <w:t>“FOR” the Board’s nominees for director; “FOR” the Reverse Stock Split Proposal; “FOR” the Increase in</w:t>
      </w: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Authorized Proposal; “FOR” the Equity Plan Proposal; “FOR” the Voting Standard Proposal; “FOR” the Adjournment Proposal; and “FOR” the Auditor Proposal and, in the discretion of the proxy holders, on any other matters that properly come before the meeting.</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proxies for proposals that are deemed “routine” by the New York Stock Exchange, which means that they can submit a proxy or cast a ballot on behalf of stockholders who do not provide a specific voting instruction. Brokers and banks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ensure that your shares are present and voted at the Annual Meeting on all matters and if you wish to direct the voting of your shares on “routine” matters.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broker non-vote occurs when there is at least one “routine” matter to be considered at a meeting and a broker submits a proxy to vote on at least one “routine” proposal but does not vote on a given proposal because the broker does not have discretionary power for that particular item and has not received instructions from the beneficial owner on that proposal.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election of directors is generally not considered to be a “routine” matter and neither banks nor brokers are permitted to vote on these matters if the bank or broker has not received instructions from the beneficial owner. Accordingly, it is particularly important that beneficial owners instruct their brokers how they wish to vote their shares for the Director Proposal.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Reverse Stock Split Proposal is likely to be considered a “routine” matter. If such proposal is “routine,” a bank or broker may be able to vote on the Reverse Stock Split Proposal even if it does not receive instructions from you, so long as it holds your shares in its name. If, however, the Reverse Stock Split Proposal is deemed by the New York Stock Exchange to be a “non-routine” matter, brokers will not be permitted to vote on the Reverse Stock Split Proposal if the broker has not received instructions from the beneficial owner.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Increase in Authorized Proposal is likely to be considered a “routine” matter. If such proposal is “routine,” a bank or broker may be able to vote on the Increase in Authorized Proposal even if it does not receive instructions from you, so long as it holds your shares in its name. If the New York Stock Exchange determines the Increase in Authorized Proposal to be “non-routine,” failure to vote on the Increase in Authorized Proposal, which requires the affirmative vote of at least a majority in voting power of our issued and outstanding shares of common stock, or to instruct your broker how to vote any shares held for you in your broker’s names, will have the same effect as a vote against such proposal. Accordingly, it is particularly important that beneficial owners instruct their brokers how they wish to vote their shares for the Increase in Authorized Proposal.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Equity Plan Proposal is generally not considered to be a “routine” matter and banks or brokers are not permitted to vote on these matters if the bank or broker has not received instructions from the beneficial owner. Accordingly, it is particularly important that beneficial owners instruct their brokers how they wish to vote their shares for the Equity Plan Proposal.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Voting Standard Proposal is likely to be considered a “routine” matter. If such proposal is “routine,” a bank or broker may be able to vote on the Voting Standard Proposal even if it does not receive instructions from you, so long as it holds your shares in its name. If the New York Stock Exchange determines the Voting Standard Proposal to be “non-routine,” failure to vote on the Voting Standard Proposal, which requires the affirmative vote of at least a majority in voting power of our issued and outstanding shares of common stock, or to instruct your broker how to vote any shares held for you in your broker’s names, will have the same effect as a vote against such proposal. Accordingly, it is particularly important that beneficial owners instruct their brokers how they wish to vote their shares for the Voting Standard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applicable rules governing brokers, we believe the Adjournment Proposal is likely to be considered a “routine” matter. If such proposal is “routine,” a bank or broker may be able to vote on the Adjournment Proposal even if it does not receive instructions from you, so long as it holds your shares in its name. If, however, the Adjournment Proposal is deemed by the New York Stock Exchange to be a “non-routine” matter, brokers will not be permitted to vote on the Reverse Stock Split Proposal if the broker has not received instructions from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Your Vote after Voting over the Internet or Revoking Your Proxy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You may change your vote by attending the Annual Meeting and voting online even if you previously voted over the Internet. Alternatively, you may change your vote by contacting Alliance Advisors LLC by phone at 1-844-202-5696, or re-voting over the Internet following the instructions provided.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revoke your proxy at any time before it is exercised by: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letter with our Secretary revoking the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signed proxy with a later date;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online, provided you file a written revocation with the Secretary of the Annual Meeting prior to the voting of such proxy.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your shares are not registered in your own name, you will need appropriate documentation from your stockholder of record to vote at the Annual Meeting. </w:t>
      </w:r>
      <w:r>
        <w:rPr>
          <w:rFonts w:ascii="Times New Roman" w:cs="Times New Roman" w:eastAsia="Times New Roman" w:hAnsi="Times New Roman"/>
          <w:sz w:val="18"/>
          <w:szCs w:val="18"/>
          <w:color w:val="auto"/>
        </w:rPr>
        <w:t>Examples of such documentation include a broker’s statement, letter or other document that will confirm your ownership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Dragonfly.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the costs of soliciting proxies from our stockholders. Directors, officers and employees of Dragonfly may solicit proxies by mail, telephone or other forms of communication. We will also reimburse banks, brokers, nominees and other fiduciaries for the expenses they incur in forwarding the proxy materials to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$12,000, and we will reimburse their out-of-pocket expenses. We have also agreed to indemnify Alliance Advisors LLC against 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currently consists of three classes and a total of four directors, two of whom are being nominated for reelection at this Annual Meeting. Vacancies on the Board may be filled only by persons elected by a majority of the remaining directors, even if less than a quorum, or by the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two nominees listed below are incumbent directors. If elected at the Annual Meeting, each of these nominees would serve until the 2028 annual meeting of stockholders and until his or her successor has been duly elected and qualified, or, if sooner, until the director’s death, resignation or removal. Because the number of nominees properly nominated for the Annual Meeting is the same as the number of directors to be elected, the election of directors at this Annual Meeting is uncontested.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cast in person or represented by proxy and entitled to vote on the election of directors. In accordance with our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Nevada law, a stockholder entitled to vote for the election of directors may withhold authority to vote for certain nominees for directors or may withhold authority to vote for all nominees for directors. Withheld votes and broker non-votes will not be treated as a vote for or against any particular director nominee and will not affect the outcome of the election. Stockholders may not vote, or submit a proxy, for a greater number of nominees than the two nominees named below. The director nominees receiving the highest number of affirmative votes will be elected. Shares represented by executed proxies will be voted, if authority to do so is not withheld, for the election of the two director nominees named below. If any director nominee becomes unavailable for election as a result of an unexpected occurrence, shares that would have been voted for that nominee will instead be voted for the election of a substitute nominee proposed by our Board. Each person nominated for election has agreed to serve if elected. Our management has no reason to believe that any nominee will be unable to serve.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C Directors at the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position and tenure of each of the nominees for the 2025 Annual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191"/>
        </w:trPr>
        <w:tc>
          <w:tcPr>
            <w:tcW w:w="2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President, Chief Executive Officer, Interim Chief Financial Officer and Chairman of</w:t>
            </w:r>
          </w:p>
        </w:tc>
        <w:tc>
          <w:tcPr>
            <w:tcW w:w="2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Denis Phares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8"/>
                <w:szCs w:val="18"/>
                <w:color w:val="auto"/>
              </w:rPr>
            </w:pP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the Board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tcPr>
          <w:p>
            <w:pPr>
              <w:spacing w:after="0"/>
              <w:rPr>
                <w:sz w:val="20"/>
                <w:szCs w:val="20"/>
                <w:color w:val="auto"/>
              </w:rPr>
            </w:pPr>
          </w:p>
        </w:tc>
        <w:tc>
          <w:tcPr>
            <w:tcW w:w="6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includes a brief biography of each of the nominees standing for election to the Board at the Annual Meeting, based on information furnished to us by each director nominee, with each biography including information regarding the experiences, qualifications, attributes or skills that caused nominating and corporate governance committee of the Board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and the Board to determine that the applicable nominee should serve as a member of our Board.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Dr. Denis Phares </w:t>
      </w:r>
      <w:r>
        <w:rPr>
          <w:rFonts w:ascii="Times New Roman" w:cs="Times New Roman" w:eastAsia="Times New Roman" w:hAnsi="Times New Roman"/>
          <w:sz w:val="18"/>
          <w:szCs w:val="18"/>
          <w:color w:val="auto"/>
        </w:rPr>
        <w:t>has served as our Chief Executive Officer and Chairman of our Board since October 2022. Since April 2024, Dr. Phares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our Interim Chief Financial Officer. Dr. Phares is the co-founder of Dragonfly Energy Corp.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an M.S. and a Ph.D. in Environmental Engineering Science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Luisa Ingargiola </w:t>
      </w:r>
      <w:r>
        <w:rPr>
          <w:rFonts w:ascii="Times New Roman" w:cs="Times New Roman" w:eastAsia="Times New Roman" w:hAnsi="Times New Roman"/>
          <w:sz w:val="18"/>
          <w:szCs w:val="18"/>
          <w:color w:val="auto"/>
        </w:rPr>
        <w:t>has served as a member of our Board since October 2022. Ms. Ingargiola served on the board of directors of Legacy Dragonfly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2021 to October 2022. Since February 2017, Ms. Ingargiola has served as Chief Financial Officer of Avalon GloboCare Corp. (NASDAQ: ALBT), a publicly listed bio-tech health care company. Prior to joining Avalon GloboCare Corp., Ms. Ingargiola served as the Chief Financial Officer and Co-Founder of MagneGas Corporation from 2007 to 2018. Ms. Ingargiola has also served as a director and Audit Committee Chair for various over-the-counter and Nasdaq companies. Ms. Ingargiola has served as a member of the board of directors and as Audit Committee Chair for Progress Acquisition Corporation from November 2020 to February 2023, as a member of the board of directors and as Audit Committee Chair for AgEagle Aerial Systems Inc. (NYSE American: UAVS) from May 2018 to November 2022, as the audit committee chair of Siyata Mobile (NASDAQ: SYTA) from December 2020 to December 2021, as a member of the board of directors, the Compensation Committee Chair and as audit committee chair for Electrameccanica Vehicles Corp. (Nasdaq: SOLO) since March 2018, as a member of the board and Audit Committee Chair for BioCorRx Inc. (OTC: BICX) since April 2018, and as a member of the board and Audit Committee Chair of Vision Marine Technologies, Inc. (NASDAQ: VMAR) since December 2020.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ALL OF THE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Operations and Meetings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currently consists of three classes of a total of four directors. Our directors each serve staggered three-year terms with one class being elected at each year’s annual meeting of stockholders, as follows: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Perry Boyle, whose term will expire at the 2026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whose term will expire at the 2027 Annual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and Luisa Ingargiola, whose terms will expire at this Annual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In accordance with our corporate governance procedures, the Board does not involve itself in the day-to-day operations of Dragonfly.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current directors, as of the date of this proxy statement, including two of our current directors who are nominated for election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A Director (Terms to Expire at the 2026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 of the Board who is a Class A Director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6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Perry Boyle </w:t>
      </w:r>
      <w:r>
        <w:rPr>
          <w:rFonts w:ascii="Times New Roman" w:cs="Times New Roman" w:eastAsia="Times New Roman" w:hAnsi="Times New Roman"/>
          <w:sz w:val="18"/>
          <w:szCs w:val="18"/>
          <w:color w:val="auto"/>
        </w:rPr>
        <w:t>has served as a member of our Board since October 2022. He served on the board of directors of Chardan NexTech Acquisition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w:t>
      </w:r>
      <w:r>
        <w:rPr>
          <w:rFonts w:ascii="Times New Roman" w:cs="Times New Roman" w:eastAsia="Times New Roman" w:hAnsi="Times New Roman"/>
          <w:sz w:val="18"/>
          <w:szCs w:val="18"/>
          <w:b w:val="1"/>
          <w:bCs w:val="1"/>
          <w:color w:val="auto"/>
        </w:rPr>
        <w:t>S.A.C.</w:t>
      </w:r>
      <w:r>
        <w:rPr>
          <w:rFonts w:ascii="Times New Roman" w:cs="Times New Roman" w:eastAsia="Times New Roman" w:hAnsi="Times New Roman"/>
          <w:sz w:val="18"/>
          <w:szCs w:val="18"/>
          <w:color w:val="auto"/>
        </w:rPr>
        <w:t>”)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w:t>
      </w:r>
      <w:r>
        <w:rPr>
          <w:rFonts w:ascii="Times New Roman" w:cs="Times New Roman" w:eastAsia="Times New Roman" w:hAnsi="Times New Roman"/>
          <w:sz w:val="18"/>
          <w:szCs w:val="18"/>
          <w:b w:val="1"/>
          <w:bCs w:val="1"/>
          <w:color w:val="auto"/>
        </w:rPr>
        <w:t>IISS</w:t>
      </w:r>
      <w:r>
        <w:rPr>
          <w:rFonts w:ascii="Times New Roman" w:cs="Times New Roman" w:eastAsia="Times New Roman" w:hAnsi="Times New Roman"/>
          <w:sz w:val="18"/>
          <w:szCs w:val="18"/>
          <w:color w:val="auto"/>
        </w:rPr>
        <w: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B Director (Terms to Expire at the 2027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 of the Board who is a Class B Director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Held With Dragonfly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28"/>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6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Brian Nelson </w:t>
      </w:r>
      <w:r>
        <w:rPr>
          <w:rFonts w:ascii="Times New Roman" w:cs="Times New Roman" w:eastAsia="Times New Roman" w:hAnsi="Times New Roman"/>
          <w:sz w:val="18"/>
          <w:szCs w:val="18"/>
          <w:color w:val="auto"/>
        </w:rPr>
        <w:t>has served as a member of our Board since October 2022. Mr. Nelson served on the board of directors of Legacy Dragonfly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Class C Directors (Terms to Expire at this Annual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members of the Board who are Class C Directors are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 Denis Phares</w:t>
      </w:r>
      <w:r>
        <w:rPr>
          <w:rFonts w:ascii="Times New Roman" w:cs="Times New Roman" w:eastAsia="Times New Roman" w:hAnsi="Times New Roman"/>
          <w:sz w:val="18"/>
          <w:szCs w:val="18"/>
          <w:color w:val="auto"/>
        </w:rPr>
        <w:t>, see Dr. Phares’s biography in “Proposal 1”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Luisa Ingargiola</w:t>
      </w:r>
      <w:r>
        <w:rPr>
          <w:rFonts w:ascii="Times New Roman" w:cs="Times New Roman" w:eastAsia="Times New Roman" w:hAnsi="Times New Roman"/>
          <w:sz w:val="18"/>
          <w:szCs w:val="18"/>
          <w:color w:val="auto"/>
        </w:rPr>
        <w:t>, see Ms. Ingargiola’s biography in “Proposal 1”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Pursuant to the rules of Nasdaq, independent directors must comprise a majority of our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Under such rules, our Board has determined that Luisa Ingargiola, Brian Nelson and Perry Boyle are qualified to serve as independent directors. Dr. Phares is not an independent director under these rules because he is an executive officer of our Company. Each of Rick Parod, Jonathan Bellows and Karina Montilla Edmonds who resigned in 2025, was also determined to be an independent director. In making such independence determination, our Board considered the relationships that each non-employee director has with us and all other facts and circumstances that our Board deemed relevant in determining their independence, including the beneficial ownership of our capital stock by each non-employee director.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Nasdaq’s rules, as well as SEC rules, impose additional independence requirements for all members of the Audit Committee (as defined below). Specifically, in addition to the “independence” requirements discussed above, “independent” audit committee members must: (1) not accept, directly or indirectly, any consulting, advisory, or other compensatory fees from Dragonfly or any subsidiary of Dragonfly other than in the member’s capacity as a member of the Board and any Board committee; (2) not be an affiliated person of Dragonfly or any subsidiary of Dragonfly; and (3) not have participated in the preparation of the financial statements of Dragonfly or any current subsidiary of Dragonfly at any time during the past three years. In addition, Nasdaq’s rules require that all audit committee members be able to read and understand fundamental financial statements, including Dragonfly’s balance sheet, income statement, and cash flow statement. The Board believes that the current members of the Audit Committee meet these additional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2024, (i) our Board met four (4) times and acted by written consent fourteen (14) times; (ii) our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met four (4) times and acted by written consent one (1) time; (iii) our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met four (4) times and acted by written consent one (1) time; and (iv) our Nominating and Corporate Governance Committee met two (2) times and acted by written consent one (1) time. Each director attended at least 75% of the aggregate of (i) the total number of meetings of our Board (held during the period for which such director served on the Board and inclusive of any such special meetings of the Board) and (ii) the total number of meetings of all committees of our Board on which such director served (during the periods for which the director served on such committee or committees).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requiring members of the Board to attend our annual meetings. All of the directors serving on our Board at the time, except Brian Nelson, attended the 2024 annual meeting of stockholders, which was held remotely.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an Audit Committee, which currently consists of Luisa Ingargiola, Brian Nelson and Perry Boyle. Luisa Ingargiola serves as the chair of the Audit Committee.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Luisa Ingargiola qualifies as an Audit Committee financial expert within the meaning of SEC regulations and the Nasdaq Marketplace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 The functions of the Audit Committee include, among other things:</w:t>
      </w:r>
    </w:p>
    <w:p>
      <w:pPr>
        <w:spacing w:after="0" w:line="183"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our independent auditors and determining whether to retain our existing independent auditors or engage new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our independent auditors and considering regular rotation of the accounting firm serving as our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financial statements and reports and discussing the statements and reports with our independent auditors and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significant risk exposures;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xml:space="preserve">”) and all applicable SEC rules and regulations. We will comply with future requirements to the extent they become applicable to us. A copy of the Audit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a Compensation Committee which consists of Luisa Ingargiola, Brian Nelson and Perry Boyle. Brian Nelson serves as the chair of the Compensation Committee. Each member of the Compensation Committee is “independent” as that term is defined under the applicable rules of the SEC and Nasdaq.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Chief Executive Officer and assessing the Chief Executive Officer’s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termination, amendment of equity and cash incentive plans and approving amendments to such plans to the extent authorized by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Chief Executive Officer and other executives;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executive officer development and retention and corporate succession plans.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comply with all applicable requirements of the Sarbanes-Oxley Act and all applicable SEC and the Nasdaq rules and regulations. We will comply with future requirements to the extent they become applicable to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Compensation Committee. A copy of the Compensation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a Nominating and Corporate Governance Committee, which currently consists of Luisa Ingargiola, Brian Nelson and Perry Boyle. Brian Nelson serves as the chair of the Nominating and Corporate Governance Committee. The Nominating and Corporate Governance Committee assesses potential candidates to fill perceived needs on the Board for required, skills, expertise, independence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are expected to include,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our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our Board’s committees and making recommendations to our Board for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comply with all applicable requirements of the Sarbanes-Oxley Act and all applicable SEC and Nasdaq’s rules and regulations. We will comply with future requirements to the extent they become applicable to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Board has adopted a written charter for the Nominating and Corporate Governance Committee. A copy of the Nominating and Corporate Governance Committee Charter is posted under the “Investors” tab on our website, which is located at </w:t>
      </w:r>
      <w:r>
        <w:rPr>
          <w:rFonts w:ascii="Times New Roman" w:cs="Times New Roman" w:eastAsia="Times New Roman" w:hAnsi="Times New Roman"/>
          <w:sz w:val="18"/>
          <w:szCs w:val="18"/>
          <w:i w:val="1"/>
          <w:iCs w:val="1"/>
          <w:color w:val="auto"/>
        </w:rPr>
        <w:t>https://dragonflyenergy.com/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assesses potential candidates to fill the perceived needs on our Board for required skills, expertise, independence and other factors. A director candidate recommended by our stockholders will be considered in the same manner as a nominee recommended by a Board member, management or other sources. Stockholders may recommend individuals to the Nominating and Corporate Governance Committee for consideration as potential director candidates by submitting their names and background to the Secretary of the Company at the address set forth below under “</w:t>
      </w:r>
      <w:r>
        <w:rPr>
          <w:rFonts w:ascii="Times New Roman" w:cs="Times New Roman" w:eastAsia="Times New Roman" w:hAnsi="Times New Roman"/>
          <w:sz w:val="18"/>
          <w:szCs w:val="18"/>
          <w:b w:val="1"/>
          <w:bCs w:val="1"/>
          <w:i w:val="1"/>
          <w:iCs w:val="1"/>
          <w:color w:val="auto"/>
        </w:rPr>
        <w:t>Stockholder Communication with the Board of Directors and Attendance at Annual Meetings</w:t>
      </w:r>
      <w:r>
        <w:rPr>
          <w:rFonts w:ascii="Times New Roman" w:cs="Times New Roman" w:eastAsia="Times New Roman" w:hAnsi="Times New Roman"/>
          <w:sz w:val="18"/>
          <w:szCs w:val="18"/>
          <w:color w:val="auto"/>
        </w:rPr>
        <w:t>” in accordance with the provisions set forth in our Bylaws. Our Nominating and Corporate Governance Committee has discretion to decide which individuals to recommend for nomination as directors. All security holder recommendations for director candidates must be received by the Company in the timeframe(s) set forth under the heading “</w:t>
      </w:r>
      <w:r>
        <w:rPr>
          <w:rFonts w:ascii="Times New Roman" w:cs="Times New Roman" w:eastAsia="Times New Roman" w:hAnsi="Times New Roman"/>
          <w:sz w:val="18"/>
          <w:szCs w:val="18"/>
          <w:b w:val="1"/>
          <w:bCs w:val="1"/>
          <w:i w:val="1"/>
          <w:iCs w:val="1"/>
          <w:color w:val="auto"/>
        </w:rPr>
        <w:t>Submitting Proxy Proposals and Director Nominations for the 2026 Annual Meeting</w:t>
      </w:r>
      <w:r>
        <w:rPr>
          <w:rFonts w:ascii="Times New Roman" w:cs="Times New Roman" w:eastAsia="Times New Roman" w:hAnsi="Times New Roman"/>
          <w:sz w:val="18"/>
          <w:szCs w:val="18"/>
          <w:color w:val="auto"/>
        </w:rPr>
        <w:t>”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us at any given time.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executive officers: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Position(s) Held with Dragonfly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Since:</w:t>
            </w:r>
          </w:p>
        </w:tc>
        <w:tc>
          <w:tcPr>
            <w:tcW w:w="0" w:type="dxa"/>
            <w:vAlign w:val="bottom"/>
          </w:tcPr>
          <w:p>
            <w:pPr>
              <w:spacing w:after="0"/>
              <w:rPr>
                <w:sz w:val="1"/>
                <w:szCs w:val="1"/>
                <w:color w:val="auto"/>
              </w:rPr>
            </w:pP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Dr. Denis Phares</w:t>
            </w:r>
          </w:p>
        </w:tc>
        <w:tc>
          <w:tcPr>
            <w:tcW w:w="24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Interim Chief Financial Officer and</w:t>
            </w:r>
          </w:p>
        </w:tc>
        <w:tc>
          <w:tcPr>
            <w:tcW w:w="2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Tyler Bourns</w:t>
            </w:r>
          </w:p>
        </w:tc>
        <w:tc>
          <w:tcPr>
            <w:tcW w:w="560" w:type="dxa"/>
            <w:vAlign w:val="bottom"/>
          </w:tcPr>
          <w:p>
            <w:pPr>
              <w:spacing w:after="0"/>
              <w:rPr>
                <w:sz w:val="18"/>
                <w:szCs w:val="18"/>
                <w:color w:val="auto"/>
              </w:rPr>
            </w:pP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gridSpan w:val="2"/>
            <w:vMerge w:val="continue"/>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Marketing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Wade Seaburg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Vickram Singh</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5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Dr. Denis Phares</w:t>
      </w:r>
      <w:r>
        <w:rPr>
          <w:rFonts w:ascii="Times New Roman" w:cs="Times New Roman" w:eastAsia="Times New Roman" w:hAnsi="Times New Roman"/>
          <w:sz w:val="18"/>
          <w:szCs w:val="18"/>
          <w:color w:val="auto"/>
        </w:rPr>
        <w:t>, see Dr. Phares’ biography under “</w:t>
      </w: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Bourns </w:t>
      </w:r>
      <w:r>
        <w:rPr>
          <w:rFonts w:ascii="Times New Roman" w:cs="Times New Roman" w:eastAsia="Times New Roman" w:hAnsi="Times New Roman"/>
          <w:sz w:val="18"/>
          <w:szCs w:val="18"/>
          <w:color w:val="auto"/>
        </w:rPr>
        <w:t>has served as our Chief Marketing Officer since November 2022. Mr. Bourns served as the Senior Vice President of Marketing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oversaw the day-to-day business of the company, worked closely with clients and provided hands-on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Wade Seaburg </w:t>
      </w:r>
      <w:r>
        <w:rPr>
          <w:rFonts w:ascii="Times New Roman" w:cs="Times New Roman" w:eastAsia="Times New Roman" w:hAnsi="Times New Roman"/>
          <w:sz w:val="18"/>
          <w:szCs w:val="18"/>
          <w:color w:val="auto"/>
        </w:rPr>
        <w:t>has served as our Chief Commercial Officer since February 2025. Prio to that, Mr. Seaburg served as our Chief Revenue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November 2022.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(“WESCO”)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Vickram Singh </w:t>
      </w:r>
      <w:r>
        <w:rPr>
          <w:rFonts w:ascii="Times New Roman" w:cs="Times New Roman" w:eastAsia="Times New Roman" w:hAnsi="Times New Roman"/>
          <w:sz w:val="18"/>
          <w:szCs w:val="18"/>
          <w:color w:val="auto"/>
        </w:rPr>
        <w:t>has served as our Chief Operating Officer since February 2025. Dr. Singh served as Director of Research and Development.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capacity, he has been instrumental in overseeing the development of next-generation lithium-ion batteries and manufacturing processes and optimizing all-solid-state battery chemistries for deep-cycle applications. Dr. Singh transitioned to overseeing all technical efforts at Dragonfly Energy Corporation - R&amp;D, automation engineering, and pack development. Before joining Dragonfly Energy Corporation, Dr. Vick Singh was a Postdoctoral Research Fellow at the Lawrence Livermore National Laboratory’s Center for Global Security Research. His research focused on international energy development and its impact on foreign policy. Dr. Singh also served as a Nuclear Regulatory Commission Fellow during his Ph.D. studies at the University of Nevada, Reno, and holds a BS in Chemical Engineering from the University of Tennessee, Knoxville.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which are described in the section entitled “Executive Compensation,” we have had the following transactions or series of similar transactions, since January 1, 2023, to which we were a party or will be a party, in which:</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Directors and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Nicole Harvey, our former Chief Legal Officer. As consideration for Ms. Harvey’s execution of the agreement, we agreed to pay the employee payments equivalent to $720,000 for wages and benefits divided into 24 monthly payments commencing on June 1, 2023, and all outstanding equity-based compensation awards to become fully vested. Ms. Harvey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with Brian Nelson</w:t>
      </w:r>
    </w:p>
    <w:p>
      <w:pPr>
        <w:spacing w:after="0" w:line="22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March 5, 2023, we issued the unsecured promissory note (the “</w:t>
      </w:r>
      <w:r>
        <w:rPr>
          <w:rFonts w:ascii="Times New Roman" w:cs="Times New Roman" w:eastAsia="Times New Roman" w:hAnsi="Times New Roman"/>
          <w:sz w:val="18"/>
          <w:szCs w:val="18"/>
          <w:b w:val="1"/>
          <w:bCs w:val="1"/>
          <w:color w:val="auto"/>
        </w:rPr>
        <w:t>March 2023 Note</w:t>
      </w:r>
      <w:r>
        <w:rPr>
          <w:rFonts w:ascii="Times New Roman" w:cs="Times New Roman" w:eastAsia="Times New Roman" w:hAnsi="Times New Roman"/>
          <w:sz w:val="18"/>
          <w:szCs w:val="18"/>
          <w:color w:val="auto"/>
        </w:rPr>
        <w:t>”) in the principal amount of $1.0 million to Brian Nelson, one of our directors, in a private placement in exchange for cash in an equal amount. The March 2023 Note became due and payable in full on April 1, 2023. We were also obligated to pay a loan fee of $100,000 to Mr. Nelson on April 4, 2023. We paid the principal amount and the loan fee in full on April 1, 2023 and April 4, 2023, respectively.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 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 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our Articles of Incorporation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Articles of Incorporation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 w:cs="Times New Roman" w:eastAsia="Times New Roman" w:hAnsi="Times New Roman"/>
          <w:sz w:val="18"/>
          <w:szCs w:val="18"/>
          <w:i w:val="1"/>
          <w:iCs w:val="1"/>
          <w:u w:val="single" w:color="auto"/>
          <w:color w:val="auto"/>
        </w:rPr>
        <w:t>https://dragonflyenergy.com/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intend to disclose future amendments to certain provisions of our Code of Business Conduct and, or waivers of such provisions applicable to any principal executive officer, principal financial officer, principal accounting officer or controller, or persons performing similar functions, and our directors, on our website identified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 .</w:t>
      </w:r>
    </w:p>
    <w:p>
      <w:pPr>
        <w:spacing w:after="0" w:line="22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transactions of our securities by our directors, officers and employees. A copy of our insider trading policy is filed as Exhibit 19.1 to our Annual Report on Form 10-K for the fiscal year ended December 31, 2024. In addition, with regard to our trading in our own securities, it is our policy to comply with the federal securities laws and the applicable exchange listing requirements in all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insider trading policy, we prohibit each officer, director and employee, and each of their family members and controlled entities,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on October 7, 2022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transactions entered into since the adoption of the Policy have been approved by our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 of Directors and Attendance at Annual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maintains a process for stockholders to communicate with the Board and its committees. Stockholders of Dragonfly and other interested persons may communicate with the Board or the chair of the Audit Committee, Compensation Committee, and the Nominating and Corporate Governance Committee by writing to the Secretary of Dragonfly at 12915 Old Virginia Road, Reno, Nevada 89521. All communications that relate to matters that are within the scope of the responsibilities of the Board will be presented to the Board no later than the next regularly scheduled meeting. Communications that relate to matters that are within the responsibility of one of the Board committees will be forwarded to the chair of the appropriate committee. Communications that relate to ordinary business matters that are not within the scope of the Board’s responsibilities will be forwarded to the appropriate officer. Solicitations, junk mail and obviously frivolous or inappropriate communications will not be forwarded, but will be made available to any director who wishes to review them.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2024</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or paid to each person serving as our Chief Executive Officer during the fiscal year ended December 31, 2024, the two most highly-compensated executive officers (other than the Chief Executive Officer) who were serving as executive officers during the fiscal years ended December 31, 2024 and December 31, 2023, and up to two additional individuals for whom disclosure would have been provided but for the fact that such individuals were not serving as an executive officer as of December 31, 2024 for services rendered in all capacities to us for the fiscal year ended December 31, 2024. These individuals are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Non-Qualified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2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20" w:type="dxa"/>
            <w:vAlign w:val="bottom"/>
          </w:tcPr>
          <w:p>
            <w:pPr>
              <w:spacing w:after="0"/>
              <w:rPr>
                <w:sz w:val="20"/>
                <w:szCs w:val="20"/>
                <w:color w:val="auto"/>
              </w:rPr>
            </w:pP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09"/>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622,000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20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Interim Chief Financial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President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622,000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255,333</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877,333</w:t>
            </w:r>
          </w:p>
        </w:tc>
      </w:tr>
      <w:tr>
        <w:trPr>
          <w:trHeight w:val="196"/>
        </w:trPr>
        <w:tc>
          <w:tcPr>
            <w:tcW w:w="2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Wade Seaburg</w:t>
            </w:r>
          </w:p>
        </w:tc>
        <w:tc>
          <w:tcPr>
            <w:tcW w:w="6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7"/>
                <w:szCs w:val="17"/>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340,000</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340,000</w:t>
            </w:r>
          </w:p>
        </w:tc>
      </w:tr>
      <w:tr>
        <w:trPr>
          <w:trHeight w:val="23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Chief Commercial Officer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81,666</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421,666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280,000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280,000</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Marketing Officer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280,000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39,333</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319,333</w:t>
            </w:r>
          </w:p>
        </w:tc>
      </w:tr>
      <w:tr>
        <w:trPr>
          <w:trHeight w:val="196"/>
        </w:trPr>
        <w:tc>
          <w:tcPr>
            <w:tcW w:w="2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John Marchetti (6)</w:t>
            </w:r>
          </w:p>
        </w:tc>
        <w:tc>
          <w:tcPr>
            <w:tcW w:w="6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7"/>
                <w:szCs w:val="17"/>
                <w:color w:val="auto"/>
              </w:rPr>
            </w:pPr>
          </w:p>
        </w:tc>
        <w:tc>
          <w:tcPr>
            <w:tcW w:w="88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127,202</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6,727</w:t>
            </w:r>
          </w:p>
        </w:tc>
        <w:tc>
          <w:tcPr>
            <w:tcW w:w="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133,929</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Senior Vice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Operations,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227,692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107,667</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510,359</w:t>
            </w:r>
          </w:p>
        </w:tc>
      </w:tr>
    </w:tbl>
    <w:p>
      <w:pPr>
        <w:spacing w:after="0" w:line="198"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the fiscal year ended December 31,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restricted stock awards granted to the NEOs for performance during the fiscal years ended December 31, 2024 and December 31, 2023 under the 2022 Plan (as defined below)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F-14 of our Notes to Consolidated Financial Statements included in the Annual Report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Dr. Phares received a contingent cash award in the amount of $510,666.67 for services performed for the year ended December 31, 2023, which will not be paid out to Dr. Phares until we have achieved a minimum cash balance of $30,000,000, subject to his continued employment on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Seaburg received a contingent cash award in the amount of $163,333.33 for services performed in December 31, 2023, which will not be paid out to Mr. Seaburg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Bourns received a contingent cash award in the amount of $78,667.67 for services performed in December 31, 2023, which will not be paid out to Mr. Bourns until we have achieved a minimum cash balance of $30,000,000, subject to his continued employment on the date of payment.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Legacy Dragonfly’s Chief Financial Officer on September 6, 2021. On August 20, 2023, upon mutual agreement between us and Mr. Marchetti, Mr. Marchetti resigned from his position as our Chief Financial Officer. Mr. Marchetti continued in the role of Senior Vice President, Operations until his employment was terminated on April 19, 2024. As a result, Mr. Marchetti’s 26,585 RSUs (as defined below) were forfeited.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Mr. Marchetti received a contingent cash award in the amount of $215,333.33 for services performed in December 31, 2023, which will not be paid out to Mr. Marchetti until we have achieved a minimum cash balance of $30,000,000, subject to his continued employment on the date of payment. As a result of the termination of Mr. Marchetti’s employment, his contingent cash award was forfeited.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dated as of October 11, 2022 with each of Dr. Phares and Mr. Marchetti. On November 7, 2022, we entered into an employment agreement with each of Mr. Seaburg and Mr. Bourns.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Mr. Seaburg - $340,000; Mr. Bourns - $280,000) and to be eligible for an annual bonus of up to a specified percentage of the executive’s base salary (Dr. Phares - 100%; Mr. Marchetti - 63%; Mr. Seaburg - 92%; Mr. Bourns - 30%). The executive is generally eligible for an annual bonus only if he remains employed with us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Mr. Seaburg - $490,000; Mr. Bourns - $236,000),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equal to 1.5 times the executive’s annual base salary (in the case of Dr. Phares) or 1.0 times the executive’s annual base salary (in the case of Mr. Marchetti, Mr. Seaburg, and Mr. Bourns), payable in installments over two years following the termination date, (ii) reimbursement of monthly COBRA premiums for the executive and his dependents for up to 18 months (in the case of Dr. Phares) or 12 months (in the case of Mr. Marchetti, Mr. Seaburg, and Mr. Bourns),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Mr. Seaburg and Mr. Bourns,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him providing a release of claims to us and his continued compliance with the restrictive covenants in favor of us in the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24, 2023, we entered into an amended and restated employment agreement with Mr. Marchetti to provide that Mr. Marchetti will receive a minimum annual bonus of $175,000 for the fiscal year ended December 31, 2023. All other terms of the amended and restated Agreement remain the same as the original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20, 2023, upon mutual agreement between us and Mr. Marchetti, Mr. Marchetti resigned from his position as our Chief Financial Officer and continued in the role of Senior Vice President, Operations. In connection with Mr. Marchetti’s resignation, on August 20, 2023, our Board appointed Dr. Phares to succeed Mr. Marchetti as our Interim Chief Financial Officer.</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Effective April 12, 2024, we entered into amendments to the employment agreements with Dr. Phares, Mr. Marchetti, Mr. Seaburg and Mr. Bourns to amend the terms of their annual equity compensation (the “Amended Employee Agreements”). The Amended Employee Agreements allow us to issue a combination of cash and equity awards on an annual basis up to a specified amount ($1,532,000 for Dr. Phares, $646,000 for Mr. Marchetti, $490,000 for Mr. Seaburg, and $236,000 for Mr. Bourns), subject to approval and such other terms and conditions imposed by the compensation committee of the Board.</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19, 2024, Mr. Marchetti’s employment with us as our Senior Vice President, Operations, was terminated.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our common stock held by each of the NEOs as of December 31, 2024, including the vesting dates for the portions of these awards that had not vested as of that date. The NEOs did not hold any other outstanding equity awards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3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8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4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CEEFF"/>
            </w:tcBorders>
          </w:tcPr>
          <w:p>
            <w:pPr>
              <w:spacing w:after="0"/>
              <w:rPr>
                <w:sz w:val="20"/>
                <w:szCs w:val="20"/>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63,046(1)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04/12/2034</w:t>
            </w:r>
          </w:p>
        </w:tc>
        <w:tc>
          <w:tcPr>
            <w:tcW w:w="100" w:type="dxa"/>
            <w:vAlign w:val="bottom"/>
            <w:shd w:val="clear" w:color="auto" w:fill="CCEEFF"/>
          </w:tcPr>
          <w:p>
            <w:pPr>
              <w:spacing w:after="0"/>
              <w:rPr>
                <w:sz w:val="18"/>
                <w:szCs w:val="18"/>
                <w:color w:val="auto"/>
              </w:rPr>
            </w:pP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Wade Seaburg</w:t>
            </w:r>
          </w:p>
        </w:tc>
        <w:tc>
          <w:tcPr>
            <w:tcW w:w="168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20,165(1)</w:t>
            </w:r>
          </w:p>
        </w:tc>
        <w:tc>
          <w:tcPr>
            <w:tcW w:w="144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4.05</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04/12/2034</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06/09/2030</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10/19/2030</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8,209</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1,642(2)</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08/04/2031</w:t>
            </w:r>
          </w:p>
        </w:tc>
      </w:tr>
      <w:tr>
        <w:trPr>
          <w:trHeight w:val="216"/>
        </w:trPr>
        <w:tc>
          <w:tcPr>
            <w:tcW w:w="406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2,532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903(3)</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12/06/2031</w:t>
            </w:r>
          </w:p>
        </w:tc>
      </w:tr>
      <w:tr>
        <w:trPr>
          <w:trHeight w:val="234"/>
        </w:trPr>
        <w:tc>
          <w:tcPr>
            <w:tcW w:w="4060" w:type="dxa"/>
            <w:vAlign w:val="bottom"/>
          </w:tcPr>
          <w:p>
            <w:pPr>
              <w:spacing w:after="0"/>
              <w:rPr>
                <w:sz w:val="20"/>
                <w:szCs w:val="20"/>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507</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12/06/2031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4,558</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1,353(2)</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12/06/2031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Bourns</w:t>
            </w:r>
          </w:p>
        </w:tc>
        <w:tc>
          <w:tcPr>
            <w:tcW w:w="1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9,712(1)</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04/12/2034</w:t>
            </w:r>
          </w:p>
        </w:tc>
      </w:tr>
      <w:tr>
        <w:trPr>
          <w:trHeight w:val="43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ind w:left="3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annually as to 1/3rd on April 12, 2025, with the remaining shares vesting in equal annual installments over a period of 2 years.</w:t>
      </w:r>
    </w:p>
    <w:p>
      <w:pPr>
        <w:ind w:left="340" w:right="20" w:hanging="332"/>
        <w:spacing w:after="0" w:line="182" w:lineRule="auto"/>
        <w:tabs>
          <w:tab w:leader="none" w:pos="34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August 4, 2022, with the remaining shares vesting in equal monthly installments over a period of 36 months commencing on September 4, 2022.</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Stock options vest as to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on December 6, 2021, with the remaining shares vesting in equal monthly installments over a period of 36 months commencing on January 6,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2023, on April 12, 2024, Dr. Phares was granted 63,046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Mr. Marchetti was granted 26,585 RSUs, Mr. Seaburg was granted 20,165 RSUs, and Mr. Bourns was granted 9,712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Dr. Phares; (ii) $215,333.33 to Mr. Marchetti, (iii) $163,333.33 to Mr. Seaburg; and (iv) $78,667.67 to Mr. Bourns. Each of the approved cash awards will not be paid out to the employees until we have achieved a minimum cash balance of $30,000,000, and are subject to each employee’s continued employment on the date of payment.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termination of Mr. Marchetti’s employment, his 26,585 RSUs and cash award of $215,333.33 were forfeited.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services performed during the year ended December 31, 2022, on February 10, 2023, Dr. Phares was granted 22,697 RSUs, Mr. Marchetti was granted 9,571 RSUs, Mr. Seaburg was granted 7,260 RSUs and Mr. Bourns was granted 3,497 RSUs. Each grant vested in full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formal policy that requires us to grant, or avoid granting, stock options at particular times. We have in the past typically granted RSUs to our officers and directors and do not typically grant stock options but may do so in the future. The timing of any stock option grants in connection with new hires, promotions, or other non-routine grants is tied to the event giving rise to the award (such as an employee’s commencement of employment or promotion effective date). As a result, in all cases, the timing of grants of stock options occurs independent of the release of any material nonpublic information, and we do not time the disclosure of material nonpublic information for the purpose of affecting the value of executive compensation.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stock options were issued to executive officers in 2024 during any period beginning four business days before the filing of a periodic report or current report disclosing material non-public information and ending one business day after the filing or furnishing of such report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our merger in October 2022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our Board and stockholders adopted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which provides for the grant of incentive stock options and non-qualified stock options to purchase shares of our common stock and other types of awards, as well as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2022 Plan, we seek to retain the services of such eligible persons and to provide incentives for such persons to exert maximum efforts for our success and the success of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6" w:lineRule="exact"/>
        <w:rPr>
          <w:sz w:val="20"/>
          <w:szCs w:val="20"/>
          <w:color w:val="auto"/>
        </w:rPr>
      </w:pPr>
    </w:p>
    <w:p>
      <w:pPr>
        <w:jc w:val="both"/>
        <w:ind w:left="1" w:firstLine="648"/>
        <w:spacing w:after="0" w:line="266" w:lineRule="auto"/>
        <w:rPr>
          <w:sz w:val="20"/>
          <w:szCs w:val="20"/>
          <w:color w:val="auto"/>
        </w:rPr>
      </w:pPr>
      <w:r>
        <w:rPr>
          <w:rFonts w:ascii="Times New Roman" w:cs="Times New Roman" w:eastAsia="Times New Roman" w:hAnsi="Times New Roman"/>
          <w:sz w:val="18"/>
          <w:szCs w:val="18"/>
          <w:color w:val="auto"/>
        </w:rPr>
        <w:t>Also, in connection with the Business Combination, our Board and stockholders approved the adoption of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in connection with the consummation of the Business Combination.</w:t>
      </w:r>
    </w:p>
    <w:p>
      <w:pPr>
        <w:spacing w:after="0" w:line="176" w:lineRule="exact"/>
        <w:rPr>
          <w:sz w:val="20"/>
          <w:szCs w:val="20"/>
          <w:color w:val="auto"/>
        </w:rPr>
      </w:pPr>
    </w:p>
    <w:p>
      <w:pPr>
        <w:jc w:val="both"/>
        <w:ind w:left="1" w:right="20" w:firstLine="6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our common stock authorized for issuance under our equity compensation plans as of December 31, 2024.</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future issuances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238"/>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Category</w:t>
            </w:r>
          </w:p>
        </w:tc>
        <w:tc>
          <w:tcPr>
            <w:tcW w:w="220" w:type="dxa"/>
            <w:vAlign w:val="bottom"/>
            <w:vMerge w:val="restart"/>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i w:val="1"/>
                <w:iCs w:val="1"/>
                <w:color w:val="auto"/>
              </w:rPr>
              <w:t xml:space="preserve">Equity compensation plans approved by security holders </w:t>
            </w:r>
            <w:r>
              <w:rPr>
                <w:rFonts w:ascii="Times New Roman" w:cs="Times New Roman" w:eastAsia="Times New Roman" w:hAnsi="Times New Roman"/>
                <w:sz w:val="29"/>
                <w:szCs w:val="29"/>
                <w:i w:val="1"/>
                <w:iCs w:val="1"/>
                <w:color w:val="auto"/>
                <w:vertAlign w:val="superscript"/>
              </w:rPr>
              <w:t>(1)</w:t>
            </w:r>
          </w:p>
        </w:tc>
        <w:tc>
          <w:tcPr>
            <w:tcW w:w="2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514,672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850,738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 security holders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514,672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850,738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1" w:hanging="261"/>
        <w:spacing w:after="0"/>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row include securities under the 2022 Plan, 2021 Plan and 2019 Plan.</w:t>
      </w:r>
    </w:p>
    <w:p>
      <w:pPr>
        <w:spacing w:after="0" w:line="225" w:lineRule="exact"/>
        <w:rPr>
          <w:rFonts w:ascii="Times New Roman" w:cs="Times New Roman" w:eastAsia="Times New Roman" w:hAnsi="Times New Roman"/>
          <w:sz w:val="18"/>
          <w:szCs w:val="18"/>
          <w:color w:val="auto"/>
        </w:rPr>
      </w:pPr>
    </w:p>
    <w:p>
      <w:pPr>
        <w:jc w:val="both"/>
        <w:ind w:left="1" w:hanging="1"/>
        <w:spacing w:after="0" w:line="258" w:lineRule="auto"/>
        <w:tabs>
          <w:tab w:leader="none" w:pos="2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“evergreen” provision in the 2022 Plan, an additional 289,306 shares were automatically made available for issuance on the first trading day of 2025, which represents an amount equal 4% of the number of shares outstanding on December 31, 2024. In accordance with the “evergreen” provision in the ESPP, an additional 72,327 shares were automatically made available for issuance on the first trading day of 2025, which represents an amount equal to 1% of the number of shares of common stock issued and outstanding on December 31, 2024. The shares made available pursuant to the “evergreen” provisions are excluded from this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265430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1"/>
          </w:cols>
          <w:pgMar w:left="319" w:top="68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Director compensation is intended to provide an appropriate level of remuneration considering the responsibilities, time requirements, and accountability of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2024</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awarded to, earned by, or paid to our Non-Employee Directors (as defined below) for services on our Board during the year ended December 31, 2024. Dr. Phares did not receive any additional compensation for his service on the Board during the year ended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Cash ($)</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3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Montilla Edmonds, Ph.D.</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51,600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151,600</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174,100</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55,350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155,350</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44,100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144,100</w:t>
            </w: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reported in this column reflects the grant date fair value of the stock option and/or RSUs granted to the Non-Employee Directors for services performed during the year ended December 31, 2023 under the 2022 Plan as described above and is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 our Notes to Consolidated Financial Statements included in the Annual Report. As of March 31, 2025, each Non-Employee Director held 24,692 unvested RSUs.</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following options remained outstanding: (i) Luisa Ingargiola held options exercisable for 10,836 shares of common stock; and (ii) Brian Nelson held options exercisable for 7,227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policy that provides for cash and equity compensation for members of our Board of directors who are not employed by us or any of our subsidiaries (our “</w:t>
      </w: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8"/>
          <w:szCs w:val="18"/>
          <w:color w:val="auto"/>
        </w:rPr>
        <w:t>”). The policy provides that each Non-Employee Director is entitled to receive the following cash compensation for Board service, as applicable:</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our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Committee also has discretion under the director compensation policy to grant Non-Employee Directors equity-based awards under our Dragonfly Energy Holdings 2022 Equity Incentive Plan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(or any successor equity compensation plan approved by our stockholders). It is currently expected that Non-Employee Directors will receive an award of options, RSUs and/or cash with a value of $300,000 upon their initial appointment to our Board and an award of options, RSUs and/or cash with a value of $100,000 on an annual basis thereafter. For each award, the Compensation Committee will determine at the time of grant the methodology for converting the foregoing dollar amounts to shares and the vesting schedule. The Compensation Committee may approve other grants of equity-based awards to Non-Employee Directors from time to time, on such terms as the Compensation Committee may determine and subject to the applicable provisions of our equity compensation plan then in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us for their reasonable travel (including airfare and ground transportation), lodging and meal expenses incident to meetings of our Board or committees thereof or in connection with other board-related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on the October 7, 2022, we granted each of our Non-Employee Directors then serving on our Board (i.e. Jonathan Bellows, Perry Boyle, Karina Montilla Edmonds, Luisa Ingargiola, Brian Nelson, and Rick Parod) an award of 3,334 RSUs under the 2022 Plan that are eligible to vest on the first anniversary of the grant date, subject to the director’s continued service on our Board through the vesting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12, 2024, we granted each of our Non-Employee Directors then serving on the our Board (i.e. Jonathan Bellows, Perry Boyle, Karina Montilla Edmonds, Luisa Ingargiola, Brian Nelson, and Rick Parod) an award of 24,692 RSUs units under the 2022 Plan that are eligible to vest in three equal annual installments, beginning on the first anniversary of the grant date, subject to the director’s continued service on our Board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members of the Audit Committee of the Board of Directors of Dragonfly Energy Holdings Corp. submit this report in connection with the Audit Committee’s review of the financial reports for the fiscal year ended December 31, 2024 as follows:</w:t>
      </w:r>
    </w:p>
    <w:p>
      <w:pPr>
        <w:spacing w:after="0" w:line="162" w:lineRule="exact"/>
        <w:rPr>
          <w:sz w:val="20"/>
          <w:szCs w:val="20"/>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with management the audited financial statements for the Company for the fiscal year ended December 31,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representatives of Marcum LLP, the independent public accounting firm, the matters which are required to be discussed with them under the provisions of Auditing Standard No. 61, as amended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Marcum LLP,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2024 for filing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Dragonfly Energy Holdings Corp.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Luisa Ingargiola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Perry Boyle</w:t>
      </w:r>
    </w:p>
    <w:p>
      <w:pPr>
        <w:spacing w:after="0" w:line="207" w:lineRule="exact"/>
        <w:rPr>
          <w:sz w:val="20"/>
          <w:szCs w:val="20"/>
          <w:color w:val="auto"/>
        </w:rPr>
      </w:pPr>
    </w:p>
    <w:p>
      <w:pPr>
        <w:jc w:val="both"/>
        <w:ind w:left="34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4, 2025,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September 4, 2025 (“</w:t>
      </w:r>
      <w:r>
        <w:rPr>
          <w:rFonts w:ascii="Times New Roman" w:cs="Times New Roman" w:eastAsia="Times New Roman" w:hAnsi="Times New Roman"/>
          <w:sz w:val="18"/>
          <w:szCs w:val="18"/>
          <w:b w:val="1"/>
          <w:bCs w:val="1"/>
          <w:color w:val="auto"/>
        </w:rPr>
        <w:t>Presently 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reflects 61,747,852 shares common stock outstanding as of September 4, 2025 plus any shares issuable upon exercise of Presently Exercisable Securities held by such person or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12915 Old Virginia Rd, Reno, Nevada 89521.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160" w:type="dxa"/>
            <w:vAlign w:val="bottom"/>
            <w:tcBorders>
              <w:bottom w:val="single" w:sz="8" w:color="CCEEFF"/>
            </w:tcBorders>
          </w:tcPr>
          <w:p>
            <w:pPr>
              <w:spacing w:after="0"/>
              <w:rPr>
                <w:sz w:val="20"/>
                <w:szCs w:val="20"/>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8"/>
                <w:szCs w:val="28"/>
                <w:color w:val="auto"/>
                <w:vertAlign w:val="superscript"/>
              </w:rPr>
              <w:t>(1)(2)</w:t>
            </w:r>
          </w:p>
        </w:tc>
        <w:tc>
          <w:tcPr>
            <w:tcW w:w="2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1,802,302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Marchetti </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Wade Seaburg</w:t>
            </w:r>
            <w:r>
              <w:rPr>
                <w:rFonts w:ascii="Times New Roman" w:cs="Times New Roman" w:eastAsia="Times New Roman" w:hAnsi="Times New Roman"/>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36,220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Tyler Bourns</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13,106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Luisa Ingargiola</w:t>
            </w:r>
            <w:r>
              <w:rPr>
                <w:rFonts w:ascii="Times New Roman" w:cs="Times New Roman" w:eastAsia="Times New Roman" w:hAnsi="Times New Roman"/>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Nelson</w:t>
            </w:r>
            <w:r>
              <w:rPr>
                <w:rFonts w:ascii="Times New Roman" w:cs="Times New Roman" w:eastAsia="Times New Roman" w:hAnsi="Times New Roman"/>
                <w:sz w:val="29"/>
                <w:szCs w:val="29"/>
                <w:color w:val="auto"/>
                <w:vertAlign w:val="superscript"/>
              </w:rPr>
              <w:t>(7)</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19,445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14,009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current Executive Officers and Directors as a group (7 persons):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1,929,250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5"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2,777,778 shares of common stock not yet payable as the earnout contingencies have not yet been met and will not be met within 60 days of September 4,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135,323 shares held on behalf of the Phares 2021 GRAT dated July 9, 2021, of which Dr. Phares is the trustee.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2024, Mr. Marchetti’s employment with us was terminated. As a result, his vested options were forfeited and his unvested options were terminated on such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15,247 shares of common stock issuable upon exercise of outstanding stock options exercisable within 60 days of September 4,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5,788 shares of common stock issuable upon exercise of outstanding stock options exercisable within 60 days of September 4,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10,836 shares of common stock issuable upon exercise of outstanding stock options exercisable within 60 days of September 4,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7,881 shares of common stock issuable upon exercise of outstanding stock options exercisable within 60 days of 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STOCK SPLIT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5, 2025, our Board unanimously adopted resolutions approving, declaring advisable and recommending to our stockholders for their approval of the effectuation of a reverse stock split pursuant to Nevada Revised Statutes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78.2055, with a ratio in the range of not less than one-for-two (1:2) and not greater than one-for-twenty (1:50), with the exact ratio to be determined by our Board in its discretion at any time within one year after stockholder approval is obtained, to regain compliance with the $1.00 per share requirement set forth in Nasdaq Listing Rule 5450(a)(1) for continued listing on Nasdaq, with respect to the then-issued and outstanding shares of our common stock. The Reverse Stock Split will also affect then-outstanding options and warrants. The Reverse Stock Split will not affect the number of our authorized shares of common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any time within one year after stockholder approval is obtained, with the exact exchange ratio and timing to be determined at the discretion of our Board (within the range indicated above) and set forth in a public announcement. Even if our stockholders approve this proposal, our Board may determine in its discretion to abandon and not to effectuate the Reverse Stock Split. In addition, our Board may determine to effect the Reverse Stock Split even if the trading price of our shares of our common stock is at or above $1.00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The continued listing requirements of the Nasdaq Capital Market provide, among other things, that our common stock must maintain a closing bid price in excess of $1.00 per share.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14, 2025, we received a written notice from the Listing Qualifications Department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Nasdaq notifying us that, because for the thirty (30) consecutive business days preceding the receipt of the notice, the bid price for our common stock had closed below the minimum $1.00 per share requirement set forth in Nasdaq Listing Rule 5450(a)(1) for continued listing on The Nasdaq Capital Market (the “</w:t>
      </w:r>
      <w:r>
        <w:rPr>
          <w:rFonts w:ascii="Times New Roman" w:cs="Times New Roman" w:eastAsia="Times New Roman" w:hAnsi="Times New Roman"/>
          <w:sz w:val="18"/>
          <w:szCs w:val="18"/>
          <w:b w:val="1"/>
          <w:b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the Staff had determined to delist our securities from Nasdaq unless we timely requested a hearing before the Panel. Pursuant to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5810(c)(3)(A)(iv), we were not eligible for any compliance period due to the fact that we had effected a reverse stock split over the prior one-year period. In addition, on June 11, 2025, we received an additional staff determination letter indicating that, based upon our non-compliance with the requirement to maintain a minimum market value of listed securities of $35 million for continued listing on the Nasdaq Capital Market under Nasdaq Listing Rule 5550(b)(2) (the “</w:t>
      </w:r>
      <w:r>
        <w:rPr>
          <w:rFonts w:ascii="Times New Roman" w:cs="Times New Roman" w:eastAsia="Times New Roman" w:hAnsi="Times New Roman"/>
          <w:sz w:val="18"/>
          <w:szCs w:val="18"/>
          <w:b w:val="1"/>
          <w:bCs w:val="1"/>
          <w:color w:val="auto"/>
        </w:rPr>
        <w:t>MVLS Requirement</w:t>
      </w:r>
      <w:r>
        <w:rPr>
          <w:rFonts w:ascii="Times New Roman" w:cs="Times New Roman" w:eastAsia="Times New Roman" w:hAnsi="Times New Roman"/>
          <w:sz w:val="18"/>
          <w:szCs w:val="18"/>
          <w:color w:val="auto"/>
        </w:rPr>
        <w:t>”), the Staff had determined such non-compliance served as an additional basis for delisting the Company’s securities from Nasdaq.</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timely requested a hearing with the Nasdaq Hearings Panel (the “</w:t>
      </w:r>
      <w:r>
        <w:rPr>
          <w:rFonts w:ascii="Times New Roman" w:cs="Times New Roman" w:eastAsia="Times New Roman" w:hAnsi="Times New Roman"/>
          <w:sz w:val="18"/>
          <w:szCs w:val="18"/>
          <w:b w:val="1"/>
          <w:bCs w:val="1"/>
          <w:color w:val="auto"/>
        </w:rPr>
        <w:t>Panel</w:t>
      </w:r>
      <w:r>
        <w:rPr>
          <w:rFonts w:ascii="Times New Roman" w:cs="Times New Roman" w:eastAsia="Times New Roman" w:hAnsi="Times New Roman"/>
          <w:sz w:val="18"/>
          <w:szCs w:val="18"/>
          <w:color w:val="auto"/>
        </w:rPr>
        <w:t>”), and on July 2, 2025, we received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Nasdaq that, based on the plan of compliance submitted by us, the Panel had granted us an exception until November 10, 2025 (the “</w:t>
      </w:r>
      <w:r>
        <w:rPr>
          <w:rFonts w:ascii="Times New Roman" w:cs="Times New Roman" w:eastAsia="Times New Roman" w:hAnsi="Times New Roman"/>
          <w:sz w:val="18"/>
          <w:szCs w:val="18"/>
          <w:b w:val="1"/>
          <w:bCs w:val="1"/>
          <w:color w:val="auto"/>
        </w:rPr>
        <w:t>Exception</w:t>
      </w:r>
      <w:r>
        <w:rPr>
          <w:rFonts w:ascii="Times New Roman" w:cs="Times New Roman" w:eastAsia="Times New Roman" w:hAnsi="Times New Roman"/>
          <w:sz w:val="18"/>
          <w:szCs w:val="18"/>
          <w:color w:val="auto"/>
        </w:rPr>
        <w:t>”) to regain compliance with (i) Minimum Bid Price Requirement and (ii) the MVLS Requirement, subject to our achievement of certain milestones. In the event we fail to meet the milestones set forth in the compliance plan submitted to the Panel or otherwise regain compliance with the Bid Price Requirement and the MVLS Requirement or the alternative criteria by November 10, 2025, our securities will be delisted from Nasdaq. The Exception was granted following our hearing with the Panel on June 24, 2025.</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determined that the continued listing of our common stock on the Nasdaq Capital Market is beneficial for our stockholders. The delisting of our common stock from the Nasdaq Capital Market would likely have very serious consequences for us and our stockholders. If our common stock is delisted from the Nasdaq Capital Market, our Board believes that the trading market for our common stock could become significantly less liquid, which could reduce the trading price of our common stock and increase the transaction costs of trading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Approval of this proposal will grant our Board the authority, without further action by our stockholders, to carry out the Reverse Stock Split at any time within one year after stockholder approval is obtained, with the exact exchange ratio (within the range indicated above) and timing to be determined at the discretion of our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our stockholders approve this proposal, our Board may determine in its discretion not to effect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proposal is approved and our Board determines to effect the Reverse Stock Split, the exact timing will be determined at the discretion of our Board and set forth in a public announcement.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this proposal is approved, no further action on the part of stockholders would be required to either effect or abandon the Reverse Stock Split. If our Board does not implement the Reverse Stock Split within one year after stockholder approval is obtained, the authority granted in this proposal to implement the Reverse Stock Split will terminate. Our Board reserves its right to elect not to proceed and abandon the Reverse Stock Split if it determines, in its sole discretion, that this proposal is no longer in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purpose of the Reverse Stock Split is to decrease the total number of shares of our common stock outstanding and proportionately increase the market price of our common stock above $1.00 per share in order to meet the continuing listing requirements of the Nasdaq Capital Market. Accordingly, our Board approved the Reverse Stock Split Proposal in order to help ensure that the share price of our common stock meets the continued listing requirements of the Nasdaq Capital Market. Our Board intends to effect the Reverse Stock Split only if it believes that a decrease in the number of shares outstanding is in our and our stockholders’ best interests and is likely to improve the trading price of the shares of our common stock and improve the likelihood that we will be allowed to maintain our continued listing on the Nasdaq Capital Market. Our Board may determine to effect the Reverse Stock Split even if the trading price of our common stock is at or above $1.00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believes that stockholder approval of a range of Reverse Stock Split ratios (rather than a single exchange ratio) is in the best interests of our stockholders because it provides our Board with the flexibility to achieve the desired results of the Reverse Stock Split and because it is not possible to predict market conditions at the time the Reverse Stock Split would be implemented. If stockholders approve this proposal, our Board would carry out a reverse stock split only upon our Board’s determination that a reverse stock split would be in the best interests of our stockholders at that time. Our Board would then set the ratio for the Reverse Stock Split within the range approved by stockholders and in an amount it determines is advisable and in the best interests of the stockholders considering relevant market conditions at the time the Reverse Stock Split is to be implemented. In determining the Reverse Stock Split ratio, following receipt of stockholder approval, our board of the directors may consider numerous factors including:</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projected performance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other related conditions prevailing in our industry and in the marketplace;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impact of the Reverse Stock Split ratio on trading liquidity in our common stock and our ability to maintain continued listing on the Nasdaq Capital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our common stock issued and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for our common stock and the volume level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devaluation of our market capitalization as a result of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intends to select a Reverse Stock Split ratio (within the range indicated above) that it believes would be most likely to achieve the anticipated benefits of the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voting on this proposal, stockholders should consider the following risks associated with effecting the Reverse Stock Split: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the principal purpose of the Reverse Stock Split is to increase the market price of our common stock in order to meet the continuing listing requirements of the Nasdaq Capital Market. However, the Reverse Stock Split, if effected, may not increase the market price of our common stock in proportion to the reduction in the number of shares of our common stock outstanding, or at all. If the proposed Reverse Stock Split does result in an increase in the market price of our common stock, the increase may not be long-term or permanent. The market price of our common stock is dependent on many factors, including our business and financial performance, general market conditions, prospects for future growth and other factors detailed from time to time in the reports we file with the SEC. We cannot predict the effect that the Reverse Stock Split may have upon the market price of our common stock with any certainty, and the history of similar reverse stock splits for companies in similar circumstances to ours is varied.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w:t>
      </w:r>
    </w:p>
    <w:p>
      <w:pPr>
        <w:spacing w:after="0" w:line="1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stockholders approve the Reverse Stock Split and the Reverse Stock Split is effected, there can be no assurance that we will continue to meet the continued listing requirements of the Nasdaq Capital Market.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Reverse Stock Split is approved and effected with respect to our issued and outstanding common stock, each holder of common stock outstanding immediately prior to the effectiveness of the Reverse Stock Split will own a reduced number of shares of common stock upon effectiveness of the Reverse Stock Split. The Reverse Stock Split would be effected simultaneously for all outstanding shares of common stock at the same exchange ratio. Except for adjustments that may result from the treatment of fractional shares (as described below), the Reverse Stock Split would affect all stockholders uniformly and would not change any stockholder’s percentage ownership interest in us. The relative voting rights and other rights and preferences that accompany the shares of common stock will not be affected by the Reverse Stock Split. Shares of common stock issued pursuant to the Reverse Stock Split will remain fully paid and nonassessable.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affect the number of authorized shares of common stock. 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remain unchanged. As a result, additional authorized shares of common stock would become available for issuance at such times and for such purposes as our Board may deem advisable without further action by stockholders, except as required by applicable law or stock exchange rules. To the extent that additional authorized shares of common stock are issued in the future, such shares could be dilutive to our existing stockholders by decreasing such stockholders’ percentage of equity ownership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number of issued and outstanding shares of common stock, and the estimated per share trading price following a one-for-two (1:2) to (1:50) Reverse Stock Split, without giving effect to any adjustments for fractional shares of common stock or the issuance of any derivative securities, as of September 4, 2025.</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0"/>
                <w:szCs w:val="20"/>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61,741,852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30,870,926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6,174,185</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1,234,837</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Number of Shares of Common Stock Reserved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for Issuance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10,505,562</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5,252,781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1,050,556</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420,222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210,111</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of Common Stock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but Unissued and Unreserved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327,752,586</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363,876,293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392,775,259</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397,110,103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398,555,052</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Price per share, based on the closing price of our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Common Stock on September 4, 2025</w:t>
            </w:r>
            <w:r>
              <w:rPr>
                <w:rFonts w:ascii="Times New Roman" w:cs="Times New Roman" w:eastAsia="Times New Roman" w:hAnsi="Times New Roman"/>
                <w:sz w:val="29"/>
                <w:szCs w:val="29"/>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bl>
    <w:p>
      <w:pPr>
        <w:spacing w:after="0" w:line="198" w:lineRule="exact"/>
        <w:rPr>
          <w:sz w:val="20"/>
          <w:szCs w:val="20"/>
          <w:color w:val="auto"/>
        </w:rPr>
      </w:pPr>
    </w:p>
    <w:p>
      <w:pPr>
        <w:jc w:val="both"/>
        <w:ind w:firstLine="8"/>
        <w:spacing w:after="0" w:line="256"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328,581 shares of common stock issuable upon the exercise of stock options and unvested restricted stock units outstanding; (ii) 4,256,180 shares of common stock issuable upon the exercise of warrants outstanding; (iii) 2,777,778 shares of common stock reserved for issuance in the event of certain milestones in connection with the Business Combination; (iv) 1,191,769 shares available for future issuance as awards under the 2022 Plan prior to giving effect to the proposed amendment to the 2022 Plan as described in the Equity Plan Proposal), and the ESPP; and (vii) 1,951,769 shares of common stock reserved for future issuance under the pursuant to the terms of our purchase agreement, dated May 20, 2024 with Chardan Capital Markets LLC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indicated reflects solely the application of the applicable reverse split ratio to the closing price of the common stock on one-for-two (1:2) and not greater than one-for-twenty (1:50).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Reverse Stock Split will have no effect on the number of authorized shares of common stock or preferred stock or the par value of the common stock or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the Equity Incentive Plans, Outstanding Options and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Reverse Stock Split is approved and effected, the total number of shares of common stock reserved for issuance under our equity incentive plans would be reduced in proportion to the ratio selected by our Board. The total number of shares of common stock reserved for issuance pursuant to outstanding but unexercised warrants would be reduced in proportion to the Reverse Stock Split ratio.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outstanding equity awards, options and warrants, the Reverse Stock Split would adjust and proportionately reduce the number of shares of common stock issuable upon exercise or vesting of such awards, options and warrants in the same ratio of the Reverse Stock Split and, correspondingly, would proportionately increase the exercise or purchase price, if any, of all such awards, options and warrants. The number of shares of common stock issuable upon exercise or vesting of outstanding equity awards, options and warrants and the exercise or purchase price related thereto, if any, would be equitably adjusted in accordance with the terms of the equity incentive plans or warrants, which may include rounding the number of shares of common stock issuable down to the nearest whole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Anti-Takeover Effect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us (for example, by permitting issuances that would dilute the stock ownership of a person or entity seeking to effect a change in the composition of our Board or contemplating a tender offer or other change in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is not presently aware of any attempt, or contemplated attempt, to acquire control of us, and the Reverse Stock Split Proposal is not part of any plan by our Board to recommend or implement any anti-takeover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Reverse Stock Split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will be restated for prior periods to conform to the post-Reverse Stock Split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Mechanics of 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on Registered “Book-Entry” Holders of our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common stock hold some or all of their common stock electronically in book-entry or “street name” form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not issue fractional shares in connection with the Reverse Stock Split, if implemented. Instead, in lieu of any fractional shares to which a stockholder of record would otherwise be entitled as a result of the Reverse Stock Split, we will pay cash (without interest) equal to such fraction multiplied by the average of the closing sales prices of our common stock on Nasdaq during regular trading hours for the five consecutive trading days immediately preceding the effective date of the Reverse Stock Split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stockholder approval of the Reverse Stock Split Proposal, if the Board elects to implement the proposed Reverse Stock Split, stockholders owning fractional shares will be paid out in cash for such fractional shares. For example, assuming the Board elected to consummate a one-for-ten (1:10) Reverse Stock Split, if a stockholder held 13 shares of common stock immediately prior to the Reverse Stock Split, then such stockholder would be paid in cash for the three shares of common stock but will maintain ownership of the remaining one share of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Reverse Stock Split may increase the number of stockholders who own odd lots (less than 100 shares). Any stockholder who owns fewer than 200 to 5,000 shares of common stock, depending on the final ratio, prior to the Reverse Stock Split could own fewer than 100 shares of common stock following the Reverse Stock Split. Stockholders who hold odd lots typically experience an increase in the cost of selling their shares and may have greater difficulty in effecting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any dissenter’s or appraisal rights with respect to the Reverse Stock Split, and we will not independently provide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describes, as of the date of this proxy statement, certain U.S. federal income tax consequences of the Reverse Stock Split to holders of our common stock. This summary addresses the tax consequences only to a U.S. holder, which is a beneficial owner of our common stock that is either:</w:t>
      </w:r>
    </w:p>
    <w:p>
      <w:pPr>
        <w:spacing w:after="0" w:line="176" w:lineRule="exact"/>
        <w:rPr>
          <w:sz w:val="20"/>
          <w:szCs w:val="20"/>
          <w:color w:val="auto"/>
        </w:rPr>
      </w:pPr>
    </w:p>
    <w:p>
      <w:pPr>
        <w:ind w:left="240" w:hanging="151"/>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240" w:hanging="151"/>
        <w:spacing w:after="0" w:line="282"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240" w:hanging="151"/>
        <w:spacing w:after="0" w:line="266" w:lineRule="auto"/>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U.S. persons has the authority to control all of its substantial decisions or (ii) has a valid election in effect to treat such trust as a U.S. person for U.S. federal income tax purposes.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summary is based on the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regulations promulgated thereunder, administrative rulings and practices and judicial authority, all as in effect as of the date of this proxy statement. Subsequent developments in U.S. federal income tax law, including changes in law or differing interpretations, which may be applied retroactively, could have a material effect on the U.S. federal income tax consequences of the Reverse Stock Split. We have not sought, and will not seek, an opinion of counsel or a ruling from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regarding the U.S. federal income tax consequences of the Reverse Stock Split, and there can be no assurance that the IRS will not challenge the statements and conclusions set forth below or that a court would not sustain any such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certain former U.S. citizens and lawful permanent residents of the United States, persons subject to the alternative minimum tax, persons whose functional currency is not the U.S. dollar, partnerships or other pass-through entities (including S-corporations), traders in securities that elect to mark-to-market and dealers in securities or currencies, (ii) persons that hold our common stock as part of a position in a “straddle” or as part of a “hedging transaction,” “conversion transaction” or other integrated investment transaction for federal income tax purposes, (iii) persons that do not hold our common stock as “capital assets” (generally, property held for investment), (iv) persons liable for the alternative minimum tax, (v) persons that directly, indirectly or constructively, own 5% or more of the total combined voting power of our stock or of the total value of our equity interests or (vi) persons that will hold shares of common stock in connection with a permanent establishment or fixed base outside the United States. This summary does not address backup withholding and information reporting. This summary does not address U.S. holders who beneficially own common stock through a “foreign financial institution” (as defined in Code Section 1471(d)(4)) or certain other non-U.S. entities specified in Code Section 1472. This summary does not address U.S. federal tax considerations other than income tax considerations (such as Medicare contribution tax on net investment income, the alternative minimum tax, or estate or gift taxes) or tax considerations arising under any U.S. state or local or non-U.S. laws. In addition, this summary does not address the tax consequences of transactions effectuated before, after or at the same time as the Reverse Stock Split, whether or not they are in connection with the Reverse Stock Split.</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should consult his, her or its own tax advisors concerning the particular tax consequences of the Reverse Stock Split to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Tax Treatment of the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the U.S. federal income tax consequences of the Reverse Stock Split will vary among U.S. holders depending upon whether they receive cash for fractional shares or solely a reduced number of shares of our common stock in exchange for their shares. The Reverse Stock Split is intended to constitute a “reorganization” under Section 368 of the Code that should constitute a “recapitalization” for U.S. federal income tax purposes. Assuming the Reverse Stock Split qualifies as a reorganization, a U.S. holder who receives solely a reduced number of shares of our common stock generally will not recognize gain or loss upon the exchange of shares of our common stock for a lesser number of shares of common stock, based upon the Reverse Stock Split ratio. A U.S. holder’s aggregate tax basis in the lesser number of shares of common stock received in the Reverse Stock Split will be the same as such U.S. holder’s aggregate tax basis in the shares of our common stock that such U.S. holder owned immediately prior to the Reverse Stock Split. The holding period for the shares of common stock received in the Reverse Stock Split will include the period during which a U.S. holder held the shares of our common stock that were surrendered in the Reverse Stock Split. The U. S.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stockholder that, pursuant to the Reverse Stock Split, receives cash in lieu of a fractional share of our common stock will generally recognize capital gain or loss in an amount equal to the difference, if any, between the amount of cash received and the portion of the stockholder’s aggregate adjusted tax basis in the shares of our common stock surrendered that is allocated to such fractional share. Such capital gain or loss will be short term if the pre-Reverse Stock Split shares were held for one year or less at the effective time of the Reverse Stock Split and long term if held for more than one year. The deductibility of net capital losses by individuals and corporations is subject to limitations. Special rules may apply to cause all or a portion of the cash received in lieu of a fractional share to be treated as dividend income with respect to certain stockholders who own more than a minimal amount of our common stock and whose proportionate interest in the Company is not reduced (after taking into account certain constructive ownership rules) or who exercise some control over the affairs of the Company. Stockholders should consult their own tax advisors regarding the tax consequences to them of a payment for fractional shares.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IS INTENDED ONLY AS A SUMMARY OF CERTAIN FEDERAL INCOME TAX CONSEQUENCES OF THE REVERSE STOCK SPLIT AND DOES NOT CONSTITUTE A TAX OPINION. EACH HOLDER OF OUR COMMON STOCK SHOULD CONSULT ITS OWN TAX ADVISOR REGARDING THE TAX CONSEQUENCES OF THE REVERSE STOCK SPLIT TO THEM AND FOR REFERENCE TO APPLICABLE PROVISIONS OF THE CODE.</w:t>
      </w:r>
    </w:p>
    <w:p>
      <w:pPr>
        <w:spacing w:after="0" w:line="176"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TO AUTHORIZE OUR BOARD, IN ITS DISCRETION AT ANY TIME WITHIN ONE YEAR AFTER STOCKHOLDER APPROVAL IS OBTAINED, TO EFFECT A REVERSE STOCK SPLIT OF ONLY THE THEN-OUTSTANDING SHARES OF THE COMPANY’S COMMON STOCK (WITH NO CHANGE TO THE AUTHORIZED CAPITAL STOCK OF THE COMPANY), AT A RATIO OF NOT LESS THAN ONE-FOR-TWO (1:2) AND NOT GREATER THAN ONE-FOR-FIFTY (1:50), WITH THE EXACT RATIO TO BE DETERMINED BY OUR BOARD AND INCLUDED IN A PUBLIC ANNOUNCEMENT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INCREASE IN AUTHORIZED PROPOSAL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may effect a reverse stock split of our common stock pursuant to NRS 78.207 (the “</w:t>
      </w:r>
      <w:r>
        <w:rPr>
          <w:rFonts w:ascii="Times New Roman" w:cs="Times New Roman" w:eastAsia="Times New Roman" w:hAnsi="Times New Roman"/>
          <w:sz w:val="18"/>
          <w:szCs w:val="18"/>
          <w:b w:val="1"/>
          <w:bCs w:val="1"/>
          <w:color w:val="auto"/>
        </w:rPr>
        <w:t>Board Reverse Stock Split</w:t>
      </w:r>
      <w:r>
        <w:rPr>
          <w:rFonts w:ascii="Times New Roman" w:cs="Times New Roman" w:eastAsia="Times New Roman" w:hAnsi="Times New Roman"/>
          <w:sz w:val="18"/>
          <w:szCs w:val="18"/>
          <w:color w:val="auto"/>
        </w:rPr>
        <w:t>”) to regain compliance with the Minimum Bid Price Requirement, as further described under the heading “</w:t>
      </w:r>
      <w:r>
        <w:rPr>
          <w:rFonts w:ascii="Times New Roman" w:cs="Times New Roman" w:eastAsia="Times New Roman" w:hAnsi="Times New Roman"/>
          <w:sz w:val="18"/>
          <w:szCs w:val="18"/>
          <w:i w:val="1"/>
          <w:iCs w:val="1"/>
          <w:color w:val="auto"/>
        </w:rPr>
        <w:t>Reasons for the Reverse Stock Split</w:t>
      </w:r>
      <w:r>
        <w:rPr>
          <w:rFonts w:ascii="Times New Roman" w:cs="Times New Roman" w:eastAsia="Times New Roman" w:hAnsi="Times New Roman"/>
          <w:sz w:val="18"/>
          <w:szCs w:val="18"/>
          <w:color w:val="auto"/>
        </w:rPr>
        <w:t>” in the Reverse Stock Split Proposal. In the event that the Board Reverse Stock Split is effectuated by the Board, the Board would not effectuate a reverse stock split using the authority set forth in Reverse Stock Split Proposal, and we would be required to promptly file with the State of Nevada a Certificate of Change, which would effectuate the Board Reverse Stock Split and also have the effect of amending our Articles of Incorporation to decrease the number of authorized shares of our common stock set forth therein, depending on the ratio approved by the Board for the Board Reverse Stock Split (the “</w:t>
      </w:r>
      <w:r>
        <w:rPr>
          <w:rFonts w:ascii="Times New Roman" w:cs="Times New Roman" w:eastAsia="Times New Roman" w:hAnsi="Times New Roman"/>
          <w:sz w:val="18"/>
          <w:szCs w:val="18"/>
          <w:b w:val="1"/>
          <w:bCs w:val="1"/>
          <w:color w:val="auto"/>
        </w:rPr>
        <w:t>Board 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Split Ratio</w:t>
      </w:r>
      <w:r>
        <w:rPr>
          <w:rFonts w:ascii="Times New Roman" w:cs="Times New Roman" w:eastAsia="Times New Roman" w:hAnsi="Times New Roman"/>
          <w:sz w:val="18"/>
          <w:szCs w:val="18"/>
          <w:color w:val="auto"/>
        </w:rPr>
        <w:t>”),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3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28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0"/>
                <w:szCs w:val="20"/>
                <w:color w:val="auto"/>
              </w:rPr>
            </w:pPr>
          </w:p>
        </w:tc>
      </w:tr>
      <w:tr>
        <w:trPr>
          <w:trHeight w:val="209"/>
        </w:trPr>
        <w:tc>
          <w:tcPr>
            <w:tcW w:w="374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Common Stock Authorized</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400,000,000</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 Board Reverse Stock Split as described above, our Board has approved, subject to shareholder approval, an amendment to our Articles of Incorporation to increase our authorized shares of common stock to 400,000,000, the current amount of authorized common stock under our Articles of Incorporation (the “</w:t>
      </w:r>
      <w:r>
        <w:rPr>
          <w:rFonts w:ascii="Times New Roman" w:cs="Times New Roman" w:eastAsia="Times New Roman" w:hAnsi="Times New Roman"/>
          <w:sz w:val="18"/>
          <w:szCs w:val="18"/>
          <w:b w:val="1"/>
          <w:bCs w:val="1"/>
          <w:color w:val="auto"/>
        </w:rPr>
        <w:t>Increase in Authorized Certificate of Amendment</w:t>
      </w:r>
      <w:r>
        <w:rPr>
          <w:rFonts w:ascii="Times New Roman" w:cs="Times New Roman" w:eastAsia="Times New Roman" w:hAnsi="Times New Roman"/>
          <w:sz w:val="18"/>
          <w:szCs w:val="18"/>
          <w:color w:val="auto"/>
        </w:rPr>
        <w:t xml:space="preserve">”). The form of the text of the amendment (which would be filed with the Nevada Secretary of State on its then prescribed form of Certificate of Amendment) is set forth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(subject to any changes required by applicable law). Our Board believes that it is in the best interests of the Company and our stockholders to amend our Articles of Incorporation to increase the number of authorized shares of common stock as result of the proportional decrease in authorized shares that would occur in connection with a Board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 and Purpose of the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Articles of Incorporation currently authorizes us to issue a maximum of 400,000,000 shares of common stock, par value $0.0001 per share, and 5,000,000 shares of preferred stock, $0.0001 par value per share. Our issued and outstanding securities, as of September 4, 2025, and as adjusted for various potential Board Reverse Stock Split Ratios are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20"/>
                <w:szCs w:val="20"/>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Authorized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200,000,000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and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61,741,852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30,870,926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6,174,185</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2,469,674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1,234,837</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Number of Shares of Common Stock Reserved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for Issuance</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10,505,562</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5,252,781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1,050,556</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420,222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210,111</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of Common Stock Authorized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but Unissued and Unreserved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327,752,586</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163,876,293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32,775,259</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13,110,103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6,555,052</w:t>
            </w:r>
          </w:p>
        </w:tc>
      </w:tr>
      <w:tr>
        <w:trPr>
          <w:trHeight w:val="201"/>
        </w:trPr>
        <w:tc>
          <w:tcPr>
            <w:tcW w:w="36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Price per share, based on the closing price of our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362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Common Stock on September 4, 2025</w:t>
            </w:r>
            <w:r>
              <w:rPr>
                <w:rFonts w:ascii="Times New Roman" w:cs="Times New Roman" w:eastAsia="Times New Roman" w:hAnsi="Times New Roman"/>
                <w:sz w:val="29"/>
                <w:szCs w:val="29"/>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r>
    </w:tbl>
    <w:p>
      <w:pPr>
        <w:spacing w:after="0" w:line="198" w:lineRule="exact"/>
        <w:rPr>
          <w:sz w:val="20"/>
          <w:szCs w:val="20"/>
          <w:color w:val="auto"/>
        </w:rPr>
      </w:pPr>
    </w:p>
    <w:p>
      <w:pPr>
        <w:jc w:val="both"/>
        <w:ind w:firstLine="8"/>
        <w:spacing w:after="0" w:line="258"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328,581 shares of common stock issuable upon the exercise of stock options and unvested restricted stock units outstanding; (ii) 4,256,180 shares of common stock issuable upon the exercise of warrants outstanding; (iii) 2,777,778 shares of common stock reserved for issuance in the event of certain milestones in connection with the Business Combination; (iv) 1,191,769 shares available for future issuance as awards under the 2022 Plan (prior to giving effect to the proposed amendment to the 2022 Plan as described in the Equity Plan Proposal), and the ESPP; and (vii) 1,951,769 shares of common stock reserved for future issuance under the pursuant to the terms of our ChEF Equity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firstLine="8"/>
        <w:spacing w:after="0" w:line="28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indicated reflects solely the application of the applicable reverse split ratio to the closing price of the common stock on September 4, 2025.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Adoption of the amendment would not affect the rights of the holders of currently outstanding common stock, except, to the extent the additional authorized shares are issued, for effects incidental to increasing the number of shares of common stock outstanding, such as dilution of earnings per share and voting rights of current holders of common stock. If the amendment is adopted, it will become effective upon the filing of the Increase in Authorized Certificate of Amendment to the Company’s Articles of Incorporation with the Secretary of State of the State of Nevada. The description of the Increase in Authorized Certificate of Amendment should be read in conjunction with and is qualified in its entirety by reference to the text of the proposed Increase in Authorized Certificate of Amendment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of the proportional decrease in authorized shares that would occur in connection with the Board Reverse Stock Split, the approval of the Increase in Authorized Certificate of Amendment is important for our ongoing business. Our Board believes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or exercisable for shares of common stock; (ii) expanding our business through potential strategic transactions, including mergers, acquisitions, licensing transactions and other business combinations or acquisitions of new product candidates or products; (iii) establishing strategic relationships with other companies; (iv) exchanges of common stock or securities that are convertible into or exercisable for shares of common stock for other outstanding securities; (v) providing equity incentives pursuant to the 2022 Plan and the ESPP, or another plan we may adopt in the future, to attract and retain employees, officers or directors; (vi) utilizing the ChEF Equity Facility; and (vii) other general corporate purposes. We intend to use the additional shares of common stock that will be available to undertake any such issuances described above. As is the case with the shares of common stock which are currently authorized but unissued, if the Increase in Authorized Certificate of Amendment is adopted by the stockholders, the Board will only have authority to issue the additional shares of common stock from time to time without further action on the part of stockholders to the extent not prohibited by applicable law or by the rules of any stock exchange or market on which our securities may then be listed or authorized for quotation. Because it is anticipated that our directors and executive officers will be granted additional equity awards under the 2022 Plan, or another plan we adopt in the future, they may be deemed to have an indirect interest in the Increase in Authorized Certificate of Amendment, because absent the Increase in Authorized Certificate of Amendment, we may not have sufficient authorized shares to grant such awards.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authorized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Disadvantages to an increase in the number of authorized shares of common stock may include:</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experience further dilution of their ownership.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have any preemptive or similar rights to subscribe for or purchase any additional shares of common stock that may be issued in the future, and therefore, future issuances of common stock, depending on the circumstances, will have a dilutive effect on the earnings per share, voting power and other interests of our existing stockholders.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shares of common stock for which authorization is sought in this proposal would be part of the existing class of common stock and, if and when issued, would have the same rights and privileges as the shares of common stock presently outstanding.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 specific plan, commitment, arrangement, understanding or agreement, either oral or written, regarding the issuance of common stock subsequent to this proposed increase in the number of authorized shares at this time, and we have not allocated any specific portion of the proposed increase in the authorized number of shares to any particular purpose. However, we have in the past conducted certain public and private offerings of common stock and warrants, and we will continue to require additional capital in the near future to fund our operations. As a result, it is foreseeable that we will seek to issue such additional shares of common stock in connection with any such capital raising activities, or any of the other activities described above. The Board does not intend to issue any common stock or securities convertible into common stock except on terms that the Board deems to be in the best interests of us and our stockholders. We are therefore requesting our stockholders approve this proposal to amend our Articles of Incorporation to increase our authorized shares of common stock to 400,000,000 shares in the event of the proportional decrease in authorized shares that would occur in connection with a Board Reverse Stock Split if the Board elects to do so as described herein.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INCREASE IN AUTHORIZED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APPROVAL TO INCREASE THE NUMBER OF SHARES AUTHORIZED FOR ISSUANCE UNDER OUR 2022 PLAN BY 9,000,000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is requesting that stockholders approve an amendment to our 2022 Plan increasing the number of shares of our common stock reserved for issuance under the 2022 Plan by 9,000,000 shares (prior to giving effect to any Reverse Stock Split or Board Reverse Stock Split). If either the Reverse Stock Split or Board Reverse Stock Split is effected, such number of shares will be reduced in accordance with the ratio of such reverse stock split. A copy of the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The Board approved the Amendment on September 5, 2025 and directed that the Amendment be submitted to our stockholders for approval at the Annual Meeting.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primary purpose of the 2022 Plan is to provide a means whereby eligible employees, officers, non-employee directors and other individual service providers develop a sense of proprietorship and personal involvement in the development and financial success of the Company and to encourage them to devote their best efforts to our business, thereby advancing the interests of the Company and its stockholders. Our Board believes that the granting of stock options, stock appreciation rights (“</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restricted stock and restricted stock unit awards, and similar kinds of equity-based compensation promotes continuity of management and increases incentive and personal interest in the welfare of our Company by those who are primarily responsible for shaping and carrying out our long-range plans and securing our growth and financial success.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4, 2025, 845,899 shares (after giving effect to the 1-for-9 reverse stock split effectuated on November 22, 2024) remained available for issuance under the 2022 Plan. The Company also maintains the 2019 Plan and the 2021 Plan (collectively, the “</w:t>
      </w:r>
      <w:r>
        <w:rPr>
          <w:rFonts w:ascii="Times New Roman" w:cs="Times New Roman" w:eastAsia="Times New Roman" w:hAnsi="Times New Roman"/>
          <w:sz w:val="18"/>
          <w:szCs w:val="18"/>
          <w:b w:val="1"/>
          <w:bCs w:val="1"/>
          <w:color w:val="auto"/>
        </w:rPr>
        <w:t>Prior Plans</w:t>
      </w:r>
      <w:r>
        <w:rPr>
          <w:rFonts w:ascii="Times New Roman" w:cs="Times New Roman" w:eastAsia="Times New Roman" w:hAnsi="Times New Roman"/>
          <w:sz w:val="18"/>
          <w:szCs w:val="18"/>
          <w:color w:val="auto"/>
        </w:rPr>
        <w:t>”), but no awards will be made under the Prior Plans. If the Company’s stockholders do not approve the Amendment, the Company will continue to operate under the 2022 Plan. However, if the authorized shares are depleted, we would not be able to continue to offer equity awards, which could put us at a competitive disadvantage in recruiting and retaining talent, and also make it more difficult for us to align employee interests with those of our stockholders through a program that includes stock ownership.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 approval of the Amendment is necessary in order to satisfy certain legal requirements, including requirements of Nasdaq rules, and to make awards under it eligible for beneficial tax treatment. In addition, our Board regards stockholder approval of the Amendment as desirable and consistent with good corporate governance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2022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principal terms of the 2022 Plan, as amended, is a summary and is qualified in its entirety by the full text of the 2022 Plan, which is incorporated herein by reference to Exhibit 10.5 to the Annual Report. This summary does not purport to be a complete description of all the provisions of the 2022 Plan.</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or one or more committees appointed by the Board to administer the 2022 Plan. The Board or a committee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delegated authority) may delegate different levels of authority to different committees or persons with administrative and grant authority under the 2022 Plan. The Board has delegated general administrative authority for the 2022 Plan to the Compensation Committee of the Board. The appropriate acting body, be it the Board or a committee or other person within its delegated authority, is referred to in this proposal as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Administrator has broad authority under the 2022 Plan, including, without limitation, the authority:</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eligibility and, from among such persons determined to be eligible,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and determine the terms and conditions of awards, including the price (if any) to be paid for the shares or the award and, in the case of share-based awards, the number of shares to be offered or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left="660" w:hanging="328"/>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 (subject in the case of options and SARs to the maximum term of the award);</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modify, or waive the Company’s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2022 Plan, to make certain adjustments to an outstanding award and to authorize the conversion, succession or substitution of an award;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method of payment of any purchase price for an award or shares of the Company’s common stock delivered under the 2022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third-party payment or cashless exercise on such terms as the Administrator may authorize, or any other form permitted by law;</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 of any award agreements issued under the 2022 Plan;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2022 Plan and any award agreements issued thereunder, make rules for the administration of the 2022 Plan, and make all other determinations for the administration of the 2022 Plan.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In no case (except due to an adjustment to reflect a stock split or other event referred to under “Adjustments” below,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repricing that may be approved by stockholders) will the Administrator (1) 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Persons eligible to receive awards under the 2022 Plan include officers or employees of the Company or any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the Company, and certain consultants and advisors to the Company or any of its subsidiaries. As of September 4, 2025, the Company and its subsidiaries had a total of 144 employees, including 4 executive officers, 3 non-employee directors, and 1 consultant and advisor. In accordance with the Company’s Bylaws, directors who are serving the Company as employees and who receive compensation for their services as such, are not eligible to receive any other compensation under the 2022 Plan for their services as directors of the Company. None of our subsidiaries have employees and none of the officers and directors of our subsidiaries are eligible for awards under the 2022 Plan other than those who are eligible as officers or directors of the Company. Except with respect to awards identified under the section below titled “Existing Plan Benefits,” as awards under the 2022 Plan are within the discretion of the Compensation Committee, the Company cannot determine how many individuals in each of the categories described above will receive awards.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Shares Subject to the 2022 Plan. </w:t>
      </w:r>
      <w:r>
        <w:rPr>
          <w:rFonts w:ascii="Times New Roman" w:cs="Times New Roman" w:eastAsia="Times New Roman" w:hAnsi="Times New Roman"/>
          <w:sz w:val="18"/>
          <w:szCs w:val="18"/>
          <w:color w:val="auto"/>
        </w:rPr>
        <w:t>If the Amendment is approved, the maximum number of shares of common stock that may be issued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pursuant to awards under the 2022 Plan will equal the sum of the following (such total number of shares, the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10,217,443 shares,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stock options granted under the Prior Plans and outstanding as of the date shareholders approved the 2022 Plan (the “</w:t>
      </w:r>
      <w:r>
        <w:rPr>
          <w:rFonts w:ascii="Times New Roman" w:cs="Times New Roman" w:eastAsia="Times New Roman" w:hAnsi="Times New Roman"/>
          <w:sz w:val="18"/>
          <w:szCs w:val="18"/>
          <w:b w:val="1"/>
          <w:bCs w:val="1"/>
          <w:color w:val="auto"/>
        </w:rPr>
        <w:t>2022 Plan Stockholder Approval Date</w:t>
      </w:r>
      <w:r>
        <w:rPr>
          <w:rFonts w:ascii="Times New Roman" w:cs="Times New Roman" w:eastAsia="Times New Roman" w:hAnsi="Times New Roman"/>
          <w:sz w:val="18"/>
          <w:szCs w:val="18"/>
          <w:color w:val="auto"/>
        </w:rPr>
        <w:t>”) which expire, or for any reason are cancelled or terminated without being exercised (the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Plans Options</w:t>
      </w:r>
      <w:r>
        <w:rPr>
          <w:rFonts w:ascii="Times New Roman" w:cs="Times New Roman" w:eastAsia="Times New Roman" w:hAnsi="Times New Roman"/>
          <w:sz w:val="18"/>
          <w:szCs w:val="18"/>
          <w:color w:val="auto"/>
        </w:rPr>
        <w:t>”), plus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any shares subject to restricted stock awards granted under the Prior Plans that were outstanding and unvested on the 2022 Plan Stockholder Approval Date that are forfeited, terminated, cancelled, or otherwise reacquired by the Company without having become vested (the “</w:t>
      </w:r>
      <w:r>
        <w:rPr>
          <w:rFonts w:ascii="Times New Roman" w:cs="Times New Roman" w:eastAsia="Times New Roman" w:hAnsi="Times New Roman"/>
          <w:sz w:val="18"/>
          <w:szCs w:val="18"/>
          <w:b w:val="1"/>
          <w:bCs w:val="1"/>
          <w:color w:val="auto"/>
        </w:rPr>
        <w:t>Prior Plans RSAs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4, 2025, there were 149,015 shares subject to Prior Plans Options outstanding and no shares subject to Prior Plans RSAs outstanding.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Share Limit automatically increases on the first trading day in January of each calendar year during the term of the 2022 Plan by an amount equal to the lesser of (i) four percent of the total number of shares of common stock issued and outstanding on December 31 of the immediately preceding calendar year or (ii) such number of shares of common stock as may be established by the Board. As a result of this “evergreen” provision, 192,324 shares of common stock were added to the Share Limit on January 1, 2023, 267,824 shares of common stock were added to the Share Limit on January 1, 2024 and 289,306 shares of common stock were added to the Share Limit on January 1, 2025.</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Share Limits</w:t>
      </w:r>
      <w:r>
        <w:rPr>
          <w:rFonts w:ascii="Times New Roman" w:cs="Times New Roman" w:eastAsia="Times New Roman" w:hAnsi="Times New Roman"/>
          <w:sz w:val="18"/>
          <w:szCs w:val="18"/>
          <w:color w:val="auto"/>
        </w:rPr>
        <w:t>. The following other limits are also contained in the 2022 Plan. These limits are in addition to, and not in lieu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Limit described above.</w:t>
      </w:r>
    </w:p>
    <w:p>
      <w:pPr>
        <w:spacing w:after="0" w:line="155" w:lineRule="exact"/>
        <w:rPr>
          <w:sz w:val="20"/>
          <w:szCs w:val="20"/>
          <w:color w:val="auto"/>
        </w:rPr>
      </w:pPr>
    </w:p>
    <w:p>
      <w:pPr>
        <w:jc w:val="both"/>
        <w:ind w:left="660" w:hanging="328"/>
        <w:spacing w:after="0" w:line="26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delivered pursuant to options qualified as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under Section 422 of the Code” granted under the 2022 Plan is 730,200 shares. If the Amendment is approved, the maximum number of shares that may be delivered pursuant to options qualified as ISOs granted under the 2022 Plan will increase to 10,217,443 subject to certain adjustments. (For clarity, any shares issued in respect of ISOs granted under the 2022 Plan will also count against the overall Share Limit above.)</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that are granted under the 2022 Plan during any one calendar year to any person who, on the grant date of the award, is a non-employee director may not exceed the number of shares that produce a grant date fair value for the award that, when combined with (i) the grant date fair value of any other awards granted under the 2022 Plan during that same calendar year to that individual in his or her capacity as a non-employee director and (ii) the dollar amount of all other cash compensation payable by the Company to such non-employee director for his or her services in such capacity during that same calendar year (regardless of whether deferred and excluding any interest or earnings on any portion of such amount that may be deferred), is $500,000. For purposes of this limit, the “grant date fair value” of an award means the value of the award as of the date of grant of the award and as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non-employee directors as a group.</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Share-Limit Counting Rules</w:t>
      </w:r>
      <w:r>
        <w:rPr>
          <w:rFonts w:ascii="Times New Roman" w:cs="Times New Roman" w:eastAsia="Times New Roman" w:hAnsi="Times New Roman"/>
          <w:sz w:val="18"/>
          <w:szCs w:val="18"/>
          <w:color w:val="auto"/>
        </w:rPr>
        <w:t>. The Share Limit of the 2022 Plan is subject to the following rules: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subject to or underlie awards which expire or for any reason are cancelled or terminated, are forfeited, fail to vest, or for any other reason are not paid or delivered under the 2022 Plan will not be counted against the Share Limit and will again be available for subsequent awards under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below, to the extent that shares are delivered pursuant to the exercise of a SAR granted under the 2022 Plan, the number of underlying shares which are actually issued in payment of the award will be counted against the Share Limit. (For purposes of clarity, if a SAR relates to 100,000 shares and is exercised at a time when the payment due to the participant is 15,000 shares, 15,000 shares will be charged against the Share Limit with respect to such exercise, and the 85,000 shares not issued shall not count against the Share Limit and will be available for subsequent awards under the 2022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2022 Plan, as well as any shares exchanged or withheld to satisfy the tax withholding obligations related to any award granted under the 2022 Plan, will be counted against the Share Limit and will not again be available for subsequent awards under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granted under the 2022 Plan is settled in cash or a form other than shares, the shares that would have been delivered had there been no such cash or other settlement will not be counted against the Share Limit and will again be available for subsequent awards under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of common stock are delivered in respect of a dividend equivalent right granted under the 2022 Plan, the number of shares delivered with respect to the award will be counted against the Share Limit. (For purposes of clarity, if 1,000 dividend equivalent rights are granted and outstanding when the Company pays a dividend, and 50 shares are delivered in payment of those rights with respect to that dividend, 50 shares shall be counted against the Share Limit.) Except as otherwise provided by the Administrator, shares delivered in respect of dividend equivalent rights shall not count against any individual award limit under the 2022 Plan other than the aggregate Share Limit.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2022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2022 Plan. The Company may not increase the applicable share limits of the 2022 Plan by repurchasing shares of common stock on the market (by using cash received through the exercise of stock options or otherwise).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2022 Plan authorizes stock options, SARs, and other forms of awards granted or denominated in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units of the Company’s common stock, as well as cash awards. The 2022 Plan retains flexibility to offer competitive incentives and to tailor benefits to specific needs and circumstances. Any award may be structured to be paid or settled in cash.</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stock option is the right to purchase shares of the Company’s common stock at a future date at a specified price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ISOs are taxed differently from nonqualified stock options, as described under “Material Federal Income Tax Consequences of Awards Under the 2022 Plan” below. As of September 4, 2025, the closing price of our common stock was $0.29 per share.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Incentive stock options are also subject to more restrictive terms and are limited in amount by the Code and the 2022 Plan. ISOs may only be granted to employees of the Company or a subsidiary. To qualify as an ISO, the exercise price may not be less than the fair market value of a share of our common stock on the grant date and the term of the option may not exceed ten years. However, in the case of an ISO granted to a person who owns or is deemed to own stock representing 10% or more of the voting power of all classes of stock of the Company (sometimes referred to as a “10% owner”), the exercise price must not be less than 110% of the fair market value of a share of common stock on the date the ISO is granted and the term of the option may not exceed five years. In addition, an ISO may not be transferred, other than by will or the laws of descent and distribution and is exercisable during the holder’s lifetime only by the holder. Further, no ISOs may be granted to a holder that is first exercisable in a single year if that option, together with all ISOs previously granted to the holder that also first become exercisable in that year, relate to shares having an aggregate fair market value in excess of $100,000, measured at the grant date.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SAR is the right to receive payment of an amount equal to the excess of the fair market value of share of the Company’s common stock on the date of exercise of the SAR over the base price of the SAR. The base price will be established by the Administrator at the time of grant of the stock appreciation right and generally may not be less than the fair market value of a share of the Company’s common stock on the date of grant. SARs may be granted in connection with other awards or independently. The maximum term of a SAR is ten years from the date of grant.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other types of awards that may be granted under the 2022 Plan include, without limitation, stock bonuses, restricted stock, performance stock, stock units or phantom stock (which are contractual rights to receive shares of common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awards under the 2022 Plan (including awards of stock options and SARs) may be fully-vested at grant or may be subject to time- and/or performance-based vesting requirements.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 Equivalents; Deferrals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deferred payment of awards, and may determine the other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deferrals. The Administrator may provide that awards under the 2022 Plan (other than options or SARs), and/or deferrals, earn dividends or dividend equivalents based on the amount of dividends paid on outstanding shares of common stock, provided that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Assumption and Termination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 event occurs in which the Company does not survive (or does not survive as a public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its common stock), including, without limitation, a dissolution, merger, combination, consolidation, conversion, exchange of securities, or other reorganization, or a sale of all or substantially all of the business, stock or assets of the Company, awards then-outstanding under the 2022 Plan will not automatically become fully vested pursuant to the provisions of the 2022 Plan so long as such awards are assumed, substituted for or otherwise continued. However, if awards then-outstanding under the 2022 Plan are to be terminated in such circumstances (without being assumed or substituted for), such awards would generally become fully vested (with any performance goals applicable to the award being deemed met at either the “target” performance level or based on performance through the applicable transaction, as determined by the Administrator in its discretion), subject to any exceptions that the Administrator may provide for in an applicable award agreement. The Administrator also has the discretion to establish other change in control provisions with respect to awards granted under the 2022 Plan. For example, the Administrator could provide for the acceleration of vesting or payment of an award in connection with a corporate event or in connection with a termination of the award holder’s employment.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contained in Section 5.6 of the 2022 Plan, awards under the 2022 Plan generally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transferable by the recipient other than by will or the laws of descent and distribution and are generally exercisable, during the recipient’s lifetime, only by the recipient. Any amounts payable or shares of common stock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is customary in incentive plans of this nature, each share limit and the number and kind of shares available under the 2022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Limit on Other Authority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2022 Plan does not limit the authority of the Board or any committee to grant awards or authorize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with or without reference to the Company’s common stock, under any other plan or authority.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Termination of or Changes to the 2022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may amend or terminate the 2022 Plan at any time and in any manner. Stockholder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for an amendment will be required only to the extent then required by applicable law or deemed necessary or advisable by the Board. Unless terminated earlier by the Board and subject to any extension that may be approved by stockholders, the authority to grant new awards under the 2022 Plan will terminate on May 12, 2032. Outstanding awards, as well as the Administrator’s authority with respect thereto, generally will continue following the expiration or termination of the 2022 Plan. Generally speaking, outstanding awards may be amended by the Administrator (except for a repricing), but the consent of the award holder is required if the amendment (or any plan amendment) materially and adversely affects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Clawback/Recoupment. </w:t>
      </w:r>
      <w:r>
        <w:rPr>
          <w:rFonts w:ascii="Times New Roman" w:cs="Times New Roman" w:eastAsia="Times New Roman" w:hAnsi="Times New Roman"/>
          <w:sz w:val="18"/>
          <w:szCs w:val="18"/>
          <w:color w:val="auto"/>
        </w:rPr>
        <w:t>Awards granted under the 2022 Plan are subject to the requirement that the awards be forfeited or amounts repaid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after they have been distributed to the participant (i) to the extent set forth in an award agreement or (ii) to the extent covered by any clawback or recapture policy adopted by the Company from time to time, or any applicable laws that impose mandatory forfeiture or recoupment, under circumstances set forth in such applicable laws.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may at any time amend, suspend or terminate the 2022 Plan, provided that no amendment may be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the consent of our stockholders to the extent required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Plan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adoption of 2022 Plan through September 4, 2025, we have granted the following stock options under the 2022 Plan to the individuals and groups listed below. In all cases, the securities underlying such stock options were shares of common stock. These share numbers do not take into account the effect of awards that have been cancelled or forfeited. As of the date hereof, we have granted stock options and RSUs under the 2022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Subject to Stock</w:t>
            </w:r>
          </w:p>
        </w:tc>
      </w:t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 (1)</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Denis Phares, Chief Executive Officer, Interim Chief Financial Officer, President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Wade Seaburg, Chief Commercial Officer</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Bours, Chief Marketing Officer</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 Former Senior Vice President, Operations, Former Chief Financial Officer</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as a group</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current directors who are not executive officers, as a group</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Each nominee for election as director</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Associates of any of such directors, executive officers or nominees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Each other person who received or is to receive five percent of such options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employees who are not executive officers, as a group</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16,179</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underlying stock options reflects the 1-for-9 reverse stock split of our authorized and issued and outstanding common stock, which became effective on November 22,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 of Awards Under the 2022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the effect of federal income taxation upon the participants and the Company with respect to awards under the 2022 Plan. This summary does not purport to be complete and does not address the federal income tax consequences to taxpayers with special tax status. In addition, this summary does not discuss the provisions of the income tax laws of any municipality, state or foreign country in which the participant may reside, and does not discuss estate, gift or other tax consequences other than income tax consequences. The Company advises each participant to consult his or her own tax advisor regarding the tax consequences of participation in the 2022 Plan and for reference to applicable provisions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Treatment of Options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Code treats ISOs and nonqualified stock options differently. However, as to both types of options, no income will be recognized to the optionee at the time of the grant of the options under the 2022 Plan, nor will the Company be entitled to a tax deduction at that time.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upon exercise of a nonqualified stock option (including an option intended to be an ISO but which has not continued to so qualify at the time of exercise), an optionee will recognize ordinary income tax on the excess of the fair market value of the stock on the exercise date over the option price. The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nonqualified stock option, tenders shares of our common stock in partial or full payment of the option price, no gain or loss will be recognized on the tender. However, if the tendered shares were previously acquired upon the exercise of an ISO and the tender is within two years from the date of grant or one year after the date of exercise of the ISO, the tender will be a disqualifying disposition of the shares acquired upon exercise of the ISO.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ISOs,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if an optionee, in exercising an ISO, tenders shares of common stock in partial or full payment of the option price, no gain or loss will be recognized on the tender. However, if the tendered shares were previously acquired upon the exercise of another ISO and the tender is within two years from the date of grant or one year after the date of exercise of the other option, the tender will be a Disqualifying Disposition of the shares acquired upon exercise of the other option.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noted above, the exercise of an ISO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Stock Appreciation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the recipient of a SAR will not recognize any income upon grant of the SAR, nor will our Company be entitled to a deduction at that time. Upon exercise of a SAR, the holder will recognize ordinary income, and our Company generally will be entitled to a corresponding deduction, equal to the fair market value of our common stock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Treatment of Stock Awards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Generally, absent an election to be taxed currently under Section 83(b) of the Code (a “</w:t>
      </w:r>
      <w:r>
        <w:rPr>
          <w:rFonts w:ascii="Times New Roman" w:cs="Times New Roman" w:eastAsia="Times New Roman" w:hAnsi="Times New Roman"/>
          <w:sz w:val="18"/>
          <w:szCs w:val="18"/>
          <w:b w:val="1"/>
          <w:bCs w:val="1"/>
          <w:color w:val="auto"/>
        </w:rPr>
        <w:t>Section 83(b) Election</w:t>
      </w:r>
      <w:r>
        <w:rPr>
          <w:rFonts w:ascii="Times New Roman" w:cs="Times New Roman" w:eastAsia="Times New Roman" w:hAnsi="Times New Roman"/>
          <w:sz w:val="18"/>
          <w:szCs w:val="18"/>
          <w:color w:val="auto"/>
        </w:rPr>
        <w:t>”), there will be no federal income tax consequences to either the recipient or our Company upon the grant of a restricted stock award.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common stock at that time. If a Section 83(b) Election is made within 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less any amount paid by the recipient for the shares.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recipient of an unrestricted stock award will recognize ordinary income, and our Company generally will be entitled to a corresponding deduction, equal to the fair market value of our common stock that is the subject of the award when the award is made.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recipient of a restricted stock unit will recognize ordinary income as and when the units vest and shares of our common stock are issued. The amount of the income will be equal to the fair market value of the shares of our common stock issued at that time, and our Company will be entitled to a corresponding deduction. The recipient of a restricted stock unit will not be permitted to make a Section 83(b) Election with respect to such award.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income tax consequences of performance share awards, performance unit awards, incentive bonus awards, other cash-based awards and other stock-based awards will depend on the terms and conditions of those awards but, in general, participants will be required to recognize ordinary income in an amount equal to the cash and the fair market value of any fully vested shares of our common stock paid, determined at the time of such payment, in connection with such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award is subject to Section 409A of the Code but does not comply with the requirements of Section 409A or meet an exemption to Section 409A, the taxable events as described above could apply earlier than described and could result in the imposition of additional taxes and penalties. Participants are urged to consult with their tax advisors regarding the applicability of Section 409A to their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Limitation on Company Deductions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162(m) of the Code generally disallows a tax deduction for compensation in excess of $1 million paid in a taxable year by a publicly held corporation to its chief executive officer and certain other “covered employees”. The Board and the Compensation Committee intend to consider the potential impact of Section 162(m) on grants made under the 2022 Plan, but reserve the right to approve grants of awards for an executive officer that exceeds the deduction limit of Section 162(m).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Resale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officers and directors of the Company may be deemed to be “affiliates” of the Company as that term is defined under the Securities Act. The common stock acquired under the 2022 Plan by an affiliate may be reoffered or resold only pursuant to an effective registration statement or pursuant to Rule 144 under the Securities Act or another exemption from the registration requirements of the Securities Act. It is intended that the shares issuable pursuant to the 2022 Plan will be registered under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and when appropriate, we shall have the right to require each optionee purchasing shares of common stock and each grantee receiving an award of shares of common stock under the 2022 Plan to pay any federal, state or local taxes required by law to be withheld.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Issuable Pursuant to Other Equity Compensation Plans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issuable pursuant to the Prior Plans, please see the information in this proxy statement set forth under the caption “Equity Compensation Plans.”</w:t>
      </w:r>
    </w:p>
    <w:p>
      <w:pPr>
        <w:spacing w:after="0" w:line="37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INCREASE IN THE NUMBER OF SHARES OF COMMON STOCK AUTHORIZED FOR ISSUANCE UNDER OUR 2022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VOTING STANDARD PROPOSAL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as of May 30, 2025, NRS Section 78.390 was amended to modify the voting standard for stockholders of a Nevada publicly traded corporation to approve an amendment to the corporation’s articles of incorporation to increase or decrease the number of shares the corporation is authorized to issue. Prior to the amendment, Nevada corporations were required to obtain the vote of stockholders representing at least a majority of the voting power of the shares of capital stock entitled to vote on such a proposal. Pursuant to the amended NRS Section 78.390, so long as the corporation is a publicly traded corporation, an amendment to the corporation’s articles of incorporation that relates solely to an increase or decrease in the number of shares the corporation is authorized to issue must be approved by the stockholders of the affected class or series, regardless of limitations or restrictions on the voting power of the affected class or series.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include a provision that provides that the number of authorized shares of common stock or preferred stock may be increased or decreased only by the affirmative vote of the holders of at least a majority of the voting power of the then outstanding shares of capital stock entitled to vote thereon, voting together as a single class, irrespective of the provisions of the NRS. As a result, we cannot take advantage of the amendment to NRS Section 78.390, which allows publicly traded corporations to amend their articles of incorporation to increase or decrease the number of authorized shares of capital stock with stockholder approval under the voting standard for general matters (established either by the NRS or the corporation’s governing documents), unless the articles of incorporation require a greater proportion.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approved, subject to shareholder approval, an amendment to our Articles of Incorporation to amend the voting standard for future amendments to increase or decrease the number of authorized shares of common stock or preferred stock so that such amendments will not require an affirmative vote of the holders of at least a majority of the voting power of the then outstanding shares of capital stock entitled to vote thereon (the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Standard Certificate of Amendment</w:t>
      </w:r>
      <w:r>
        <w:rPr>
          <w:rFonts w:ascii="Times New Roman" w:cs="Times New Roman" w:eastAsia="Times New Roman" w:hAnsi="Times New Roman"/>
          <w:sz w:val="18"/>
          <w:szCs w:val="18"/>
          <w:color w:val="auto"/>
        </w:rPr>
        <w:t>”). The form of the text of the amendment (which would be filed with the Nevada Secretary of State on its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prescribed form of Certificate of Amendment) is set forth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proxy statement (subject to any changes required by applicable law).</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amendment is adopted, it will become effective upon the filing of the Voting Standard Certificate of Amendment with the Secretary of State of the State of Nevada. After such time, an amendment to our Articles of Incorporation that relates solely to an increase or decrease in the number of shares the corporation is authorized to issue will require approval by a majority of the votes cast on such proposal. This means that broker non-votes, abstentions, and shares not present in person or by proxy at a stockholder meeting would have no effect on the outcome of whether such amendments are approved by stockholders. The description of the Increase in Authorized Certificate of Amendment should be read in conjunction with and is qualified in its entirety by reference to the text of the proposed Voting Standard Certificate of Amendment attached to this proxy statement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deciding to approve the Voting Standard Amendment and recommend it for stockholder approval, our Board considered a number of factors, including:</w:t>
      </w:r>
    </w:p>
    <w:p>
      <w:pPr>
        <w:spacing w:after="0" w:line="162" w:lineRule="exact"/>
        <w:rPr>
          <w:sz w:val="20"/>
          <w:szCs w:val="20"/>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adopting the Voting Standard Amendment, shares held by stockholders who do not vote or return proxies will no longer count as votes against amendments to our Articles of Incorporation that relate solely to an increase or decrease in the number of shares the corporation is authorized to issue. However, stockholders may continue to register their dissent against these actions by casting votes “against” any of these actions, if they are taken in the future.</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currently applicable voting standards and requirements for increases or decreases to the authorized number of shares may require us to expend significant time and resources, including with respect to the engagement of proxy solicitors to help solicit the requisite votes or, if we are not able to reach the required voting thresholds, could result in such proposals either not receiving stockholder approval or requiring the adjournment of the meeting for further solicitation.</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equity incentives to our directors, officers, and employees, conduct equity offerings, and to engage in strategic transactions may also require us to increase the number of shares of our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VOTING STANDARD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APPROVAL OF THE ADJOURNMENT OF THE ANNUAL MEETING IN THE EVENT THAT THE NUMBER OF SHARES OF COMMON STOCK PRESENT OR REPRESENTED BY PROXY AT THE ANNUAL MEETING AND VOTING “FOR” THE REVERSE STOCK SPLIT PROPOSALS, THE INCREASE IN AUTHORIZED PROPOSAL ARE INSUFFICIENT, THE EQUITY PLAN PROPOSAL AND/OR THE VOTING STANDARD PROPOSAL TO APPROVE SUCH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the Annual Meeting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or represented by proxy at the Annual Meeting and voting “FOR” the approval of one or more of the Reverse Stock Split Proposal, the Increase in Authorized Proposal, the Equity Plan Proposal and/or the Voting Standard Proposal are insufficient to approve such proposal, we may move to adjourn the Annual Meeting in order to enable us to solicit additional proxies in favor of the approval of Increase in Authorized Proposal. In that event, we will ask stockholders to vote only upon the adjournment proposal and not on any other proposal discussed in this proxy statement. If the adjournment is for more than thirty (30) days, notice of the adjourned meeting shall be given to each stockholder of record entitled to vote at the meeting.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approval of any such proposal.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ADJOURNMENT OF THE ANNUAL MEETING IN THE EVENT THAT THE</w:t>
      </w:r>
    </w:p>
    <w:p>
      <w:pPr>
        <w:spacing w:after="0" w:line="31" w:lineRule="exact"/>
        <w:rPr>
          <w:sz w:val="20"/>
          <w:szCs w:val="20"/>
          <w:color w:val="auto"/>
        </w:rPr>
      </w:pPr>
    </w:p>
    <w:p>
      <w:pPr>
        <w:jc w:val="center"/>
        <w:ind w:left="340" w:right="140"/>
        <w:spacing w:after="0" w:line="255" w:lineRule="auto"/>
        <w:rPr>
          <w:sz w:val="20"/>
          <w:szCs w:val="20"/>
          <w:color w:val="auto"/>
        </w:rPr>
      </w:pPr>
      <w:r>
        <w:rPr>
          <w:rFonts w:ascii="Times New Roman" w:cs="Times New Roman" w:eastAsia="Times New Roman" w:hAnsi="Times New Roman"/>
          <w:sz w:val="18"/>
          <w:szCs w:val="18"/>
          <w:b w:val="1"/>
          <w:bCs w:val="1"/>
          <w:color w:val="auto"/>
        </w:rPr>
        <w:t>NUMBER OF SHARES OF COMMON STOCK PRESENT OR REPRESENTED BY PROXY AT THE ANNUAL MEETING AND VOTING “FOR” THE REVERSE STOCK SPLIT PROPOSAL, THE INCREASE IN AUTHORIZED PROPOSAL, THE EQUITY PLAN PROPOSAL AND/OR THE VOTING STANDARD PROPOSAL ARE INSUFFICIENT TO APPROVE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Audit Committee has appointed CBIZ CPAs P.C. (“</w:t>
      </w:r>
      <w:r>
        <w:rPr>
          <w:rFonts w:ascii="Times New Roman" w:cs="Times New Roman" w:eastAsia="Times New Roman" w:hAnsi="Times New Roman"/>
          <w:sz w:val="18"/>
          <w:szCs w:val="18"/>
          <w:b w:val="1"/>
          <w:bCs w:val="1"/>
          <w:color w:val="auto"/>
        </w:rPr>
        <w:t>CBIZ</w:t>
      </w:r>
      <w:r>
        <w:rPr>
          <w:rFonts w:ascii="Times New Roman" w:cs="Times New Roman" w:eastAsia="Times New Roman" w:hAnsi="Times New Roman"/>
          <w:sz w:val="18"/>
          <w:szCs w:val="18"/>
          <w:color w:val="auto"/>
        </w:rPr>
        <w:t>”) as our independent registered accounting firm for the fiscal year ending December 31, 2025. We are not required to seek stockholder approval for the appointment of our independent registered public accounting firm; however, the Audit Committee and the full Board believe it is sound corporate practice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accounting firm at any time during the year if it determines that such change would be in the best interests of us and our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to the Company in fiscal years 2024 and 2023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approval of the Audit Committee of the Board, CBIZ was engaged, effective March 31, 2025 to serve as our independent registered public accounting firm for the fiscal year ending December 31, 2025. Marcum LLP (“</w:t>
      </w:r>
      <w:r>
        <w:rPr>
          <w:rFonts w:ascii="Times New Roman" w:cs="Times New Roman" w:eastAsia="Times New Roman" w:hAnsi="Times New Roman"/>
          <w:sz w:val="18"/>
          <w:szCs w:val="18"/>
          <w:b w:val="1"/>
          <w:bCs w:val="1"/>
          <w:color w:val="auto"/>
        </w:rPr>
        <w:t>Marcum</w:t>
      </w:r>
      <w:r>
        <w:rPr>
          <w:rFonts w:ascii="Times New Roman" w:cs="Times New Roman" w:eastAsia="Times New Roman" w:hAnsi="Times New Roman"/>
          <w:sz w:val="18"/>
          <w:szCs w:val="18"/>
          <w:color w:val="auto"/>
        </w:rPr>
        <w:t>”), which was acquired by CBIZ, served as our independent registered public accounting firm from November 15, 2023 until March 31, 2025. We did not pay any fees to CBIZ during any of the last two fiscal years. The following table summarizes the fees paid for professional services rendered by Marcum for each of the last two fiscal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605,440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468,517</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professional services that are reasonably related to the performance of the audit or review of our financial statements but are not reported under “Audit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services not associated with audit or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Practices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The purpose of the Audit Committee is to assist the Board in fulfilling its responsibilities as it relates to our financial accounting, reporting and controls. The Audit Committee’s principal functions are to assist the Board in its oversight of:</w:t>
      </w:r>
    </w:p>
    <w:p>
      <w:pPr>
        <w:spacing w:after="0" w:line="176" w:lineRule="exact"/>
        <w:rPr>
          <w:sz w:val="20"/>
          <w:szCs w:val="20"/>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accounting and financial reporting processes and the audits of our financial statements by our independent auditors (the “</w:t>
      </w:r>
      <w:r>
        <w:rPr>
          <w:rFonts w:ascii="Times New Roman" w:cs="Times New Roman" w:eastAsia="Times New Roman" w:hAnsi="Times New Roman"/>
          <w:sz w:val="18"/>
          <w:szCs w:val="18"/>
          <w:b w:val="1"/>
          <w:bCs w:val="1"/>
          <w:color w:val="auto"/>
        </w:rPr>
        <w:t>Independent Auditors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reviews of the adequacy of the accounting and financial reporting processes and systems of internal control that are conducted by the Independent Auditors and our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and performance of the Independent Auditors;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and the fees to be paid to, Marcum in 2024 were approved by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CBIZ will be present at the Annual Meeting, will have the opportunity to make a statement if they desire to do so and be available to respond to appropriate questions from stockholders submitted in writing in accordance with the Annual Meeting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Firm</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BDO Dismissal</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November 15, 2023, our Audit Committee dismissed BDO USA, LLP (n/k/a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as our independent registered public accounting firm. BDO had served as our independent registered public accounting firm from October 7, 2022 through the period ended September 30, 2023.</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BDO’s audit report on our consolidated financial statements as of December 31, 2022 and for the year then ended did not contain an adverse opinion or a disclaimer of opinion and were not qualified or modified as to uncertainty, audit scope or accounting principles, except for BDO’s report for the year ended December 31, 2022, which contained an explanatory paragraph regarding substantial doubt about our ability to continue as a going concern.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fiscal year ended December 31, 2022 and the subsequent interim period through November 15, 2023: (1) there were no “disagreements” (as defined in Item 304(a)(1)(iv) of Regulation S-K) with BDO on any matter of accounting principles or practices, financial statement disclosure, or auditing scope or procedure, which disagreements, if not resolved to the satisfaction of BDO, would have caused BDO to make reference to the subject matter of such disagreements in connection with its reports on the consolidated financial statements for the following periods and (2) there were no “reportable events” (as defined in Item 304(a)(1)(v) of Regulation S-K), except as set forth below. As previously disclosed in Item 9A of our Annual Report on Form 10-K for the year ended December 31, 2022 (the “</w:t>
      </w:r>
      <w:r>
        <w:rPr>
          <w:rFonts w:ascii="Times New Roman" w:cs="Times New Roman" w:eastAsia="Times New Roman" w:hAnsi="Times New Roman"/>
          <w:sz w:val="18"/>
          <w:szCs w:val="18"/>
          <w:b w:val="1"/>
          <w:bCs w:val="1"/>
          <w:color w:val="auto"/>
        </w:rPr>
        <w:t>2022 Annual Report</w:t>
      </w:r>
      <w:r>
        <w:rPr>
          <w:rFonts w:ascii="Times New Roman" w:cs="Times New Roman" w:eastAsia="Times New Roman" w:hAnsi="Times New Roman"/>
          <w:sz w:val="18"/>
          <w:szCs w:val="18"/>
          <w:color w:val="auto"/>
        </w:rPr>
        <w:t>”), our management identified material weaknesses related to maintaining effective controls in the following areas: (i)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described in the 2022 Annual Report, the foregoing material weaknesses contributed to the following additional material weaknesses in business processes: (i) 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 This reportable event was discussed among our management, the Audit Committee and BDO. We authorized BDO to respond fully to the inquiries of Marcum, the successor accountant, including concerning this reportable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our fiscal years ended December 31, 2022 the subsequent interim periods through November 17, 2023, the date Marcum completed its client acceptance process, neither us nor anyone acting on our behalf consulted with Marcum regarding either of the following: (i) the application of accounting principles to a specified transaction, either completed or proposed; or the type of audit opinion that might be rendered on our financial statements, and neither a written report nor oral advice was provided to us that Marcum concluded was an important factor considered by us in reaching a decision as to the accounting, auditing or financial reporting issue, or (ii) any matter that was either the subject of a disagreement, as defined in Item 304(a)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 of Regulation S-K and the related instructions, or a “reportable event,” as described in Item 304(a)(1)(v) of Regulation S-K.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CBIZ Appointment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Marcum served as our independent registered accounting firm from November 15, 2023 through March 31, 2025. On November 1, 2024, CBIZ acquired the attest business of Marcum. As a result of the acquisition of the Marcum attestation business, on March 21, 2025, we were notified by Marcum that Marcum would resign effective immediately upon the filing of our Form 10-K for the fiscal year ended December 31, 2024. Concurrently with the Marcum notification, on March 21, 2025, we, with the approval of the Audit Committee engaged CBIZ as the Company’s independent registered public accounting firm for the fiscal year ending December 31,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reports of Marcum regarding our financial statements for the fiscal years ended December 31, 2024 and December 31, 2023 did not contain any adverse opinion or disclaimer of opinion and was not qualified or modified as to uncertainty, audit scope, or accounting principles, except for the inclusion of an explanatory paragraph regarding the substantial doubt about the Company’s ability to continue as a going concern.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2024 and 2023, and through March 21, 2025, the date Marcum informed us of their resignation, there were</w:t>
      </w:r>
    </w:p>
    <w:p>
      <w:pPr>
        <w:spacing w:after="0" w:line="27" w:lineRule="exact"/>
        <w:rPr>
          <w:sz w:val="20"/>
          <w:szCs w:val="20"/>
          <w:color w:val="auto"/>
        </w:rPr>
      </w:pPr>
    </w:p>
    <w:p>
      <w:pPr>
        <w:jc w:val="both"/>
        <w:ind w:firstLine="8"/>
        <w:spacing w:after="0" w:line="253"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 except as set forth below.</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previously disclosed in Item 9A of our Annual Report on Form 10-K for the year ended December 31, 2023 (the “</w:t>
      </w:r>
      <w:r>
        <w:rPr>
          <w:rFonts w:ascii="Times New Roman" w:cs="Times New Roman" w:eastAsia="Times New Roman" w:hAnsi="Times New Roman"/>
          <w:sz w:val="18"/>
          <w:szCs w:val="18"/>
          <w:b w:val="1"/>
          <w:bCs w:val="1"/>
          <w:color w:val="auto"/>
        </w:rPr>
        <w:t>2023 Annual Report</w:t>
      </w:r>
      <w:r>
        <w:rPr>
          <w:rFonts w:ascii="Times New Roman" w:cs="Times New Roman" w:eastAsia="Times New Roman" w:hAnsi="Times New Roman"/>
          <w:sz w:val="18"/>
          <w:szCs w:val="18"/>
          <w:color w:val="auto"/>
        </w:rPr>
        <w:t>”), our management identified a material weakness related to maintaining effective controls as a result of our failure to capture, and record, and pay tariffs correctly related to the imported merchandise on previously filed 2022 and 2021 financial statements. This reportable event was discussed among our management, the Audit Committee and Marcum.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through March 21, 2025, the date Marcum informed us of their resignation, neither we nor anyone on our behalf consulted with CBIZ regarding (i) the application of accounting principles to a specific completed or contemplated transaction or regarding the type of audit opinions that might be rendered by CBIZ on our financial statements, and CBIZ did not provide any written or oral advice that was an important factor considered by us in reaching a decision as to any such accounting, auditing, or financial reporting issue or (ii) any matter that was either the subject of a disagreement (as defined in Item 304(a)(1)(iv) of Regulation S-K and the related instructions), as that term is described in Item 304(a)(1)(iv) of Regulation S-K, or a reportable event, as that term is defined in Item 304(a)(1)(v) of Regulation S-K.</w:t>
      </w:r>
    </w:p>
    <w:p>
      <w:pPr>
        <w:spacing w:after="0" w:line="399"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CBIZ CPAs P.C. AS THE COMPANY’S INDEPENDENT REGISTERED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Copies of our Annual Report on Form 10-K for the year ended December 31, 2024 (including our audited financial statements) filed with the SEC may be obtained without charge by writing to Dragonfly Energy Holdings Corp., 12915 Old Virginia Road, Reno, Nevada 89521, Attn.: Secretary. Exhibits to the Annual Report will be mailed upon similar request and payment of specified fees to cover the costs of copying and mailing such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financial statements for the fiscal year ended December 31, 2024 and certain other related financial and business information are contained in our Annual Report, which is being made available to our stockholders along with this proxy statement, but which is not deemed a part of the proxy soliciting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and Annual Report may have been sent to multiple stockholders in the same household. We will promptly deliver a separate copy of this proxy statement to any stockholder upon written or oral request to: Dragonfly Energy Holdings Corp., 12915 Old Virginia Road, Reno, Nevada 89521 Attn.: Secretary, or at (775) 622 - 3448. Any stockholder who wants to receive a separate copy of this proxy statement or Annual Report,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Proxy Proposals and Director Nominations for the 2026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Proposals to be Considered for Inclusion in our 2026 Proxy Materials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for a stockholder proposal to be eligible to be included in our proxy statement and proxy card for the 2026 Annual Meeting of Stockholders, the proposal must (1) be received by us at our principal executive offices, 12915 Old Virginia Road, Reno, Nevada 89521, Attn.: Secretary, no later than , 2026, and (2) concern a matter that may be properly considered and acted upon at the annual meeting in accordance with applicable laws, regulations and our Bylaws and policies, and must otherwise comply with Rule 14a-8 of the Exchange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Nominations and Other Business to be Brought Before the 2026 Annual Meeting of Stockholders</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7"/>
          <w:szCs w:val="17"/>
          <w:color w:val="auto"/>
        </w:rPr>
        <w:t>Notice of any director nomination or the proposal of other business that stockholders intend to present at the 2026 Annual Meeting of Stockholders, but do not intend to have included in our proxy statement and form of proxy relating to the 2026 Annual Meeting of Stockholders, must be received by us at our principal executive offices, 12915 Old Virginia Road, Reno, Nevada 89521 Attn.: Secretary, not earlier than the close of business on June 17, 2026 and not later than the close of business on July 17, 2026. In the event that the date of the 2026 Annual Meeting of Stockholders is more than 30 days before or more than 70 days after the anniversary date of the 2025 Annual Meeting of Stockholders, the notice must be delivered to us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prior to such annual meeting and not later than the later than the close of business of the</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by us. In addition, a stockholder’s notice must include the information required by our Bylaws with respect to each director nomination or proposal of other business that such stockholder intends to present at the 2026 Annual Meeting of Stockholders.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pursuant to our Bylaws, to comply with the universal proxy rules, stockholders who intend to solicit proxies in support of director nominees other than our nominees must provide notice that sets forth the information required by Rule 14a-19 under the Exchange Act by August 16, 2026. The supplemental notice and information required under Rule 14a-19 is in addition to the applicable advance notice requirements under our Bylaws as described in this section and it shall not extend any such deadline set forth under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at the Annual Meeting any matters other than those described herein and does not presently know of any matters that will be presented by other parties. If any other matter requiring a vote of the stockholders should come before the meeting, it is the intention of the persons named in the proxy to vote with respect to any such matter in accordance with the recommendation of the Board or, in the absence of such a recommendation, in accordance with the best judgment of the proxy holder.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Interim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2025</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To assure that your shares are represented at the Annual Meeting, please either (a) vote over the Internet following the instructions provided in this proxy statement, (b) vote by telephone by calling Alliance Advisors at 1-844-202-5696 or (c) complete, sign, date and promptly return the proxy card to Dragonfly Energy Holdings Corp.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call: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Clove Road, Suite 400, Little Falls, NJ, 07424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1-844-202-5696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Authorized Shares” of the Articles of Incorporation of Dragonfly Energy Holdings Corp. is amended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Common shares with Par value: 400,000,000 Par value: $0.0001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Preferred shares with Par value: 5,000,000 Par value: $0.0001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paragraph of Section (A) of ARTICLE IV. Capital Stock of the Articles of Incorporation of Dragonfly Energy Holdings Corp. is deleted in its entirety and replaced with the following: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the authority to issue is Four Hundred Five Million (405,000,000) shares of capital stock, consisting of (i) Four Hundred Million (400,000,000) shares of common stock, par value $0.0001 per share (the “Common Stock’’), and (ii) Five Million (5,000,000) shares of preferred stock, par value $0.0001 per share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September 5, 2025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heretofore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the Dragonfly Energy Holdings Corp. 2022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giving effect to the 1-for-9 reverse stock split effectuated on November 22, 2024 and shares of common stock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added to the Plan pursuant to the Plan’s “evergreen” provision effective on January 1 of each of 2023, 2024 and 2025 (which aggregate 749,454) (the “</w:t>
      </w:r>
      <w:r>
        <w:rPr>
          <w:rFonts w:ascii="Times New Roman" w:cs="Times New Roman" w:eastAsia="Times New Roman" w:hAnsi="Times New Roman"/>
          <w:sz w:val="18"/>
          <w:szCs w:val="18"/>
          <w:u w:val="single" w:color="auto"/>
          <w:color w:val="auto"/>
        </w:rPr>
        <w:t>Evergreen Shares</w:t>
      </w:r>
      <w:r>
        <w:rPr>
          <w:rFonts w:ascii="Times New Roman" w:cs="Times New Roman" w:eastAsia="Times New Roman" w:hAnsi="Times New Roman"/>
          <w:sz w:val="18"/>
          <w:szCs w:val="18"/>
          <w:color w:val="auto"/>
        </w:rPr>
        <w:t>”), the maximum number of shares of Common Stock currently available for grants of awards under the Plan (without reduction for shares of Common Stock that have previously been issued pursuant to the Plan or that are the subject of outstanding Awards under the Plan) is 1,217,443;</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taking into account shares of Common Stock that have previously been issued pursuant to the Plan or that are the subject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awards under the Plan, there are currently 845,899 shares of Common Stock remaining available for additional awards under the Plan;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ensure that a sufficient number of shares of Common Stock continue to be available under the Plan in order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incentivize those eligible to participate in the Plan, including future eligible participants, the Board believes it to be in the best interests of the Company and its shareholders to increase the maximum number of shares of Common Stock available for grants of Awards under the Plan by 9,000,000 additional shares of Common Stock (the “</w:t>
      </w:r>
      <w:r>
        <w:rPr>
          <w:rFonts w:ascii="Times New Roman" w:cs="Times New Roman" w:eastAsia="Times New Roman" w:hAnsi="Times New Roman"/>
          <w:sz w:val="18"/>
          <w:szCs w:val="18"/>
          <w:u w:val="single" w:color="auto"/>
          <w:color w:val="auto"/>
        </w:rPr>
        <w:t>Additional Reserved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further believes it to be in the best interests of the Company and its shareholders that all such Additional Reserved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Evergreen Shares be available for grants under the Plan as “incentive stock options” within the meaning of Section 422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8.6.2 of the Plan authorizes the Board to amend the Plan, subject to stockholder approval to the extent that such approval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subject to approval of the Company’s stockholders, effective the date hereof, the Plan is hereby amended as follows:</w:t>
      </w:r>
    </w:p>
    <w:p>
      <w:pPr>
        <w:spacing w:after="0" w:line="229" w:lineRule="exact"/>
        <w:rPr>
          <w:sz w:val="20"/>
          <w:szCs w:val="20"/>
          <w:color w:val="auto"/>
        </w:rPr>
      </w:pPr>
    </w:p>
    <w:p>
      <w:pPr>
        <w:ind w:left="840" w:hanging="184"/>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of Section 4.2 of the Plan is hereby amended by substituting 10,217,443 shares for 2,785,950 shares therein.</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4.3(a) of the Plan is hereby amended in its entirety to read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The maximum number of shares of Common Stock that may be delivered pursuant to options qualified as incentive stock options granted under this Plan is 10,217,443.”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Except as amended herein, the Plan shall remain in full force and effect.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Amendment as evidence of its adoption by the Board.</w:t>
      </w:r>
    </w:p>
    <w:p>
      <w:pPr>
        <w:spacing w:after="0" w:line="200" w:lineRule="exact"/>
        <w:rPr>
          <w:sz w:val="20"/>
          <w:szCs w:val="20"/>
          <w:color w:val="auto"/>
        </w:rPr>
      </w:pPr>
    </w:p>
    <w:p>
      <w:pPr>
        <w:spacing w:after="0" w:line="27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last paragraph of Section (A) of ARTICLE IV. Capital Stock of the Articles of Incorporation of Dragonfly Energy Holdings Corp. is deleted in its entirety and replaced with the following: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authorized shares of Common Stock or Preferred Stock may be increased or decreased (but not below the number of shares thereof then outstanding) with the approval of the stockholders entitled to vote thereon, voting together as a single class, irrespective of the provisions of NRS 78.2055(3), 78.207(3) or 78.390(2), and no vote of the holders of any class or series of Common Stock or Preferred Stock voting separately as a class or series shall be required therefor (and any such right otherwise provided under NRS 78.2055(3), 78.207(3) or 78.390(2) is hereby specifically denied), unless a vote of any such holder is expressly required pursuant to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14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147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19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198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4"/>
    </w:lvl>
  </w:abstractNum>
  <w:abstractNum w:abstractNumId="18">
    <w:nsid w:val="3006C83E"/>
    <w:multiLevelType w:val="hybridMultilevel"/>
    <w:lvl w:ilvl="0">
      <w:lvlJc w:val="left"/>
      <w:lvlText w:val="(%1)"/>
      <w:numFmt w:val="lowerRoman"/>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2"/>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2025-09-05T15:19:00Z</dcterms:created>
  <dcterms:modified xsi:type="dcterms:W3CDTF">2025-09-05T15:19:00Z</dcterms:modified>
</cp:coreProperties>
</file>