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(Name(s)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computer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2024 Annual Meeting of Stockholders of Dragonfly Energy Holdings Corp., or the Annual Meeting, which will be held on Tuesday, November 12, 2024, at 9:00 a.m., Pacific Time. This year’s Annual Meeting will be held via the Internet. Stockholders will be able to listen to the meeting live, submit questions and vote online regardless of location via the Internet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xml:space="preserve"> You will be able to attend the Annual Meeting by first registering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xml:space="preserve"> You will receive a meeting invitation by e-mail with your unique join link along with a password prior to the meeting date. </w:t>
      </w:r>
      <w:r>
        <w:rPr>
          <w:rFonts w:ascii="Times New Roman" w:cs="Times New Roman" w:eastAsia="Times New Roman" w:hAnsi="Times New Roman"/>
          <w:sz w:val="18"/>
          <w:szCs w:val="18"/>
          <w:b w:val="1"/>
          <w:bCs w:val="1"/>
          <w:color w:val="auto"/>
        </w:rPr>
        <w:t>You will not be able to attend the Annual Meeting in person.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Meeting is being held for the following purposes:</w:t>
      </w:r>
    </w:p>
    <w:p>
      <w:pPr>
        <w:spacing w:after="0" w:line="225"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(the “Board”) to hold office until the 2027 annual meeting of stockholders (the “Director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our common stock (with no change to the authorized capital stock of the Company), at a ratio of not less than one-for-five (1:5) and not greater than one-for-twenty (1:20) (the “Reverse Stock Split”), with the exact ratio to be determined by our Board and included in a public announcement (the “Reverse Stock Split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are insufficient to approve such proposal (the “Adjournment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Marcum LLP as our independent registered public accounting firm for our fiscal year ending December 31, 2024 (the “Auditor Proposal”);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Please complete, sign and return the proxy card whether or not you plan to attend the Annual Meeting. Alternatively, you may vote online at </w:t>
      </w:r>
      <w:r>
        <w:rPr>
          <w:rFonts w:ascii="Times New Roman" w:cs="Times New Roman" w:eastAsia="Times New Roman" w:hAnsi="Times New Roman"/>
          <w:sz w:val="18"/>
          <w:szCs w:val="18"/>
          <w:i w:val="1"/>
          <w:iCs w:val="1"/>
          <w:color w:val="auto"/>
        </w:rPr>
        <w:t xml:space="preserve">http://www.web.viewproxy.com/DFLI/2024. </w:t>
      </w:r>
      <w:r>
        <w:rPr>
          <w:rFonts w:ascii="Times New Roman" w:cs="Times New Roman" w:eastAsia="Times New Roman" w:hAnsi="Times New Roman"/>
          <w:sz w:val="18"/>
          <w:szCs w:val="18"/>
          <w:b w:val="1"/>
          <w:bCs w:val="1"/>
          <w:color w:val="auto"/>
        </w:rPr>
        <w:t>Your vote is important regardless of the number of shares you own. Voting by proxy will not prevent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from voting at the virtual Annual Meeting (provided you follow the revocation procedures described in the accompanying proxy statement) but will assure that your vote is counted if you cannot attend.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behalf of the Board and the employees of Dragonfly Energy Holdings Corp., we thank you for your continued support and look forward to speaking with you at the Annual Meeting.</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Advisors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 Broadacres Drive, 3rd Floor, Bloomfield, NJ 07003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ectPr>
          <w:pgSz w:w="11900" w:h="16838" w:orient="portrait"/>
          <w:cols w:equalWidth="0" w:num="1">
            <w:col w:w="11240"/>
          </w:cols>
          <w:pgMar w:left="320" w:top="65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12, 2024</w:t>
      </w:r>
    </w:p>
    <w:p>
      <w:pPr>
        <w:spacing w:after="0" w:line="200" w:lineRule="exact"/>
        <w:rPr>
          <w:sz w:val="20"/>
          <w:szCs w:val="20"/>
          <w:color w:val="auto"/>
        </w:rPr>
      </w:pPr>
    </w:p>
    <w:p>
      <w:pPr>
        <w:sectPr>
          <w:pgSz w:w="11900" w:h="16838" w:orient="portrait"/>
          <w:cols w:equalWidth="0" w:num="2">
            <w:col w:w="420" w:space="360"/>
            <w:col w:w="10460"/>
          </w:cols>
          <w:pgMar w:left="320" w:top="65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9:00 a.m., Pacific Time</w:t>
      </w:r>
    </w:p>
    <w:p>
      <w:pPr>
        <w:spacing w:after="0" w:line="211" w:lineRule="exact"/>
        <w:rPr>
          <w:sz w:val="20"/>
          <w:szCs w:val="20"/>
          <w:color w:val="auto"/>
        </w:rPr>
      </w:pPr>
    </w:p>
    <w:p>
      <w:pPr>
        <w:sectPr>
          <w:pgSz w:w="11900" w:h="16838" w:orient="portrait"/>
          <w:cols w:equalWidth="0" w:num="2">
            <w:col w:w="460" w:space="320"/>
            <w:col w:w="10460"/>
          </w:cols>
          <w:pgMar w:left="320" w:top="65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year’s Annual Meeting will be held via the Internet. Stockholders will be able to listen, vote and submit questions regardless of location via the Internet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b w:val="1"/>
          <w:bCs w:val="1"/>
          <w:color w:val="auto"/>
        </w:rPr>
        <w:t xml:space="preserve"> You will be able to attend the Annual Meeting by first registering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b w:val="1"/>
          <w:bCs w:val="1"/>
          <w:color w:val="auto"/>
        </w:rPr>
        <w:t>. You will receive a meeting invitation by e-mail with your unique join link along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password prior to the meeting date.</w:t>
      </w:r>
    </w:p>
    <w:p>
      <w:pPr>
        <w:spacing w:after="0" w:line="180" w:lineRule="exact"/>
        <w:rPr>
          <w:sz w:val="20"/>
          <w:szCs w:val="20"/>
          <w:color w:val="auto"/>
        </w:rPr>
      </w:pPr>
    </w:p>
    <w:p>
      <w:pPr>
        <w:sectPr>
          <w:pgSz w:w="11900" w:h="16838" w:orient="portrait"/>
          <w:cols w:equalWidth="0" w:num="2">
            <w:col w:w="480" w:space="300"/>
            <w:col w:w="1046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At our 2024 Annual Meeting, we will ask you:</w:t>
      </w:r>
    </w:p>
    <w:p>
      <w:pPr>
        <w:spacing w:after="0" w:line="225"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(the “Board”) to hold office until the 2027 annual meeting of stockholders (the “Director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the Company’s common stock (with no change to the authorized capital stock of the Company), at a ratio of not less than one-for-five (1:5) and not greater than one-for-twenty (1:20) (the “Reverse Stock Split”), with the exact ratio to be determined by our Board and included in a public announcement (the “Reverse Stock Split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are insufficient to approve such proposal (the “Adjournment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Marcum LLP as our independent registered public accounting firm for our fiscal year ending December 31, 2024 (the “Auditor Proposal”);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at the Annual Meeting (or any adjournment or postponement of the Annual Meeting) if you were a stockholder of Dragonfly Energy Holdings Corp. at the close of business on October 7, 2024 (the “Record Date”). Only stockholders of record at the close of business on the Record Date are entitled to notice of, and to vote at, the Annual Meeting.</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2024</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2024 ANNUAL MEETING OF STOCKHOLDERS TO BE HELD ON NOVEMBER 12, 2024: Our Proxy Statement for the 2024 Annual Meeting of Stockholders and the Annual Report to Stockholders on Form 10-K for the fiscal year ended December 31, 2023 are available at </w:t>
      </w:r>
      <w:r>
        <w:rPr>
          <w:rFonts w:ascii="Times New Roman" w:cs="Times New Roman" w:eastAsia="Times New Roman" w:hAnsi="Times New Roman"/>
          <w:sz w:val="18"/>
          <w:szCs w:val="18"/>
          <w:b w:val="1"/>
          <w:bCs w:val="1"/>
          <w:i w:val="1"/>
          <w:iCs w:val="1"/>
          <w:color w:val="auto"/>
        </w:rPr>
        <w:t>http://www.web.viewproxy.com/DFLI/2024</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You are cordially invited to attend the Annual Meeting via live webcast by visiting </w:t>
      </w:r>
      <w:r>
        <w:rPr>
          <w:rFonts w:ascii="Times New Roman" w:cs="Times New Roman" w:eastAsia="Times New Roman" w:hAnsi="Times New Roman"/>
          <w:sz w:val="18"/>
          <w:szCs w:val="18"/>
          <w:b w:val="1"/>
          <w:bCs w:val="1"/>
          <w:i w:val="1"/>
          <w:iCs w:val="1"/>
          <w:color w:val="auto"/>
        </w:rPr>
        <w:t>http://www.web.viewproxy.com/DFLI/2024.</w:t>
      </w:r>
      <w:r>
        <w:rPr>
          <w:rFonts w:ascii="Times New Roman" w:cs="Times New Roman" w:eastAsia="Times New Roman" w:hAnsi="Times New Roman"/>
          <w:sz w:val="18"/>
          <w:szCs w:val="18"/>
          <w:b w:val="1"/>
          <w:bCs w:val="1"/>
          <w:color w:val="auto"/>
        </w:rPr>
        <w:t xml:space="preserve"> To be sure your vote is counted and assure a quorum is present, it is important that you vote your shares regardless of the number of shares you own. The Board urges you to vote over the Internet by going to </w:t>
      </w:r>
      <w:r>
        <w:rPr>
          <w:rFonts w:ascii="Times New Roman" w:cs="Times New Roman" w:eastAsia="Times New Roman" w:hAnsi="Times New Roman"/>
          <w:sz w:val="18"/>
          <w:szCs w:val="18"/>
          <w:b w:val="1"/>
          <w:bCs w:val="1"/>
          <w:i w:val="1"/>
          <w:iCs w:val="1"/>
          <w:color w:val="auto"/>
        </w:rPr>
        <w:t>http://www.web.viewproxy.com/DFLI/2024</w:t>
      </w:r>
      <w:r>
        <w:rPr>
          <w:rFonts w:ascii="Times New Roman" w:cs="Times New Roman" w:eastAsia="Times New Roman" w:hAnsi="Times New Roman"/>
          <w:sz w:val="18"/>
          <w:szCs w:val="18"/>
          <w:b w:val="1"/>
          <w:bCs w:val="1"/>
          <w:color w:val="auto"/>
        </w:rPr>
        <w:t xml:space="preserve"> or by telephone by calling Alliance Advisors at (866) 612-8937 or to sign, date and mark the proxy card promptly and return it to Dragonfly Energy Holdings Corp. Voting over the Internet or by telephone or by returning the proxy card will not prevent you from voting at the virtual Annual Meeting. </w:t>
      </w:r>
      <w:r>
        <w:rPr>
          <w:rFonts w:ascii="Times New Roman" w:cs="Times New Roman" w:eastAsia="Times New Roman" w:hAnsi="Times New Roman"/>
          <w:sz w:val="18"/>
          <w:szCs w:val="18"/>
          <w:b w:val="1"/>
          <w:bCs w:val="1"/>
          <w:i w:val="1"/>
          <w:iCs w:val="1"/>
          <w:color w:val="auto"/>
        </w:rPr>
        <w:t>Under Securities and Exchange Commission rules,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are providing access to our proxy materials both by sending you this full set of proxy materials, and by notifying you of the availability of our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Dragonfly Energy Holdings Corp., or Dragonfly, is a Nevada corporation. As used in this proxy statement, “we,” “us,” “our” and the “Company” refer to Dragonfly Energy Holdings Corp. The term “Annual Meeting” as used in this proxy statement refers to the 2024 Annual Meeting of Stockholders and includes any adjournment or postponement of the Annual Meeting.</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rules, we are providing access to our proxy materials both by sending you this full set of proxy materials, and by notifying you of the availability of our proxy materials online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where you can access this proxy statement for the 2024 Annual Meeting, our Annual Report on Form 10-K for the fiscal year ended December 31, 2023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and our proxy card. In addition, our proxy materials provide instructions on how you may request to receive, at no charge, all future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is soliciting your proxy to vote at the Annual Meeting. This proxy statement summarizes the information you will need to know to cast an informed vote at the Annual Meeting. You do not need to attend the Annual Meeting to vote your shares. You may simply complete, sign and return the proxy card and your votes will be cast for you at the Annual Meeting or you may vote online at </w:t>
      </w:r>
      <w:r>
        <w:rPr>
          <w:rFonts w:ascii="Times New Roman" w:cs="Times New Roman" w:eastAsia="Times New Roman" w:hAnsi="Times New Roman"/>
          <w:sz w:val="18"/>
          <w:szCs w:val="18"/>
          <w:i w:val="1"/>
          <w:iCs w:val="1"/>
          <w:color w:val="auto"/>
        </w:rPr>
        <w:t xml:space="preserve">http://www.web.viewproxy.com/DFLI/2024. </w:t>
      </w:r>
      <w:r>
        <w:rPr>
          <w:rFonts w:ascii="Times New Roman" w:cs="Times New Roman" w:eastAsia="Times New Roman" w:hAnsi="Times New Roman"/>
          <w:sz w:val="18"/>
          <w:szCs w:val="18"/>
          <w:color w:val="auto"/>
        </w:rPr>
        <w:t>This process is described below in the section entitled “Voting Rights.”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and the Notice of Annual Meeting are dated , 2024. If you owned shares of common stock of Dragonfly at the close of business on October 7,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you are entitled to vote at the Annual Meeting, as set out below. Each share of common stock is entitled to one vote per share. On the Record Date, there were 62,776,944 shares of common stock outstanding.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year’s Annual Meeting will be held in a virtual meeting format only. The Annual Meeting will convene on November 12, 2024, at 9:00 a.m. Pacific Time. In order to participate in the Annual Meeting live via the Internet, you must register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xml:space="preserve"> by 11:59 p.m. Eastern Time by November 11, 2024. If you are a registered holder, you must register using the virtual control number included on your Notice of Internet Availability of proxy materials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2024 Annual Meeting (but will not be able to vote your shares)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the day of the Annual Meeting, if you have properly registered, you may enter the Annual Meeting by logging in using the event password you received via email in your registration confirmation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can be accessed by visiting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where you will be able to listen to the meeting live, submit questions and vote online. You will need the virtual control number. As part of the Annual Meeting, we will hold a live question and answer session, during which we intend to answer questions submitted in writing during the meeting in accordance with the Annual Meeting procedures which are pertinent to the Company and the meeting matters, as time permits. Questions and answers will be grouped by topic and substantially similar questions will be grouped and answered once.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encounter any technical difficulties accessing the Annual Meeting live audio webcast during the meeting time, there will be technicians ready to assist you with any technical difficulties you may have accessing the annual meeting live audio webcast. Please be sure to check in by 8:45 a.m. Pacific Time on November 12, 2024, the day of the Annual Meeting, so that any technical difficulties may be addressed before the Annual Meeting live audio webcast begins. If you encounter any difficulties accessing the webcast during the check-in or meeting time, please email VirtualMeeting@viewproxy.com or call (866) 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ind w:firstLine="648"/>
        <w:spacing w:after="0" w:line="282" w:lineRule="auto"/>
        <w:rPr>
          <w:sz w:val="20"/>
          <w:szCs w:val="20"/>
          <w:color w:val="auto"/>
        </w:rPr>
      </w:pPr>
      <w:r>
        <w:rPr>
          <w:rFonts w:ascii="Times New Roman" w:cs="Times New Roman" w:eastAsia="Times New Roman" w:hAnsi="Times New Roman"/>
          <w:sz w:val="18"/>
          <w:szCs w:val="18"/>
          <w:color w:val="auto"/>
        </w:rPr>
        <w:t>Even if you plan to attend the live webcast of the Annual Meeting, we encourage you to vote in advance by Internet, telephone or mail so that your vote will be counted even if you later decide not to attend the virtual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you will be asked to vote:</w:t>
      </w:r>
    </w:p>
    <w:p>
      <w:pPr>
        <w:spacing w:after="0" w:line="22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to hold office until the 2027 annual meeting of stockholders (the “</w:t>
      </w:r>
      <w:r>
        <w:rPr>
          <w:rFonts w:ascii="Times New Roman" w:cs="Times New Roman" w:eastAsia="Times New Roman" w:hAnsi="Times New Roman"/>
          <w:sz w:val="18"/>
          <w:szCs w:val="18"/>
          <w:b w:val="1"/>
          <w:bCs w:val="1"/>
          <w:color w:val="auto"/>
        </w:rPr>
        <w:t>Director Proposal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our Board, in its discretion at any time within one year after stockholder approval is obtained, to effect a reverse stock split of only the then-outstanding shares of the Company’s common stock (with no change to the authorized capital stock of the Company), at a ratio of not less than one-for-five (1:5) and not greater than one-for-twenty (1:20)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with the exact ratio to be determined by our Board and included in a public announcement (the “</w:t>
      </w:r>
      <w:r>
        <w:rPr>
          <w:rFonts w:ascii="Times New Roman" w:cs="Times New Roman" w:eastAsia="Times New Roman" w:hAnsi="Times New Roman"/>
          <w:sz w:val="18"/>
          <w:szCs w:val="18"/>
          <w:b w:val="1"/>
          <w:bCs w:val="1"/>
          <w:color w:val="auto"/>
        </w:rPr>
        <w:t>Reverse Stock Split Proposal</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are insufficient to approve such proposal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Marcum LLP as our independent registered public accounting firm for our fiscal year ending December 31, 2024 (the “</w:t>
      </w:r>
      <w:r>
        <w:rPr>
          <w:rFonts w:ascii="Times New Roman" w:cs="Times New Roman" w:eastAsia="Times New Roman" w:hAnsi="Times New Roman"/>
          <w:sz w:val="18"/>
          <w:szCs w:val="18"/>
          <w:b w:val="1"/>
          <w:bCs w:val="1"/>
          <w:color w:val="auto"/>
        </w:rPr>
        <w:t>Auditor Proposal</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The holders of one-third of the voting power of the outstanding shares of capital stock entitled to vote at the Annual Meeting as of the Record Date, represented in person or by proxy, will constitute a quorum for the transaction of business at the Annual Meeting. We will include proxies marked as abstentions, withheld votes, and broker non-votes to determine the number of shares present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one vote at the Annual Meeting for each share of the common stock that he or she owned as of the Record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your shares at the Annual Meeting via live webcast, by phone, over the Internet or by proxy. If you wish to vote your shares electronically at the Annual Meeting, there will be a live link provided during the Annual Meeting (you will need the virtual control number assigned to you).</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To vote over the Internet, you must go to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xml:space="preserve">. To vote by phone, please call (866) 612-8937. 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Times New Roman" w:cs="Times New Roman" w:eastAsia="Times New Roman" w:hAnsi="Times New Roman"/>
          <w:sz w:val="18"/>
          <w:szCs w:val="18"/>
          <w:b w:val="1"/>
          <w:bCs w:val="1"/>
          <w:color w:val="auto"/>
        </w:rPr>
        <w:t>If you are a stockholder of record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you return a properly executed proxy card or vote by proxy over the Internet but do not mark the boxes showing how you wish to vote, your proxy will vote your shares “FOR” the Director Proposal; “FOR” the approval of the Reverse Stock Split Proposal; “FOR” the Adjournment Proposal; and “FOR” the Auditor Proposal and, in the discretion of the proxy holders, on any other matters that properly come before the meeting. </w:t>
      </w:r>
      <w:r>
        <w:rPr>
          <w:rFonts w:ascii="Times New Roman" w:cs="Times New Roman" w:eastAsia="Times New Roman" w:hAnsi="Times New Roman"/>
          <w:sz w:val="18"/>
          <w:szCs w:val="18"/>
          <w:color w:val="auto"/>
        </w:rPr>
        <w:t>If any other matter is presented, your proxy will vote your shares as a majority of the Board determines. As of the date of this proxy statement,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of no other matters that may be presented at the Annual Meeting, other than those listed in the Notice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bank, brokerage firm or other nominee, you should vote your shares in accordance with the steps required by such bank, brokerage firm or other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Assuming that a quorum is present, the following votes will be required to approve each proposal:</w:t>
      </w:r>
    </w:p>
    <w:p>
      <w:pPr>
        <w:spacing w:after="0" w:line="225" w:lineRule="exact"/>
        <w:rPr>
          <w:sz w:val="20"/>
          <w:szCs w:val="20"/>
          <w:color w:val="auto"/>
        </w:rPr>
      </w:pPr>
    </w:p>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Director Proposal, directors are elected by a plurality of the votes present in person or represented by proxy and entitled to vote on the election of directors. The director nominees who receive the greatest number of votes at the Annual Meeting (up to the total number of directors to be elected) will be elected. As a result, withheld votes and “broker non-votes” (see below), if any, will not affect the outcome of the vote on the Director Proposal. Consequently, only shares that are voted in favor of a particular nominee will be counted toward such nominee’s achievement of a plurality. You may not vote your shares cumulatively for the election of directors.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Reverse Stock Split Proposal, the Adjournment Proposal, and the Auditor Proposal, as well as, the approval of any other matter that may properly come before the Annual Meeting, the affirmative vote of the holders of a majority of the votes cast is required to approve these proposals. As a result, abstentions, broker non-votes, if any, and any other failure to submit a proxy or vote in person at the meeting, will not affect the outcome of the vote of the Reverse Stock Split Proposal, the Adjournment Proposal and the Auditor Proposal.</w:t>
      </w:r>
    </w:p>
    <w:p>
      <w:pPr>
        <w:spacing w:after="0" w:line="17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dissenters’ rights of appraisal in connection with any of the matters to be voted on at the meeting.</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Board has determined that a vote in favor of the foregoing proposals is in the best interests of Dragonfly and our stockholders and unanimously recommends a vote </w:t>
      </w:r>
      <w:r>
        <w:rPr>
          <w:rFonts w:ascii="Times New Roman" w:cs="Times New Roman" w:eastAsia="Times New Roman" w:hAnsi="Times New Roman"/>
          <w:sz w:val="18"/>
          <w:szCs w:val="18"/>
          <w:b w:val="1"/>
          <w:bCs w:val="1"/>
          <w:color w:val="auto"/>
        </w:rPr>
        <w:t>“FOR” the Board’s nominees for director; “FOR” the approval of the Reverse Stock Split Proposal; “FOR” the</w:t>
      </w: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Adjournment Proposal; and “FOR” the Auditor Proposal and, in the discretion of the proxy holders, on any other matters that properly come before the meeting.</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Banks and brokers acting as nominees are permitted to use discretionary voting authority to vote proxies for proposals that are deemed “routine” by the New York Stock Exchange (the exchange that makes such determinations) but are not permitted to use discretionary voting authority to vote proxies for proposals that are deemed “non-routine” by the New York Stock Exchange. A broker “non-vote” occurs when a proposal is deemed “non-routine” and a nominee holding shares for a beneficial owner does not have discretionary voting authority with respect to the matter being considered and has not received instructions from the beneficial owner.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applicable rules governing such brokers, we believe the Reverse Stock Split Proposal, the Adjournment Proposal, and the Auditor Proposal are likely to be considered “routine” items. This means that brokers may vote using their discretion on such proposals on behalf of beneficial owners who have not furnished voting instructions. In contrast, certain items are considered “non-routine”, and a “broker non-vote” occurs when brokers do not receive voting instructions from beneficial owners with respect to such items because the brokers are not entitled to vote such uninstructed shares. We believe the Director Proposal is likely to be considered “non-routine”, which means that brokers cannot vote your uninstructed shares when they do not receive voting instructions from you. Furthermore, if approvals of the Reverse Stock Split Proposal, the Adjournment Proposal and the Auditor Proposal are deemed by the New York Stock Exchange to be “non-routine” matters, brokers will not be permitted to vote on the Reverse Stock Split Proposal, the Adjournment Proposal and the Auditor Proposal if the broker has not received instructions from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Your Vote after Voting over the Internet or Revoking Your Proxy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may change your vote by attending the Annual Meeting and voting online even if you previously voted over the Internet. Alternatively, you may change your vote by contacting Alliance Advisors LLC by phone at (866) 612-8937, or re-voting over the Internet following the instructions provided.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revoke your proxy at any time before it is exercised by:</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letter with our Secretary revoking the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signed proxy with a later date;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online, provided you file a written revocation with the Secretary of the Annual Meeting prior to the voting of such proxy.</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your shares are not registered in your own name, you will need appropriate documentation from your stockholder of record to vote at the Annual Meeting. </w:t>
      </w:r>
      <w:r>
        <w:rPr>
          <w:rFonts w:ascii="Times New Roman" w:cs="Times New Roman" w:eastAsia="Times New Roman" w:hAnsi="Times New Roman"/>
          <w:sz w:val="18"/>
          <w:szCs w:val="18"/>
          <w:color w:val="auto"/>
        </w:rPr>
        <w:t>Examples of such documentation include a broker’s statement, letter or other document that will confirm your ownership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Dragonfly.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the costs of soliciting proxies from our stockholders, directors, officers or employees of Dragonfly may solicit proxies by mail, telephone or other forms of communication. We will also reimburse banks, brokers, nominees and other fiduciaries for the expenses they incur in forwarding the proxy materials to you.</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retained Alliance Advisors LLC to assist us in the solicitation of proxies. Alliance Advisors LLC will solicit proxies on behalf of us from individuals, brokers, bank nominees and other institutional holders in the same manner described above. The fees that will be paid to Alliance Advisors LLC are anticipated to be approximately $24,670, and we will reimburse their out-of-pocket expenses. We have also agreed to indemnify Alliance Advisors LLC against certain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currently consists of three classes and a total of seven directors, two of whom are being nominated for reelection at this Annual Meeting. Vacancies on the Board may be filled only by persons elected by a majority of the remaining directors, even if less than a quorum, or by the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two nominees listed below are incumbent directors. If elected at the Annual Meeting, each of these nominees would serve until the 2027 annual meeting of stockholders and until his or her successor has been duly elected and qualified, or, if sooner, until the director’s death, resignation or removal. Because the number of nominees properly nominated for the Annual Meeting is the same as the number of directors to be elected, the election of directors at this Annual Meeting is uncontested.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or represented by proxy and entitled to vote on the election of directors. In accordance with our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Nevada law, a stockholder entitled to vote for the election of directors may withhold authority to vote for certain nominees for directors or may withhold authority to vote for all nominees for directors. Withheld votes and broker non-votes will not be treated as a vote for or against any particular director nominee and will not affect the outcome of the election. Stockholders may not vote, or submit a proxy, for a greater number of nominees than the four nominees named below. The director nominees receiving the highest number of affirmative votes will be elected. Shares represented by executed proxies will be voted, if authority to do so is not withheld, for the election of the four director nominees named below. If any director nominee becomes unavailable for election as a result of an unexpected occurrence, shares that would have been voted for that nominee will instead be voted for the election of a substitute nominee proposed by our Board. Each person nominated for election has agreed to serve if elected. Our management has no reason to believe that any nominee will be unable to serve.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B Directors at the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 age, position and tenure of each of the nominees for the 2024 Annual Meeting: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Nelson</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40" w:type="dxa"/>
            <w:vAlign w:val="bottom"/>
          </w:tcPr>
          <w:p>
            <w:pPr>
              <w:spacing w:after="0"/>
              <w:rPr>
                <w:sz w:val="20"/>
                <w:szCs w:val="20"/>
                <w:color w:val="auto"/>
              </w:rPr>
            </w:pP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includes a brief biography of each of the nominees standing for election to the Board at the Annual Meeting, based on information furnished to us by each director nominee, with each biography including information regarding the experiences, qualifications, attributes or skills that caused the Nominating and Corporate Governance Committee and the Board to determine that the applicable nominee should serve as a member of our Board.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Brian Nelson </w:t>
      </w:r>
      <w:r>
        <w:rPr>
          <w:rFonts w:ascii="Times New Roman" w:cs="Times New Roman" w:eastAsia="Times New Roman" w:hAnsi="Times New Roman"/>
          <w:sz w:val="18"/>
          <w:szCs w:val="18"/>
          <w:color w:val="auto"/>
        </w:rPr>
        <w:t>has served as a member of our Board since October 2022. Prior to the Business Combination (as defined herein), Mr. Nelson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board of directors of Dragonfly Energy Corp., a wholly-owned subsidiary of Dragonfly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Jonathan Bellows </w:t>
      </w:r>
      <w:r>
        <w:rPr>
          <w:rFonts w:ascii="Times New Roman" w:cs="Times New Roman" w:eastAsia="Times New Roman" w:hAnsi="Times New Roman"/>
          <w:sz w:val="18"/>
          <w:szCs w:val="18"/>
          <w:color w:val="auto"/>
        </w:rPr>
        <w:t>has served as a member of our Board since October 2022. Mr. Bellows currently serves as President of KORE Power,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 - Johnson in 1998, where he earned his B.A. in History. Mr. Bellows is qualified to serve on our Board based on his energy storage industry expertise and operating and leadership experience.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Membership Diversity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the Board Diversity Rules (Rule 5605(f) and Rule 5606) promulgated by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following Board Diversity Matrix presents our Board diversity statistics. The minimum diversity objective for smaller reporting companies listed on the Nasdaq Capital Market on or after August 6, 2021 is two diverse directors by December 31, 2026 or two years from the date of listing, whichever is later, including one who self-identifies as female, and one who self-identifies as either female, an underrepresented minority or LGBTQ+. “Underrepresented Minority” means an individual who self-identifies as one or more of the following: Black or African American, Hispanic or Latinx, Asian, Native American or Alaska Native, Native Hawaiian or Pacific Islander, or Two or More Races or Ethnicities. “Two or More Races or Ethnicities” means a person who identifies with more than one of the following categories: White (not of Hispanic or Latinx origin), Black or African American, Hispanic or Latinx, Asian, Native American or Alaska Native, Native Hawaiian or Pacific Islander. Our Board does not currently include any diverse directors; however, we intend to have at least two diverse directors by the August 6, 2026, the deadline set forth in the Nasdaq rules.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3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Board Diversity Matrix (As of October 7, 2024)</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9"/>
        </w:trPr>
        <w:tc>
          <w:tcPr>
            <w:tcW w:w="35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94"/>
        </w:trPr>
        <w:tc>
          <w:tcPr>
            <w:tcW w:w="3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Did Not</w:t>
            </w:r>
          </w:p>
        </w:tc>
      </w:tr>
      <w:tr>
        <w:trPr>
          <w:trHeight w:val="238"/>
        </w:trPr>
        <w:tc>
          <w:tcPr>
            <w:tcW w:w="3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2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Disclose Gender</w:t>
            </w: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66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2: Demographic Background</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66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66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266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266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66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266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66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ALL OF THE 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Operations and Meetings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currently consists of three classes of a total of seven directors. Our directors each serve staggered three-year terms with one class being elected at each year’s annual meeting of stockholders, as follows: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Montilla Edmonds, whose terms will expire at the 2026 Annual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this Annual Meeting;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2025 Annual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formal policy regarding board diversity. Our priority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In accordance with our corporate governance procedures, the Board does not involve itself in the day-to-day operations of Dragonfly.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current directors, as of the date of this proxy statement, including two of our current directors who are nominated for election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A Directors (Terms to Expire at the 2026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members of the Board who are Class A Directors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Rick Parod</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71</w:t>
            </w:r>
          </w:p>
        </w:tc>
        <w:tc>
          <w:tcPr>
            <w:tcW w:w="24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20"/>
                <w:szCs w:val="20"/>
                <w:color w:val="auto"/>
              </w:rPr>
            </w:pP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Rick Parod </w:t>
      </w:r>
      <w:r>
        <w:rPr>
          <w:rFonts w:ascii="Times New Roman" w:cs="Times New Roman" w:eastAsia="Times New Roman" w:hAnsi="Times New Roman"/>
          <w:sz w:val="18"/>
          <w:szCs w:val="18"/>
          <w:color w:val="auto"/>
        </w:rPr>
        <w:t>has served as a member of our Board since October 2022. Mr. Parod currently serves as the CEO of AdeptAg, a company that serves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received a B.S. in accounting from Northern Illinois University and an M.B.A from Pepperdine University. Mr. Parod is qualified to serve on our Board based on his experience in manufacturing operations, product development and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Karina Montilla Edmonds, Ph.D. </w:t>
      </w:r>
      <w:r>
        <w:rPr>
          <w:rFonts w:ascii="Times New Roman" w:cs="Times New Roman" w:eastAsia="Times New Roman" w:hAnsi="Times New Roman"/>
          <w:sz w:val="18"/>
          <w:szCs w:val="18"/>
          <w:color w:val="auto"/>
        </w:rPr>
        <w:t>has served as a member of our Board since October 2022. Dr. Edmonds currently serves as the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B Directors (Terms to Expire at this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members of the Board who are Class B Directors are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Brian Nelson</w:t>
      </w:r>
      <w:r>
        <w:rPr>
          <w:rFonts w:ascii="Times New Roman" w:cs="Times New Roman" w:eastAsia="Times New Roman" w:hAnsi="Times New Roman"/>
          <w:sz w:val="18"/>
          <w:szCs w:val="18"/>
          <w:color w:val="auto"/>
        </w:rPr>
        <w:t>, see Mr. Nelson’s biography in “Proposal 1”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Jonathon Bellows</w:t>
      </w:r>
      <w:r>
        <w:rPr>
          <w:rFonts w:ascii="Times New Roman" w:cs="Times New Roman" w:eastAsia="Times New Roman" w:hAnsi="Times New Roman"/>
          <w:sz w:val="18"/>
          <w:szCs w:val="18"/>
          <w:color w:val="auto"/>
        </w:rPr>
        <w:t>, see Mr. Bellows biography in “Proposal 1”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C Directors (Terms to Expire at the 2025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members of the Board who are Class C Directors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President, Chief Executive Officer, Interim Chief Financial Officer and</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Chairman</w:t>
            </w:r>
          </w:p>
        </w:tc>
        <w:tc>
          <w:tcPr>
            <w:tcW w:w="1560" w:type="dxa"/>
            <w:vAlign w:val="bottom"/>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Pr>
          <w:p>
            <w:pPr>
              <w:spacing w:after="0"/>
              <w:rPr>
                <w:sz w:val="18"/>
                <w:szCs w:val="18"/>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40" w:type="dxa"/>
            <w:vAlign w:val="bottom"/>
          </w:tcPr>
          <w:p>
            <w:pPr>
              <w:spacing w:after="0"/>
              <w:rPr>
                <w:sz w:val="20"/>
                <w:szCs w:val="20"/>
                <w:color w:val="auto"/>
              </w:rPr>
            </w:pP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Dr. Denis Phares </w:t>
      </w:r>
      <w:r>
        <w:rPr>
          <w:rFonts w:ascii="Times New Roman" w:cs="Times New Roman" w:eastAsia="Times New Roman" w:hAnsi="Times New Roman"/>
          <w:sz w:val="18"/>
          <w:szCs w:val="18"/>
          <w:color w:val="auto"/>
        </w:rPr>
        <w:t>has served as our Chief Executive Officer and Chairman of our Board since October 2022. Dr. Phares is the co-founder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Luisa Ingargiola </w:t>
      </w:r>
      <w:r>
        <w:rPr>
          <w:rFonts w:ascii="Times New Roman" w:cs="Times New Roman" w:eastAsia="Times New Roman" w:hAnsi="Times New Roman"/>
          <w:sz w:val="18"/>
          <w:szCs w:val="18"/>
          <w:color w:val="auto"/>
        </w:rPr>
        <w:t>has served as a member of our Board since October 2022. Prior to the Business Combination, Ms. Ingargiola served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of 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and as Audit Committee Chair for Electrameccanica Vehicles Corp. (Nasdaq: SOLO) (“</w:t>
      </w:r>
      <w:r>
        <w:rPr>
          <w:rFonts w:ascii="Times New Roman" w:cs="Times New Roman" w:eastAsia="Times New Roman" w:hAnsi="Times New Roman"/>
          <w:sz w:val="18"/>
          <w:szCs w:val="18"/>
          <w:b w:val="1"/>
          <w:bCs w:val="1"/>
          <w:color w:val="auto"/>
        </w:rPr>
        <w:t>Electrameccanica</w:t>
      </w:r>
      <w:r>
        <w:rPr>
          <w:rFonts w:ascii="Times New Roman" w:cs="Times New Roman" w:eastAsia="Times New Roman" w:hAnsi="Times New Roman"/>
          <w:sz w:val="18"/>
          <w:szCs w:val="18"/>
          <w:color w:val="auto"/>
        </w:rPr>
        <w:t>”) since March 2018 to March 2024, and following the sale of Electrameccanica to XOS, Inc. (“</w:t>
      </w:r>
      <w:r>
        <w:rPr>
          <w:rFonts w:ascii="Times New Roman" w:cs="Times New Roman" w:eastAsia="Times New Roman" w:hAnsi="Times New Roman"/>
          <w:sz w:val="18"/>
          <w:szCs w:val="18"/>
          <w:b w:val="1"/>
          <w:bCs w:val="1"/>
          <w:color w:val="auto"/>
        </w:rPr>
        <w:t>XOS</w:t>
      </w:r>
      <w:r>
        <w:rPr>
          <w:rFonts w:ascii="Times New Roman" w:cs="Times New Roman" w:eastAsia="Times New Roman" w:hAnsi="Times New Roman"/>
          <w:sz w:val="18"/>
          <w:szCs w:val="18"/>
          <w:color w:val="auto"/>
        </w:rPr>
        <w:t>”) in March 2024, commenced as a director of XOS,, as a member of the board and Audit Committee Chair for BioCorRx Inc. (OTC: BICX) since April 2018, and as a member of the board and Audit Committee Chair of Vision Marine Technologies, Inc. (NASDAQ: VMAR) since December 2020. Ms. Ingargiola holds a M.B.A. in Health Administration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Perry Boyle </w:t>
      </w:r>
      <w:r>
        <w:rPr>
          <w:rFonts w:ascii="Times New Roman" w:cs="Times New Roman" w:eastAsia="Times New Roman" w:hAnsi="Times New Roman"/>
          <w:sz w:val="18"/>
          <w:szCs w:val="18"/>
          <w:color w:val="auto"/>
        </w:rPr>
        <w:t>has served as a member of our Board since October 2022. Prior to the Business Combination, he served on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Chardan NexTech Acquisition 2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w:t>
      </w:r>
      <w:r>
        <w:rPr>
          <w:rFonts w:ascii="Times New Roman" w:cs="Times New Roman" w:eastAsia="Times New Roman" w:hAnsi="Times New Roman"/>
          <w:sz w:val="18"/>
          <w:szCs w:val="18"/>
          <w:b w:val="1"/>
          <w:bCs w:val="1"/>
          <w:color w:val="auto"/>
        </w:rPr>
        <w:t>S.A.C.</w:t>
      </w:r>
      <w:r>
        <w:rPr>
          <w:rFonts w:ascii="Times New Roman" w:cs="Times New Roman" w:eastAsia="Times New Roman" w:hAnsi="Times New Roman"/>
          <w:sz w:val="18"/>
          <w:szCs w:val="18"/>
          <w:color w:val="auto"/>
        </w:rPr>
        <w:t>”)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w:t>
      </w:r>
    </w:p>
    <w:p>
      <w:pPr>
        <w:spacing w:after="0" w:line="1" w:lineRule="exact"/>
        <w:rPr>
          <w:sz w:val="20"/>
          <w:szCs w:val="20"/>
          <w:color w:val="auto"/>
        </w:rPr>
      </w:pPr>
    </w:p>
    <w:p>
      <w:pPr>
        <w:jc w:val="both"/>
        <w:ind w:firstLine="8"/>
        <w:spacing w:after="0" w:line="251" w:lineRule="auto"/>
        <w:tabs>
          <w:tab w:leader="none" w:pos="1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Sons from 1992 – 1999. He began his career as an investment banker with Salomon Brothers Inc. Mr. Boyle is a member of the advisory board of the Center for a New American Security, and a director of The US Friends of the International Institute for Strategic Studies (“</w:t>
      </w:r>
      <w:r>
        <w:rPr>
          <w:rFonts w:ascii="Times New Roman" w:cs="Times New Roman" w:eastAsia="Times New Roman" w:hAnsi="Times New Roman"/>
          <w:sz w:val="18"/>
          <w:szCs w:val="18"/>
          <w:b w:val="1"/>
          <w:bCs w:val="1"/>
          <w:color w:val="auto"/>
        </w:rPr>
        <w:t>IISS</w:t>
      </w:r>
      <w:r>
        <w:rPr>
          <w:rFonts w:ascii="Times New Roman" w:cs="Times New Roman" w:eastAsia="Times New Roman" w:hAnsi="Times New Roman"/>
          <w:sz w:val="18"/>
          <w:szCs w:val="18"/>
          <w:color w:val="auto"/>
        </w:rPr>
        <w: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has determined that Luisa Ingargiola, Rick Parod, Karina Montilla Edmonds, Brian Nelson, Jonathan Bellows are qualified to serve as independent directors. The standards relied on by the Board in affirmatively determining whether a director is “independent,” in compliance with Nasdaq’s rules, are comprised of those objective standards set forth in the rules promulgated by Nasdaq. The Board is responsible for ensuring that independent directors do not have a relationship that, in the opinion of the Board, would interfere with the exercise of independent judgment in carrying out the responsibilities of a director.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Nasdaq’s rules, as well as SEC rules, impose additional independence requirements for all members of the Audit Committee. Specifically, in addition to the “independence” requirements discussed above, “independent” audit committee members must: (1) not accept, directly or indirectly, any consulting, advisory, or other compensatory fees from Dragonfly or any subsidiary of Dragonfly other than in the member’s capacity as a member of the Board and any Board committee; (2) not be an affiliated person of Dragonfly or any subsidiary of Dragonfly; and (3) not have participated in the preparation of the financial statements of Dragonfly or any current subsidiary of Dragonfly at any time during the past three years. In addition, Nasdaq’s rules require that all audit committee members be able to read and understand fundamental financial statements, including Dragonfly’s balance sheet, income statement, and cash flow statement. The Board believes that the current members of the Audit Committee meet these additional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 w:cs="Times New Roman" w:eastAsia="Times New Roman" w:hAnsi="Times New Roman"/>
          <w:sz w:val="18"/>
          <w:szCs w:val="18"/>
          <w:i w:val="1"/>
          <w:iCs w:val="1"/>
          <w:u w:val="single" w:color="auto"/>
          <w:color w:val="auto"/>
        </w:rPr>
        <w:t>https://dragonflyenergy.com/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2023, (i) our Board met three (3) times and acted by written consent five (5) times; (ii) our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met five (5) times and acted by written consent three (3) times; (iii) our compensation committee of 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met three (3) times and acted by written consent one (1) time; and (iv) our nominating and corporate governance committee of the Board (the “</w:t>
      </w:r>
      <w:r>
        <w:rPr>
          <w:rFonts w:ascii="Times New Roman" w:cs="Times New Roman" w:eastAsia="Times New Roman" w:hAnsi="Times New Roman"/>
          <w:sz w:val="18"/>
          <w:szCs w:val="18"/>
          <w:b w:val="1"/>
          <w:bCs w:val="1"/>
          <w:color w:val="auto"/>
        </w:rPr>
        <w:t>Nominating and Corporate Governance Committee</w:t>
      </w:r>
      <w:r>
        <w:rPr>
          <w:rFonts w:ascii="Times New Roman" w:cs="Times New Roman" w:eastAsia="Times New Roman" w:hAnsi="Times New Roman"/>
          <w:sz w:val="18"/>
          <w:szCs w:val="18"/>
          <w:color w:val="auto"/>
        </w:rPr>
        <w:t>”) did not meet and acted by written consent one (1) time. Each director attended at least 75% of the aggregate of (i) the total number of meetings of our Board (held during the period for which such director served on the Board and inclusive of any such special meetings of the Board) and (ii) the total number of meetings of all committees of our Board on which such director served (during the periods for which the director served on such committee or committees).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Luisa Ingargiola qualifies as an Audit Committee financial expert within the meaning of SEC regulations and the Nasdaq Marketplace Rules.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 The functions of the Audit Committee include, among other things:</w:t>
      </w:r>
    </w:p>
    <w:p>
      <w:pPr>
        <w:spacing w:after="0" w:line="183" w:lineRule="exact"/>
        <w:rPr>
          <w:sz w:val="20"/>
          <w:szCs w:val="20"/>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our independent auditors and determining whether to retain our existing independent auditors or engage new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our independent auditors describing the independent auditors’ internal quality control procedures and any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our independent auditors and consider regular rotation of the accounting firm serving as our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financial statements and reports and discussing the statements and reports with our independent auditors and management;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significant risk exposures;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xml:space="preserve">”) and all applicable SEC rules and regulations. We will comply with future requirements to the extent they become applicable to us. A copy of the Audit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 Compensation Committee which consists of Luisa Ingargiola, Brian Nelson, and Rick Parod, all of whom are independent (as that term is defined under the Nasdaq Marketplace Rules). The Compensation Committee assists the Board in fulfilling its oversight responsibilities relating to (i) corporate governance practices and policies and (ii) compensation matters, including compensation of the directors and senior management of the Company and the administration of compensation plans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our Chief Executive Officer and assessing the Chief Executive Officer’s performance against these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the adoption, termination, amendment of equity and cash incentive plans and approving amendments to such plans to the extent authorized by our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Chief Executive Officer and other executives;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executive officer development and retention and corporate succession plans.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Compensation Committee. A copy of the Compensation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a Nominating and Corporate Governance Committee, which currently consists of Karina Montilla Edmonds, Brian Nelson and Jonathan Bellows. The Nominating and Corporate Governance Committee assesses potential candidates to fill perceived needs on the Board for required, skills, expertise, independence and other factors.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are expected to include,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our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our Board’s committees and making recommendations to our Board for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our Board any changes to such policies and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comply with all applicable requirements of the Sarbanes-Oxley Act and all applicable SEC and Nasdaq’s rules and regulations. We will comply with future requirements to the extent they become applicable to 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Nominating and Corporate Governance Committee. A copy of the Nominating and Corporate Governance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assesses potential candidates to fill the perceived needs on our Board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1190 Trademark Drive, #108, Reno, Nevada 89521. Our Nominating and Corporate Governance Committee has discretion to decide which individuals to recommend for nomination as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Mr. Hoffman, as our President, Chief Executive Officer and Chairman, has extensive knowledge of all aspects of Dragonfly and our business. We have no policy requiring the combination or separation of leadership roles and our governing documents do not mandate a particular structure. This has allowed, and will continue to allow, our Board the flexibility to establish the most appropriate structure for the Company at any given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is primarily responsible for overseeing our risk management processes. The Board receives and reviews periodic reports from management, auditors, legal counsel, and others, as considered appropriate regarding the Company’s assessment of risks. The Board focuses on the most significant risks facing the Company and the Company’s general risk management strategy, and also ensures that risks undertaken by the Company are consistent with the Board’s risk strategy. While the Board oversees the Company’s risk management, management is responsible for day-to-day risk management processes. We believe this division of responsibilities is the most effective approach for addressing the risks facing the Company and that our Board leadership structure supports this approach.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current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Position(s) Held with Dragonfly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 Since:</w:t>
            </w:r>
          </w:p>
        </w:tc>
        <w:tc>
          <w:tcPr>
            <w:tcW w:w="0" w:type="dxa"/>
            <w:vAlign w:val="bottom"/>
          </w:tcPr>
          <w:p>
            <w:pPr>
              <w:spacing w:after="0"/>
              <w:rPr>
                <w:sz w:val="1"/>
                <w:szCs w:val="1"/>
                <w:color w:val="auto"/>
              </w:rPr>
            </w:pPr>
          </w:p>
        </w:tc>
      </w:tr>
      <w:tr>
        <w:trPr>
          <w:trHeight w:val="191"/>
        </w:trPr>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Dr. Denis Phares</w:t>
            </w:r>
          </w:p>
        </w:tc>
        <w:tc>
          <w:tcPr>
            <w:tcW w:w="2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6"/>
                <w:szCs w:val="16"/>
                <w:color w:val="auto"/>
              </w:rPr>
            </w:pPr>
          </w:p>
        </w:tc>
        <w:tc>
          <w:tcPr>
            <w:tcW w:w="5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Interim Chief Financial Officer and Chairman of the</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Tyler Bourns</w:t>
            </w:r>
          </w:p>
        </w:tc>
        <w:tc>
          <w:tcPr>
            <w:tcW w:w="80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Board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gridSpan w:val="2"/>
            <w:vMerge w:val="continue"/>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Marketing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Wade Seaburg</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Revenue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 Denis Phares</w:t>
      </w:r>
      <w:r>
        <w:rPr>
          <w:rFonts w:ascii="Times New Roman" w:cs="Times New Roman" w:eastAsia="Times New Roman" w:hAnsi="Times New Roman"/>
          <w:sz w:val="18"/>
          <w:szCs w:val="18"/>
          <w:color w:val="auto"/>
        </w:rPr>
        <w:t>, see Dr. Phares’ biography under “</w:t>
      </w:r>
      <w:r>
        <w:rPr>
          <w:rFonts w:ascii="Times New Roman" w:cs="Times New Roman" w:eastAsia="Times New Roman" w:hAnsi="Times New Roman"/>
          <w:sz w:val="18"/>
          <w:szCs w:val="18"/>
          <w:b w:val="1"/>
          <w:bCs w:val="1"/>
          <w:i w:val="1"/>
          <w:iCs w:val="1"/>
          <w:color w:val="auto"/>
        </w:rPr>
        <w:t>Current Class C Directors</w:t>
      </w:r>
      <w:r>
        <w:rPr>
          <w:rFonts w:ascii="Times New Roman" w:cs="Times New Roman" w:eastAsia="Times New Roman" w:hAnsi="Times New Roman"/>
          <w:sz w:val="18"/>
          <w:szCs w:val="18"/>
          <w:color w:val="auto"/>
        </w:rPr>
        <w:t>” above.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Bourns </w:t>
      </w:r>
      <w:r>
        <w:rPr>
          <w:rFonts w:ascii="Times New Roman" w:cs="Times New Roman" w:eastAsia="Times New Roman" w:hAnsi="Times New Roman"/>
          <w:sz w:val="18"/>
          <w:szCs w:val="18"/>
          <w:color w:val="auto"/>
        </w:rPr>
        <w:t>has served as our Chief Marketing Officer since November 2022. Prior to the Business Combination, Mr. Bourns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Wade Seaburg </w:t>
      </w:r>
      <w:r>
        <w:rPr>
          <w:rFonts w:ascii="Times New Roman" w:cs="Times New Roman" w:eastAsia="Times New Roman" w:hAnsi="Times New Roman"/>
          <w:sz w:val="18"/>
          <w:szCs w:val="18"/>
          <w:color w:val="auto"/>
        </w:rPr>
        <w:t>has served as our Chief Revenue Officer since November 2022. Prior to the Business Combination, Mr. Seaburg served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Times New Roman" w:cs="Times New Roman" w:eastAsia="Times New Roman" w:hAnsi="Times New Roman"/>
          <w:sz w:val="18"/>
          <w:szCs w:val="18"/>
          <w:b w:val="1"/>
          <w:bCs w:val="1"/>
          <w:color w:val="auto"/>
        </w:rPr>
        <w:t>WESCO</w:t>
      </w:r>
      <w:r>
        <w:rPr>
          <w:rFonts w:ascii="Times New Roman" w:cs="Times New Roman" w:eastAsia="Times New Roman" w:hAnsi="Times New Roman"/>
          <w:sz w:val="18"/>
          <w:szCs w:val="18"/>
          <w:color w:val="auto"/>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for our named executive officers and directors, which are described in the section entitled “Executive Compensation,” we have had the following transactions or series of similar transactions, since January 1, 2022, to which we were a party or will be a party, in which:</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Directors and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 with John Marchetti</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an inducement to hire Mr. John Marchetti as our former Chief Financial Officer in September 2021, we loaned Mr. Marchetti $350,000 to repay amounts owed by him to his former employer and entered into a related promissory note with a maturity of March 1, 2026. In connection with the Business Combination and our obligations as a publicly traded company, we forgave all amounts owed under the promissory note effective March 2022. On April 19, 2024, Mr. Marchetti’s employment with us was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On October 25, 2022, we entered into the Separation Agreement with Mr. Nichols that became effective and fully irrevocable on November 2, 2022, which was subsequently amended on November 14, 2022. Pursuant to the Separation Agreement, Mr. Nichols received a cash payment of $100,000 in one installment in December 2022 and was entitled to receive a cash payment of $1,000,000 in 24 monthly installments commencing in December 2022. Mr. Nichols’ outstanding equity awards granted by us fully vested and, in the case of options, were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with Brian Nelson</w:t>
      </w:r>
    </w:p>
    <w:p>
      <w:pPr>
        <w:spacing w:after="0" w:line="22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March 5, 2023, we issued the unsecured promissory note (the “</w:t>
      </w:r>
      <w:r>
        <w:rPr>
          <w:rFonts w:ascii="Times New Roman" w:cs="Times New Roman" w:eastAsia="Times New Roman" w:hAnsi="Times New Roman"/>
          <w:sz w:val="18"/>
          <w:szCs w:val="18"/>
          <w:b w:val="1"/>
          <w:bCs w:val="1"/>
          <w:color w:val="auto"/>
        </w:rPr>
        <w:t>March 2023 Note</w:t>
      </w:r>
      <w:r>
        <w:rPr>
          <w:rFonts w:ascii="Times New Roman" w:cs="Times New Roman" w:eastAsia="Times New Roman" w:hAnsi="Times New Roman"/>
          <w:sz w:val="18"/>
          <w:szCs w:val="18"/>
          <w:color w:val="auto"/>
        </w:rPr>
        <w:t>”)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w:t>
      </w:r>
      <w:r>
        <w:rPr>
          <w:rFonts w:ascii="Times New Roman" w:cs="Times New Roman" w:eastAsia="Times New Roman" w:hAnsi="Times New Roman"/>
          <w:sz w:val="18"/>
          <w:szCs w:val="18"/>
          <w:b w:val="1"/>
          <w:bCs w:val="1"/>
          <w:color w:val="auto"/>
        </w:rPr>
        <w:t>January 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January Principal Amount</w:t>
      </w:r>
      <w:r>
        <w:rPr>
          <w:rFonts w:ascii="Times New Roman" w:cs="Times New Roman" w:eastAsia="Times New Roman" w:hAnsi="Times New Roman"/>
          <w:sz w:val="18"/>
          <w:szCs w:val="18"/>
          <w:color w:val="auto"/>
        </w:rPr>
        <w:t>”) to Brian Nelson, one of our directors, in a private placement in exchange for cash in an equal amount. The January Note became due and payable in full on February 2, 2024. We were also obligated to pay $50,000 (the “</w:t>
      </w:r>
      <w:r>
        <w:rPr>
          <w:rFonts w:ascii="Times New Roman" w:cs="Times New Roman" w:eastAsia="Times New Roman" w:hAnsi="Times New Roman"/>
          <w:sz w:val="18"/>
          <w:szCs w:val="18"/>
          <w:b w:val="1"/>
          <w:bCs w:val="1"/>
          <w:color w:val="auto"/>
        </w:rPr>
        <w:t>January Loan Fee</w:t>
      </w:r>
      <w:r>
        <w:rPr>
          <w:rFonts w:ascii="Times New Roman" w:cs="Times New Roman" w:eastAsia="Times New Roman" w:hAnsi="Times New Roman"/>
          <w:sz w:val="18"/>
          <w:szCs w:val="18"/>
          <w:color w:val="auto"/>
        </w:rPr>
        <w:t>”) to Mr. Nelson on February 2, 2024. We paid the January Principal Amount and the January Loan Fee in full on February 2,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w:t>
      </w:r>
      <w:r>
        <w:rPr>
          <w:rFonts w:ascii="Times New Roman" w:cs="Times New Roman" w:eastAsia="Times New Roman" w:hAnsi="Times New Roman"/>
          <w:sz w:val="18"/>
          <w:szCs w:val="18"/>
          <w:b w:val="1"/>
          <w:bCs w:val="1"/>
          <w:color w:val="auto"/>
        </w:rPr>
        <w:t>February Note</w:t>
      </w:r>
      <w:r>
        <w:rPr>
          <w:rFonts w:ascii="Times New Roman" w:cs="Times New Roman" w:eastAsia="Times New Roman" w:hAnsi="Times New Roman"/>
          <w:sz w:val="18"/>
          <w:szCs w:val="18"/>
          <w:color w:val="auto"/>
        </w:rPr>
        <w:t>”) in the amount of $1.7 million (the “</w:t>
      </w:r>
      <w:r>
        <w:rPr>
          <w:rFonts w:ascii="Times New Roman" w:cs="Times New Roman" w:eastAsia="Times New Roman" w:hAnsi="Times New Roman"/>
          <w:sz w:val="18"/>
          <w:szCs w:val="18"/>
          <w:b w:val="1"/>
          <w:bCs w:val="1"/>
          <w:color w:val="auto"/>
        </w:rPr>
        <w:t>February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to Mr. Nelson, in a private placement in exchange for cash in an equal amount. The February Note became due and payable in full on March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We were also obligated to pay a $85,000 loan fee (the “</w:t>
      </w:r>
      <w:r>
        <w:rPr>
          <w:rFonts w:ascii="Times New Roman" w:cs="Times New Roman" w:eastAsia="Times New Roman" w:hAnsi="Times New Roman"/>
          <w:sz w:val="18"/>
          <w:szCs w:val="18"/>
          <w:b w:val="1"/>
          <w:bCs w:val="1"/>
          <w:color w:val="auto"/>
        </w:rPr>
        <w:t>February Loan Fee</w:t>
      </w:r>
      <w:r>
        <w:rPr>
          <w:rFonts w:ascii="Times New Roman" w:cs="Times New Roman" w:eastAsia="Times New Roman" w:hAnsi="Times New Roman"/>
          <w:sz w:val="18"/>
          <w:szCs w:val="18"/>
          <w:color w:val="auto"/>
        </w:rPr>
        <w:t>”) to Mr. Nelson on March 1, 2024. We paid the February Principal Amount and the February Loan Fee on March 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our Articles of Incorporation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CNTQ and Legacy Dragonfly consummated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pursuant to the Agreement and Plan of Merger, dated as of May 15, 2022 (as amended,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CNTQ changed its name to Dragonfly Energy Holdings Corp. This section describes the material provisions of certain additional agreements entered into pursuant to Business Combination, but does not purport to describe all of the terms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In connection with the Closing, CNTQ,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certain other CNTQ shareholders parties thereto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Legacy Dragonfly, and certain Legacy Dragonfly stockholders entered into an Amended and Restated Registration Rights Agreement (the “</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 Pursuant to the Amended Registration Rights Agreement, the Insiders and the undersigned parties listed thereto were provided the right to demand registrations, piggy-back registrations and shelf registrations with respect to Registrable Securities (as defined in the Amended Registration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Pursuant to the subscription agreement, dated as of May 15,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Chardan and the Sponsor, the Sponsor agreed to purchase, and Chardan agreed to sell to the Sponsor, an aggregate of 500,000 shares of CNTQ common stock (“</w:t>
      </w:r>
      <w:r>
        <w:rPr>
          <w:rFonts w:ascii="Times New Roman" w:cs="Times New Roman" w:eastAsia="Times New Roman" w:hAnsi="Times New Roman"/>
          <w:sz w:val="18"/>
          <w:szCs w:val="18"/>
          <w:b w:val="1"/>
          <w:bCs w:val="1"/>
          <w:color w:val="auto"/>
        </w:rPr>
        <w:t>CNTQ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for gross proceeds Chardan to Chardan of $5 million in a private placement. On September 28, 2022, the Sponsor and Chardan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New York limited liability company (“</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entered into an assignment, assumption and joinder agreement, pursuant to which the Sponsor assigned all of the Sponsor’s rights, benefits and obligations under the Subscription Agreement to CCM.</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commitment letter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dated May 15, 2022 by and between Chardan and Legacy Dragonfly, CCM Investments 5 LLC, an affiliate of CCM LLC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b w:val="1"/>
          <w:bCs w:val="1"/>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“Initial Term Loan Lenders”), in connection with the Closing, Chardan, Legacy Dragonfly and the Initial Term Loan Lenders entered into the Term Loan, Guarantee and Security Agreement (as amended to date,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Original Term Loan</w:t>
      </w:r>
      <w:r>
        <w:rPr>
          <w:rFonts w:ascii="Times New Roman" w:cs="Times New Roman" w:eastAsia="Times New Roman" w:hAnsi="Times New Roman"/>
          <w:sz w:val="18"/>
          <w:szCs w:val="18"/>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Backstop Lender committed to purchase from the Chardan Lender the aggregate amount of the Term 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Term Loan accrues interest as follows: (i) until April 1, 2024, at a per annum rate equal to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 7% payable in cash plus an amount ranging from 4.5% to 6.5%, depending on our senior leverage ratio; (ii) effective April 1, 2024 and thereafter, interest payable to certain lenders subject to regulations of the U.S. Small Business Administration (“</w:t>
      </w:r>
      <w:r>
        <w:rPr>
          <w:rFonts w:ascii="Times New Roman" w:cs="Times New Roman" w:eastAsia="Times New Roman" w:hAnsi="Times New Roman"/>
          <w:sz w:val="18"/>
          <w:szCs w:val="18"/>
          <w:b w:val="1"/>
          <w:bCs w:val="1"/>
          <w:color w:val="auto"/>
        </w:rPr>
        <w:t>SBA</w:t>
      </w:r>
      <w:r>
        <w:rPr>
          <w:rFonts w:ascii="Times New Roman" w:cs="Times New Roman" w:eastAsia="Times New Roman" w:hAnsi="Times New Roman"/>
          <w:sz w:val="18"/>
          <w:szCs w:val="18"/>
          <w:color w:val="auto"/>
        </w:rPr>
        <w:t>”)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of interest based on the Term Loan, are as follows:</w:t>
      </w:r>
    </w:p>
    <w:p>
      <w:pPr>
        <w:spacing w:after="0" w:line="225" w:lineRule="exact"/>
        <w:rPr>
          <w:sz w:val="20"/>
          <w:szCs w:val="20"/>
          <w:color w:val="auto"/>
        </w:rPr>
      </w:pPr>
    </w:p>
    <w:p>
      <w:pPr>
        <w:ind w:left="880" w:hanging="224"/>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April 1, 2024, was paid in cash.</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July 1, 2024, became payable-in-kind.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October 1, 2024, will be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payment date occurring on or after January 1, 2025, interest will be payable in cash.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of the foregoing cases, adjusted SOFR will be no less than 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we have guaranteed the obligations of Legacy Dragonfly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pursuant to which we pledged to the Administrative Agent our equity interests in Legacy Dragonfly as further collateral security for the obligations under the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CNTQ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53" w:lineRule="auto"/>
        <w:tabs>
          <w:tab w:leader="none" w:pos="2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29, 2023, September 29, 2023, December 29, 2023, May 13, 2024 and September 30, 2024, we obtained waivers from our Administrative Agent and Term Loan Lenders of our failures to satisfy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with respect to the minimum cash requirements under the Term Loan during the quarter ended March 31, 2023 September 30, 2023, December 31, 2023, March 31, 2024 and September 30, 2024, respectively. On March 31, 2024, April 29, 2024, June 28, 2024, July 31, 2024, August 30, 2024 , and September 30, 2024, we received additional waivers from the Administrative Agent and the Term Loan Lenders in regard to our compliance with the liquidity requirement under the Term Loan as of the last day of the fiscal quarters ended March 31, 2024 and September 30, 2024, and as of the last day of the fiscal month ended April 30, 2024, June 30, 2024, July 31, 2024 and August 31, 2024, respectively.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License Agreement by and among us, Legacy Dragonfly and Battle Born Battery Products, LLC, a newly formed wholly-owned subsidiary of Legacy Dragonfly, entered into a License Agreement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with Stryten Energy LLC, on July 29, 2024, us, Legacy Dragonfly and Battle Born LLC entered into a Limited Waiver, Consent and Second Amendment to the Term Loan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with the Term Loan Lenders under our Original Term Loan.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Second Amendment, the Term Loan Lenders (i) consented to the transactions contemplated by the License Agreement and the Trademark Transfer Agreement and (ii) agreed to waive the mandatory prepayment under the Loan Agreement that would have been due to the Term Loan Lenders under the Loan Agreement upon Battle Born LLC’s receipt of the Initial Licensing Fee.</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In connection with the Amendment, Battle Born LLC entered into a Joinder Agreement with the Term Loan Lenders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whereby Battle Born LLC became a guarantor and credit party to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2023, we entered into the June 2023 Offering, an aggregate of (i) 10,000,000 shares of our common stock, par value $0.0001, and (ii) the Investor Warrants, at the combined public offering price of $2.00 per share and accompanying Investor Warrant, less underwriting discounts and commissions, and (iii) the Underwriters’ Warrants.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In addition to the Underwriter, CCM also participated in the offering as an additional bookrunner.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and Waiver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we issued (i) the Original Penny Warrants to the Term Loan Lenders under the Term Loan to purchase 2,593,056 shares upon the exercise of at an exercise price of $0.01 per share, which was equal to approximately 5.6% of common stock calculated on an agreed fully diluted outstanding basis on the issuance date and (ii) $10 Warrants to the Term Loan Lenders under the Term Loan exercisable to purchase 1,600,000 shares of our common stock at an exercise price of $10.00 per share.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December 29, 2023, we received a waiver (the “</w:t>
      </w:r>
      <w:r>
        <w:rPr>
          <w:rFonts w:ascii="Times New Roman" w:cs="Times New Roman" w:eastAsia="Times New Roman" w:hAnsi="Times New Roman"/>
          <w:sz w:val="18"/>
          <w:szCs w:val="18"/>
          <w:b w:val="1"/>
          <w:bCs w:val="1"/>
          <w:color w:val="auto"/>
        </w:rPr>
        <w:t>December 2023 Waiver</w:t>
      </w:r>
      <w:r>
        <w:rPr>
          <w:rFonts w:ascii="Times New Roman" w:cs="Times New Roman" w:eastAsia="Times New Roman" w:hAnsi="Times New Roman"/>
          <w:sz w:val="18"/>
          <w:szCs w:val="18"/>
          <w:color w:val="auto"/>
        </w:rPr>
        <w:t>”) from the Term Loan Lenders (as defined below) in regards to our compliance with the fixed charge coverage ratio and maximum senior leverage ratio with respect to the minimum cash requirements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under the Term Loan (as defined below) as of the last day of the quarter ended December 31, 2023. The December 2023 Waiver provided for a one-time issuance of penny warrants (the “</w:t>
      </w:r>
      <w:r>
        <w:rPr>
          <w:rFonts w:ascii="Times New Roman" w:cs="Times New Roman" w:eastAsia="Times New Roman" w:hAnsi="Times New Roman"/>
          <w:sz w:val="18"/>
          <w:szCs w:val="18"/>
          <w:b w:val="1"/>
          <w:bCs w:val="1"/>
          <w:color w:val="auto"/>
        </w:rPr>
        <w:t>December 2023 Penny Warrants</w:t>
      </w:r>
      <w:r>
        <w:rPr>
          <w:rFonts w:ascii="Times New Roman" w:cs="Times New Roman" w:eastAsia="Times New Roman" w:hAnsi="Times New Roman"/>
          <w:sz w:val="18"/>
          <w:szCs w:val="18"/>
          <w:color w:val="auto"/>
        </w:rPr>
        <w:t>”) to purchase up to 1,286,671 shares of our common stock, at an exercise price of $0.01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May 13, 2024, we received a waiver (the “</w:t>
      </w:r>
      <w:r>
        <w:rPr>
          <w:rFonts w:ascii="Times New Roman" w:cs="Times New Roman" w:eastAsia="Times New Roman" w:hAnsi="Times New Roman"/>
          <w:sz w:val="18"/>
          <w:szCs w:val="18"/>
          <w:b w:val="1"/>
          <w:bCs w:val="1"/>
          <w:color w:val="auto"/>
        </w:rPr>
        <w:t>May 2024 Waiver</w:t>
      </w:r>
      <w:r>
        <w:rPr>
          <w:rFonts w:ascii="Times New Roman" w:cs="Times New Roman" w:eastAsia="Times New Roman" w:hAnsi="Times New Roman"/>
          <w:sz w:val="18"/>
          <w:szCs w:val="18"/>
          <w:color w:val="auto"/>
        </w:rPr>
        <w:t>”) from the Term Loan Lenders in regards to our compliance with the Tests as of the last day of the quarter ended March 31, 2024. The May 2024 Waiver provided for a one-time issuance of penny warrants (the “</w:t>
      </w:r>
      <w:r>
        <w:rPr>
          <w:rFonts w:ascii="Times New Roman" w:cs="Times New Roman" w:eastAsia="Times New Roman" w:hAnsi="Times New Roman"/>
          <w:sz w:val="18"/>
          <w:szCs w:val="18"/>
          <w:b w:val="1"/>
          <w:bCs w:val="1"/>
          <w:color w:val="auto"/>
        </w:rPr>
        <w:t>May 2024 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up to 2,550,000 shares of our common stock (the “</w:t>
      </w:r>
      <w:r>
        <w:rPr>
          <w:rFonts w:ascii="Times New Roman" w:cs="Times New Roman" w:eastAsia="Times New Roman" w:hAnsi="Times New Roman"/>
          <w:sz w:val="18"/>
          <w:szCs w:val="18"/>
          <w:b w:val="1"/>
          <w:bCs w:val="1"/>
          <w:color w:val="auto"/>
        </w:rPr>
        <w:t>May 2024 Penny Warrant Shares</w:t>
      </w:r>
      <w:r>
        <w:rPr>
          <w:rFonts w:ascii="Times New Roman" w:cs="Times New Roman" w:eastAsia="Times New Roman" w:hAnsi="Times New Roman"/>
          <w:sz w:val="18"/>
          <w:szCs w:val="18"/>
          <w:color w:val="auto"/>
        </w:rPr>
        <w:t>”), at an exercise price of $0.01 per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June 28, 2024, we received a limited waiver and first amendment to the Original Term Loan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from the Term Loan Lenders in regards to our compliance with the Tests as of the last day of the quarter ended June 30, 2024. The First Amendment provided for a one-time issuance of penny warrants (the “</w:t>
      </w:r>
      <w:r>
        <w:rPr>
          <w:rFonts w:ascii="Times New Roman" w:cs="Times New Roman" w:eastAsia="Times New Roman" w:hAnsi="Times New Roman"/>
          <w:sz w:val="18"/>
          <w:szCs w:val="18"/>
          <w:b w:val="1"/>
          <w:bCs w:val="1"/>
          <w:color w:val="auto"/>
        </w:rPr>
        <w:t>June 2024 Penny Warrants</w:t>
      </w:r>
      <w:r>
        <w:rPr>
          <w:rFonts w:ascii="Times New Roman" w:cs="Times New Roman" w:eastAsia="Times New Roman" w:hAnsi="Times New Roman"/>
          <w:sz w:val="18"/>
          <w:szCs w:val="18"/>
          <w:color w:val="auto"/>
        </w:rPr>
        <w:t>”) to purchase up to 2,100,000 shares of our common stock (the “</w:t>
      </w:r>
      <w:r>
        <w:rPr>
          <w:rFonts w:ascii="Times New Roman" w:cs="Times New Roman" w:eastAsia="Times New Roman" w:hAnsi="Times New Roman"/>
          <w:sz w:val="18"/>
          <w:szCs w:val="18"/>
          <w:b w:val="1"/>
          <w:bCs w:val="1"/>
          <w:color w:val="auto"/>
        </w:rPr>
        <w:t>June 2024 Penny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June 30, 2024. The June 2024 Penny Warrants were immediately exercisable upon issuance and will expire ten years from the date of issuance.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ending July 31, 2024 and (ii) provided for the interest to be paid on the Payment Date (as defined in the Term Loan) occurred on July 1, 2024 to be solely payable-in-kind.</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September 30, 2024, we received a limited waiver and third amendment to the Original Term Loan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from the Term Loan Lenders in regards to our compliance with the Tests as of the last day of the quarter ended September 30, 2024. The Third Amendment provided for a one-time issuance of penny warrant (the “</w:t>
      </w:r>
      <w:r>
        <w:rPr>
          <w:rFonts w:ascii="Times New Roman" w:cs="Times New Roman" w:eastAsia="Times New Roman" w:hAnsi="Times New Roman"/>
          <w:sz w:val="18"/>
          <w:szCs w:val="18"/>
          <w:b w:val="1"/>
          <w:bCs w:val="1"/>
          <w:color w:val="auto"/>
        </w:rPr>
        <w:t>September 2024 Penny Warrants</w:t>
      </w:r>
      <w:r>
        <w:rPr>
          <w:rFonts w:ascii="Times New Roman" w:cs="Times New Roman" w:eastAsia="Times New Roman" w:hAnsi="Times New Roman"/>
          <w:sz w:val="18"/>
          <w:szCs w:val="18"/>
          <w:color w:val="auto"/>
        </w:rPr>
        <w:t>”) to purchase up to 3,000,000 shares of our common stock (the “</w:t>
      </w:r>
      <w:r>
        <w:rPr>
          <w:rFonts w:ascii="Times New Roman" w:cs="Times New Roman" w:eastAsia="Times New Roman" w:hAnsi="Times New Roman"/>
          <w:sz w:val="18"/>
          <w:szCs w:val="18"/>
          <w:b w:val="1"/>
          <w:bCs w:val="1"/>
          <w:color w:val="auto"/>
        </w:rPr>
        <w:t>September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2024 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Loan for the quarter ended September 30, 2024. The September 2024 Penny Warrants were immediately exercisable upon issuance and will expire ten years from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As of October 7, 2024, 1,996,323 shares of common stock have been issued upon the exercise of Penny Warrants.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we and CCM we entered into the Original Purchase Agreement and the ChEF RRA with CCM in connection with the Closing. In addition, we appointed LifeSci Capital, LLC as “qualified independent underwriter” with respect to the transactions contemplated by the Purchase Agreement. On May 20, 2024, we entered into the A&amp;R Purchase Agreement with CCM to update the VWAP mechanics to include Intraday VWAP Purchases (as defined in the Original Purchase Agreement).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ChEF Equity Facility. During the year ended December 31, 2022, we did not sell any shares of our common stock under the ChEF Equity Facility. During the year ended December 31, 2023, we issued and sold approximately 588,500 shares of our common stock under the ChEF Equity Facility, resulting in net cash proceeds of $1,278,566. From January 1, 2024 through October 7, 2024, we issued and sold approximately 2,245,391 shares of our common stock under the ChEF Equity Facility, resulting in net cash proceeds of $1,705,193.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 w:cs="Times New Roman" w:eastAsia="Times New Roman" w:hAnsi="Times New Roman"/>
          <w:sz w:val="18"/>
          <w:szCs w:val="18"/>
          <w:i w:val="1"/>
          <w:iCs w:val="1"/>
          <w:color w:val="auto"/>
        </w:rPr>
        <w:t>https://dragonflyenergy.com/.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on October 7, 2022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transactions entered into since the adoption of the Policy have been approved by our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 of Directors and Attendance at Annual 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maintains a process for stockholders to communicate with the Board and its committees. Stockholders of Dragonfly and other interested persons may communicate with the Board or the chair of the Audit Committee, Compensation Committee, and the Nominating and Corporate Governance Committee by writing to the Secretary of Dragonfly at 1190 Trademark Drive, #108, Reno Nevada 89521. All communications that relate to matters that are within the scope of the responsibilities of the Board will be presented to the Board no later than the next regularly scheduled meeting. Communications that relate to matters that are within the responsibility of one of the Board committees will be forwarded to the chair of the appropriate committee. Communications that relate to ordinary business matters that are not within the scope of the Board’s responsibilities will be forwarded to the appropriate officer. Solicitations, junk mail and obviously frivolous or inappropriate communications will not be forwarded, but will be made available to any director who wishes to review them.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10% of a registered class of our securities to file with the SEC initial reports of ownership and reports of changes in ownership of common stock and other equity securities of the Company. Directors, executive officers and greater than 10% stockholders are required by SEC regulation to furnish us with copies of all Section 16(a) reports they file. To our knowledge, based solely on the review of the copies of these forms furnished to us and representations that no other reports were required, we believe that all forms required to be filed under Section 16 of the Exchange Act for the year ended December 31, 2023 were filed timely, except for the following: we filed a Form 4 for Karina Edmonds on August 30, 2023 to report her purchases of common stock on October 25, 2022 and 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Year 2023</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or paid to each person serving as our Chief Executive Officer during the fiscal year ended December 31, 2023, the two most highly-compensated executive officers (other than the Chief Executive Officer) who were serving as executive officers during the fiscal years ended December 31, 2023 and December 31, 2022, and up to two additional individuals for whom disclosure would have been provided but for the fact that such individuals were not serving as an executive officer as of December 31, 2023 for services rendered in all capacities to us for the fiscal year ended December 31, 2023. These individuals are our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for fiscal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3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Earnings ($)</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80" w:type="dxa"/>
            <w:vAlign w:val="bottom"/>
            <w:tcBorders>
              <w:bottom w:val="single" w:sz="8" w:color="CCEEFF"/>
            </w:tcBorders>
          </w:tcPr>
          <w:p>
            <w:pPr>
              <w:spacing w:after="0"/>
              <w:rPr>
                <w:sz w:val="20"/>
                <w:szCs w:val="20"/>
                <w:color w:val="auto"/>
              </w:rPr>
            </w:pPr>
          </w:p>
        </w:tc>
      </w:tr>
      <w:tr>
        <w:trPr>
          <w:trHeight w:val="209"/>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622,000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877,333</w:t>
            </w:r>
          </w:p>
        </w:tc>
        <w:tc>
          <w:tcPr>
            <w:tcW w:w="80" w:type="dxa"/>
            <w:vAlign w:val="bottom"/>
            <w:shd w:val="clear" w:color="auto" w:fill="CCEEFF"/>
          </w:tcPr>
          <w:p>
            <w:pPr>
              <w:spacing w:after="0"/>
              <w:rPr>
                <w:sz w:val="18"/>
                <w:szCs w:val="18"/>
                <w:color w:val="auto"/>
              </w:rPr>
            </w:pPr>
          </w:p>
        </w:tc>
      </w:tr>
      <w:tr>
        <w:trPr>
          <w:trHeight w:val="196"/>
        </w:trPr>
        <w:tc>
          <w:tcPr>
            <w:tcW w:w="80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8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Executive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Interim</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President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682,000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806,207</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1,531,545</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3,019,7524</w:t>
            </w:r>
          </w:p>
        </w:tc>
      </w:tr>
      <w:tr>
        <w:trPr>
          <w:trHeight w:val="196"/>
        </w:trPr>
        <w:tc>
          <w:tcPr>
            <w:tcW w:w="1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Sean Nichols(5)</w:t>
            </w:r>
          </w:p>
        </w:tc>
        <w:tc>
          <w:tcPr>
            <w:tcW w:w="58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615,891(6)</w:t>
            </w:r>
          </w:p>
        </w:tc>
        <w:tc>
          <w:tcPr>
            <w:tcW w:w="9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615,891</w:t>
            </w:r>
          </w:p>
        </w:tc>
      </w:tr>
      <w:tr>
        <w:trPr>
          <w:trHeight w:val="216"/>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598,462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655,587</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157,693(7)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1,411,742</w:t>
            </w: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81,666</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421,666</w:t>
            </w:r>
          </w:p>
        </w:tc>
      </w:tr>
      <w:tr>
        <w:trPr>
          <w:trHeight w:val="196"/>
        </w:trPr>
        <w:tc>
          <w:tcPr>
            <w:tcW w:w="80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8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Revenue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6"/>
        </w:trPr>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262,115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489,978</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1,052,093</w:t>
            </w:r>
          </w:p>
        </w:tc>
      </w:tr>
      <w:tr>
        <w:trPr>
          <w:trHeight w:val="196"/>
        </w:trPr>
        <w:tc>
          <w:tcPr>
            <w:tcW w:w="1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Tyler Bourns</w:t>
            </w:r>
          </w:p>
        </w:tc>
        <w:tc>
          <w:tcPr>
            <w:tcW w:w="58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280,000</w:t>
            </w:r>
          </w:p>
        </w:tc>
        <w:tc>
          <w:tcPr>
            <w:tcW w:w="8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39,333</w:t>
            </w:r>
          </w:p>
        </w:tc>
        <w:tc>
          <w:tcPr>
            <w:tcW w:w="60" w:type="dxa"/>
            <w:vAlign w:val="bottom"/>
          </w:tcPr>
          <w:p>
            <w:pPr>
              <w:spacing w:after="0"/>
              <w:rPr>
                <w:sz w:val="17"/>
                <w:szCs w:val="17"/>
                <w:color w:val="auto"/>
              </w:rPr>
            </w:pPr>
          </w:p>
        </w:tc>
        <w:tc>
          <w:tcPr>
            <w:tcW w:w="7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—(9)</w:t>
            </w:r>
          </w:p>
        </w:tc>
        <w:tc>
          <w:tcPr>
            <w:tcW w:w="130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319,333</w:t>
            </w:r>
          </w:p>
        </w:tc>
      </w:tr>
      <w:tr>
        <w:trPr>
          <w:trHeight w:val="216"/>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Marketing</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20" w:type="dxa"/>
            <w:vAlign w:val="bottom"/>
          </w:tcPr>
          <w:p>
            <w:pPr>
              <w:spacing w:after="0"/>
              <w:rPr>
                <w:sz w:val="20"/>
                <w:szCs w:val="20"/>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167,500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90,000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235,995</w:t>
            </w:r>
          </w:p>
        </w:tc>
        <w:tc>
          <w:tcPr>
            <w:tcW w:w="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493,495</w:t>
            </w: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 (10)</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227,692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107,667(10)</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510,359</w:t>
            </w:r>
          </w:p>
        </w:tc>
      </w:tr>
      <w:tr>
        <w:trPr>
          <w:trHeight w:val="196"/>
        </w:trPr>
        <w:tc>
          <w:tcPr>
            <w:tcW w:w="1620" w:type="dxa"/>
            <w:vAlign w:val="bottom"/>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w w:val="99"/>
              </w:rPr>
              <w:t>Former Senior Vice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316,153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769,366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645,998</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11,057(7)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1,742,574</w:t>
            </w:r>
          </w:p>
        </w:tc>
      </w:tr>
    </w:tbl>
    <w:p>
      <w:pPr>
        <w:spacing w:after="0" w:line="198" w:lineRule="exact"/>
        <w:rPr>
          <w:sz w:val="20"/>
          <w:szCs w:val="20"/>
          <w:color w:val="auto"/>
        </w:rPr>
      </w:pPr>
    </w:p>
    <w:p>
      <w:pPr>
        <w:ind w:left="46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the fiscal years ended December 31, 2023 and December 31, 2022.</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restricted stock awards granted to the NEOs for performance during the fiscal years ended December 31, 2023 and December 31, 2022 under the 2022 Plan (as defined below)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460" w:right="20" w:hanging="452"/>
        <w:spacing w:after="0" w:line="261"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the fiscal years ended December 31, 2023 and December 31, 2022 under our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Dr. Phares received a contingent cash award in the amount of $510,667 for services performed in December 31, 2023, which will not be paid out to Dr. Phares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we announced that Mr. Nichols would be stepping down as our Chief Operating Officer on November 7, 2022</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comprises of payments made to Mr. Nichols under his Separation Agreement (as defined below) and the transfer of the title of a Company van during the year ended December 31, 2023.</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comprises of payments made to Mr. Nichols under his Separation Agreement during the year ended December 31, 2022.</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Seaburg received a contingent cash award in the amount of $163,333 for services performed in December 31, 2023, which will not be paid out to Mr. Seaburg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jc w:val="both"/>
        <w:ind w:left="460" w:right="2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Bourns received a contingent cash award in the amount of $78,668 for services performed in December 31, 2023, which will not be paid out to Mr. Bourns until we have achieved a minimum cash balance of $30,000,000, subject to his continued employment on the date of</w:t>
      </w:r>
    </w:p>
    <w:p>
      <w:pPr>
        <w:sectPr>
          <w:pgSz w:w="11900" w:h="16914" w:orient="portrait"/>
          <w:cols w:equalWidth="0" w:num="1">
            <w:col w:w="11240"/>
          </w:cols>
          <w:pgMar w:left="320" w:top="657" w:right="339" w:bottom="0" w:gutter="0" w:footer="0" w:header="0"/>
        </w:sectPr>
      </w:pPr>
    </w:p>
    <w:bookmarkStart w:id="24" w:name="page25"/>
    <w:bookmarkEnd w:id="24"/>
    <w:p>
      <w:pPr>
        <w:ind w:left="452"/>
        <w:spacing w:after="0"/>
        <w:rPr>
          <w:sz w:val="20"/>
          <w:szCs w:val="20"/>
          <w:color w:val="auto"/>
        </w:rPr>
      </w:pPr>
      <w:r>
        <w:rPr>
          <w:rFonts w:ascii="Times New Roman" w:cs="Times New Roman" w:eastAsia="Times New Roman" w:hAnsi="Times New Roman"/>
          <w:sz w:val="18"/>
          <w:szCs w:val="18"/>
          <w:color w:val="auto"/>
        </w:rPr>
        <w:t>payment.</w:t>
      </w:r>
    </w:p>
    <w:p>
      <w:pPr>
        <w:spacing w:after="0" w:line="225" w:lineRule="exact"/>
        <w:rPr>
          <w:sz w:val="20"/>
          <w:szCs w:val="20"/>
          <w:color w:val="auto"/>
        </w:rPr>
      </w:pPr>
    </w:p>
    <w:p>
      <w:pPr>
        <w:jc w:val="both"/>
        <w:ind w:left="452" w:hanging="452"/>
        <w:spacing w:after="0" w:line="261" w:lineRule="auto"/>
        <w:tabs>
          <w:tab w:leader="none" w:pos="4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239,259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were forfeited.</w:t>
      </w:r>
    </w:p>
    <w:p>
      <w:pPr>
        <w:spacing w:after="0" w:line="179" w:lineRule="exact"/>
        <w:rPr>
          <w:rFonts w:ascii="Times New Roman" w:cs="Times New Roman" w:eastAsia="Times New Roman" w:hAnsi="Times New Roman"/>
          <w:sz w:val="18"/>
          <w:szCs w:val="18"/>
          <w:color w:val="auto"/>
        </w:rPr>
      </w:pPr>
    </w:p>
    <w:p>
      <w:pPr>
        <w:jc w:val="both"/>
        <w:ind w:left="452" w:hanging="452"/>
        <w:spacing w:after="0" w:line="266" w:lineRule="auto"/>
        <w:tabs>
          <w:tab w:leader="none" w:pos="4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Marchetti received a contingent cash award in the amount of $215,333.33 for services performed in December 31, 2023, which was not to be paid out to Mr. Marchetti until we had achieved a minimum cash balance of $30,000,000, subject to his continued employment on the date of payment. As a result of the termination of Mr. Marchetti’s employment, his contingent cash award was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Named Executive Officer Employment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dated as of October 11, 2022 with each of Dr. Phares and Mr. Marchetti. On November 7, 2022, we entered into an employment agreement with each of Mr. Seaburg and Mr. Bourns.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w:t>
      </w:r>
    </w:p>
    <w:p>
      <w:pPr>
        <w:jc w:val="both"/>
        <w:ind w:firstLine="8"/>
        <w:spacing w:after="0" w:line="252" w:lineRule="auto"/>
        <w:tabs>
          <w:tab w:leader="none" w:pos="2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him providing a release of claims to us and his continued compliance with the restrictive covenants in favor of us in the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with Mr. Nichols that became effective and fully irrevocable on November 2, 2022. Pursuant to the Separation Agreement, Mr. Nichols received a cash payment of $100,000 in one installment in December 2022 and received a cash payment of $1,000,000 in 24 monthly installments commencing in December 2022. Mr. Nichols’ outstanding equity awards granted by us fully vested and, in the case of options, was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20, 2023, upon mutual agreement between us and Mr. Marchetti, Mr. Marchetti resigned from his position as our Chief Financial Officer and continued in the role of Senior Vice President, Operations. In connection with Mr. Marchetti’s resignation, on August 20, 2023, the Board appointed Dr. Phares to succeed Mr. Marchetti as our Interim Chief Financial Officer.</w:t>
      </w:r>
    </w:p>
    <w:p>
      <w:pPr>
        <w:spacing w:after="0" w:line="17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Effective April 12, 2024, we entered into amendments to the employment agreements with Dr. Phares, Mr. Marchetti, Mr. Seaburg and Mr. Bourns to amend the terms of their annual equity compensation (the “</w:t>
      </w:r>
      <w:r>
        <w:rPr>
          <w:rFonts w:ascii="Times New Roman" w:cs="Times New Roman" w:eastAsia="Times New Roman" w:hAnsi="Times New Roman"/>
          <w:sz w:val="17"/>
          <w:szCs w:val="17"/>
          <w:b w:val="1"/>
          <w:bCs w:val="1"/>
          <w:color w:val="auto"/>
        </w:rPr>
        <w:t>Amended Employee Agreements</w:t>
      </w:r>
      <w:r>
        <w:rPr>
          <w:rFonts w:ascii="Times New Roman" w:cs="Times New Roman" w:eastAsia="Times New Roman" w:hAnsi="Times New Roman"/>
          <w:sz w:val="17"/>
          <w:szCs w:val="17"/>
          <w:color w:val="auto"/>
        </w:rPr>
        <w:t>”).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19, 2024, Mr. Marchetti’s employment with us as our Senior Vice President, Operations, was terminated.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our common stock held by each of the NEOs as of December 31, 2023, including the vesting dates for the portions of these awards that had not vested as of that date. The NEOs did not hold any other outstanding equity awards as of that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7"/>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Plan Awards: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30"/>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177,316</w:t>
            </w:r>
          </w:p>
        </w:tc>
        <w:tc>
          <w:tcPr>
            <w:tcW w:w="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12/5/2029</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132,995(1)</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103,423</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09/13/2031</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1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7,399</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06/09/2030</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3,965(2)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2,443</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10/19/2030</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51,716(3)</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36,940</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08/04/2031</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13,918(4)</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16,989</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12/06/2031</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4,555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12/06/2031</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27,716(5)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25,478</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12/06/2031</w:t>
            </w:r>
          </w:p>
        </w:tc>
      </w:tr>
    </w:tbl>
    <w:p>
      <w:pPr>
        <w:spacing w:after="0" w:line="183" w:lineRule="exact"/>
        <w:rPr>
          <w:sz w:val="20"/>
          <w:szCs w:val="20"/>
          <w:color w:val="auto"/>
        </w:rPr>
      </w:pPr>
    </w:p>
    <w:p>
      <w:pPr>
        <w:jc w:val="both"/>
        <w:ind w:left="340" w:hanging="332"/>
        <w:spacing w:after="0" w:line="203" w:lineRule="auto"/>
        <w:tabs>
          <w:tab w:leader="none" w:pos="340"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September 10, 2022, with the remaining shares vesting in equal monthly installments over a period of 36 months commencing on October 23641810, 2022. Mr. Marchetti’s employment with us ended on April 19, 2024. As a result, Mr. Marchetti’s vested options were terminated and his unvested options were forfeited on April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340" w:hanging="332"/>
        <w:spacing w:after="0" w:line="188" w:lineRule="auto"/>
        <w:tabs>
          <w:tab w:leader="none" w:pos="34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October 14, 2021, with the remaining shares vesting in equal monthly installments over a period of 36 months commencing on November 14, 2021.</w:t>
      </w:r>
    </w:p>
    <w:p>
      <w:pPr>
        <w:ind w:left="340" w:right="20" w:hanging="332"/>
        <w:spacing w:after="0" w:line="182" w:lineRule="auto"/>
        <w:tabs>
          <w:tab w:leader="none" w:pos="34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August 4, 2022, with the remaining shares vesting in equal monthly installments over a period of 36 months commencing on September 4, 2022.</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2" w:lineRule="auto"/>
        <w:tabs>
          <w:tab w:leader="none" w:pos="34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December 6, 2021, with the remaining shares vesting in equal monthly installments over a period of 36 months commencing on January 6, 2022.</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2" w:lineRule="auto"/>
        <w:tabs>
          <w:tab w:leader="none" w:pos="34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November 23, 2022, with the remaining shares vesting in equal monthly installments over a period of 36 months commencing on December 23,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services performed during the year ended December 31, 2023, on April 12, 2024, Dr. Phares was granted 567,407 RSUs, Mr. Marchetti was granted 239,259 RSUs, Mr. Seaburg was granted 181,481 RSUs, and Mr. Bourns was granted 87,407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$510,667 to Dr. Phares; (ii) $215,333 to Mr. Marchetti, (iii) $163,333 to Mr. Seaburg; and (iv) $78,668 to Mr. Bourns. Each of the approved cash awards will not be paid out to the employees until we have achieved a minimum cash balance of $30,000,000, and are subject to each employee’s continued employment on the date of payment.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termination of Mr. Marchetti’s employment, his 239,259 RSUs and cash award of $215,333.33 were forfeited.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Business Combination, our Board and stockholders adopted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which provides for the grant of incentive stock options and non-qualified stock options to purchase shares of our common stock and other types of awards, as well as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2022 Plan, we seek to retain the services of such eligible persons and to provide incentives for such persons to exert maximum efforts for our success and the success of our subsidiaries.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Also, in connection with the Business Combination, our Board and stockholders approved the adoption of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in connection with the consummation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Director compensation is intended to provide an appropriate level of remuneration considering the responsibilities, time requirements, and accountability of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awarded to, earned by, or paid to our Non-Employee Directors for services on our Board during the year ended December 31, 2023. Dr. Phares did not receive any additional compensation for his service on the Board during the year ended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3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77"/>
              </w:rPr>
              <w:t>—</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158,800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 Ph.D.</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68,800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168,800</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98,800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198,800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73,800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173,800</w:t>
            </w: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158,800</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F-33 of our Notes to Consolidated Financial Statements included this prospectus. As of October 7, 2024, each Non-Employee Director held 222,222 unvested RSUs.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following options remained outstanding: (i) Luisa Ingargiola held options exercisable for 75,852 shares of common stock; and (ii) Brian Nelson held options exercisable for 39,420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 policy that provides for cash and equity compensation for members of our Board of directors who are not employed by us or any of our subsidiaries (our “</w:t>
      </w: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8"/>
          <w:szCs w:val="18"/>
          <w:color w:val="auto"/>
        </w:rPr>
        <w:t>”). The policy provides that each Non-Employee Director is entitled to receive the following cash compensation for Board service, as applicable:</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Compensation Committee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may change the terms of our director compensation policy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12, 2024, we granted each of our Non-Employee Directors then serving on the Board (i.e. Jonathan Bellows, Perry Boyle, Karina Montilla Edmonds, Luisa Ingargiola, Brian Nelson, and Rick Parod) an award of 222,222 RSUs units under the 2022 Plan that are eligible to vest in three equal annual installments, beginning on the first anniversary of the grant date, subject to the director’s continued service on the Board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members of the Audit Committee of the Board of Directors of Dragonfly Energy Holdings Corp. submit this report in connection with the Audit Committee’s review of the financial reports for the fiscal year ended December 31, 2023 as follows:</w:t>
      </w:r>
    </w:p>
    <w:p>
      <w:pPr>
        <w:spacing w:after="0" w:line="162" w:lineRule="exact"/>
        <w:rPr>
          <w:sz w:val="20"/>
          <w:szCs w:val="20"/>
          <w:color w:val="auto"/>
        </w:rPr>
      </w:pPr>
    </w:p>
    <w:p>
      <w:pPr>
        <w:ind w:left="340" w:right="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with management the audited financial statements for the Company for the fiscal year ended December 31, 2023.</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representatives of Marcum LLP the independent public accounting firm, the matters which are required to be discussed with them under the provisions of Auditing Standard No. 61, as amended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Marcum LLP the independent public accounting firm, the auditors’ independence from management and the Company has received the written disclosures and the letter from the independent auditors required by applicable requirements of the Public Company Accounting Oversight Board.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(and the Board of Directors has approved) that the audited financial statements be included in our Annual Report on Form 10-K for the fiscal year ended December 31, 2023 for filing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Dragonfly Energy Holdings Corp.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Luisa Ingargiola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Rick Parod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Perry Boyle</w:t>
      </w:r>
    </w:p>
    <w:p>
      <w:pPr>
        <w:spacing w:after="0" w:line="207" w:lineRule="exact"/>
        <w:rPr>
          <w:sz w:val="20"/>
          <w:szCs w:val="20"/>
          <w:color w:val="auto"/>
        </w:rPr>
      </w:pPr>
    </w:p>
    <w:p>
      <w:pPr>
        <w:jc w:val="both"/>
        <w:ind w:left="340" w:hanging="332"/>
        <w:spacing w:after="0" w:line="261"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October 7, 2024, with respect to the beneficial ownership of the outstanding common stock by (i) any holder of more than five (5%) percent; (ii) each of the Company’s named executive officers and directors; and (iii) the Company’s directors and executive officers as a group. Except as otherwise indicated, each of the stockholders listed below has sole voting and investment power over the shares beneficially owned.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October 7, 2024 (“</w:t>
      </w:r>
      <w:r>
        <w:rPr>
          <w:rFonts w:ascii="Times New Roman" w:cs="Times New Roman" w:eastAsia="Times New Roman" w:hAnsi="Times New Roman"/>
          <w:sz w:val="18"/>
          <w:szCs w:val="18"/>
          <w:b w:val="1"/>
          <w:bCs w:val="1"/>
          <w:color w:val="auto"/>
        </w:rPr>
        <w:t>Presently Exercisable Securities</w:t>
      </w:r>
      <w:r>
        <w:rPr>
          <w:rFonts w:ascii="Times New Roman" w:cs="Times New Roman" w:eastAsia="Times New Roman" w:hAnsi="Times New Roman"/>
          <w:sz w:val="18"/>
          <w:szCs w:val="18"/>
          <w:color w:val="auto"/>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not deemed any of the shares of common stock currently issuable pursuant to the ChEF Equity Facility to be outstanding because the issuance of such shares is solely at our discretion and is subject to certain conditions, the satisfaction of all of which are outside of CCM’s control.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reflects 62,776,944 shares common stock outstanding as of October 7, 2024 plus any shares issuable upon exercise of Presently Exercisable Securities held by such person or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Dragonfly Energy Holdings Corp., 1190 Trademark Drive #108, Reno, Nevada 89521.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 and Nature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Beneficial</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10"/>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Dynavolt Technology (HK) Ltd. </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11,820,900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w:t>
            </w:r>
          </w:p>
        </w:tc>
      </w:tr>
      <w:tr>
        <w:trPr>
          <w:trHeight w:val="216"/>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Dr. Denis Phares </w:t>
            </w:r>
            <w:r>
              <w:rPr>
                <w:rFonts w:ascii="Times New Roman" w:cs="Times New Roman" w:eastAsia="Times New Roman" w:hAnsi="Times New Roman"/>
                <w:sz w:val="29"/>
                <w:szCs w:val="29"/>
                <w:color w:val="auto"/>
                <w:vertAlign w:val="superscript"/>
              </w:rPr>
              <w:t>(2)(3)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16,208,889</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25.74%</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Sean Nichols </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John Marchetti </w:t>
            </w:r>
            <w:r>
              <w:rPr>
                <w:rFonts w:ascii="Times New Roman" w:cs="Times New Roman" w:eastAsia="Times New Roman" w:hAnsi="Times New Roman"/>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Wade Seaburg </w:t>
            </w:r>
            <w:r>
              <w:rPr>
                <w:rFonts w:ascii="Times New Roman" w:cs="Times New Roman" w:eastAsia="Times New Roman" w:hAnsi="Times New Roman"/>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242,541</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Tyler Bourns </w:t>
            </w:r>
            <w:r>
              <w:rPr>
                <w:rFonts w:ascii="Times New Roman" w:cs="Times New Roman" w:eastAsia="Times New Roman" w:hAnsi="Times New Roman"/>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70,712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Luisa Ingargiola </w:t>
            </w:r>
            <w:r>
              <w:rPr>
                <w:rFonts w:ascii="Times New Roman" w:cs="Times New Roman" w:eastAsia="Times New Roman" w:hAnsi="Times New Roman"/>
                <w:sz w:val="29"/>
                <w:szCs w:val="29"/>
                <w:color w:val="auto"/>
                <w:vertAlign w:val="superscript"/>
              </w:rPr>
              <w:t>(7)</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127,522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Brian Nelson </w:t>
            </w:r>
            <w:r>
              <w:rPr>
                <w:rFonts w:ascii="Times New Roman" w:cs="Times New Roman" w:eastAsia="Times New Roman" w:hAnsi="Times New Roman"/>
                <w:sz w:val="29"/>
                <w:szCs w:val="29"/>
                <w:color w:val="auto"/>
                <w:vertAlign w:val="superscript"/>
              </w:rPr>
              <w:t>(8)</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91,101</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52,000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30,300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and Directors as a group (9 persons):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16,883,065</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1" w:lineRule="exact"/>
        <w:rPr>
          <w:sz w:val="20"/>
          <w:szCs w:val="20"/>
          <w:color w:val="auto"/>
        </w:rPr>
      </w:pPr>
    </w:p>
    <w:p>
      <w:pPr>
        <w:ind w:left="340" w:hanging="332"/>
        <w:spacing w:after="0" w:line="28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Dynavolt Technology (HK) Ltd. (“</w:t>
      </w:r>
      <w:r>
        <w:rPr>
          <w:rFonts w:ascii="Times New Roman" w:cs="Times New Roman" w:eastAsia="Times New Roman" w:hAnsi="Times New Roman"/>
          <w:sz w:val="18"/>
          <w:szCs w:val="18"/>
          <w:b w:val="1"/>
          <w:bCs w:val="1"/>
          <w:color w:val="auto"/>
        </w:rPr>
        <w:t>Dynavolt</w:t>
      </w:r>
      <w:r>
        <w:rPr>
          <w:rFonts w:ascii="Times New Roman" w:cs="Times New Roman" w:eastAsia="Times New Roman" w:hAnsi="Times New Roman"/>
          <w:sz w:val="18"/>
          <w:szCs w:val="18"/>
          <w:color w:val="auto"/>
        </w:rPr>
        <w:t>”) on October 12, 2022. The business address of Dynavolt is Flat/Room 02-03 26/F, Bea Tower Millennium City 5, 418 Kwun Tong Road, Kwun Tong, Hong Kong.</w:t>
      </w:r>
    </w:p>
    <w:p>
      <w:pPr>
        <w:spacing w:after="0" w:line="15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25,000,000 shares of common stock not yet payable as the earnout contingencies have not yet been met and will not be met within 60 days of October 7,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1,217,906 shares held on behalf of the Phares 2021 GRAT dated July 9, 2021, of which Dr. Phares is the trustee, and (ii) 177,316 shares of common stock issuable upon exercise of outstanding stock options exercisable within 60 days of October 7, 2024.</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19, 2024, Mr. Marchetti’s employment with us was terminated. As a result, his vested options were forfeited and his unvested options were terminated on such date.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114,289 shares of common stock issuable upon exercise of outstanding stock options exercisable within 60 days of October 7,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39,915 shares of common stock issuable upon exercise of outstanding stock options exercisable within 60 days of October 7,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97,522 shares of common stock issuable upon exercise of outstanding stock options exercisable within 60 days of October 7,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61,101 shares of common stock issuable upon exercise of outstanding stock options exercisable within 60 days of October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001"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REVERSE STOCK SPLIT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6, 2024 , the Board unanimously adopted resolutions approving, declaring advisable and recommending to our stockholders for their approval of the effectuation of a reverse stock split pursuant to Nevada Revised Statutes 78.2055 (as amended by the Nevada Legislature in 2023 pursuant to Assembly Bill No. 126), with a ratio in the range of not less than one-for-five (1:5) and not greater than one-for-twenty (1:20), with the exact ratio to be determined by our Board in its discretion at any time within one year after stockholder approval is obtained, to regain compliance with the $1.00 minimum bid price continued listing requirement), with respect to the then-issued and outstanding shares of our common stock. The Reverse Stock Split will also affect then-outstanding options and warrants. The Reverse Stock Split will not affect the number of our authorized shares of common stock.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this proposal will grant our Board the authority, without further action by our stockholders, to carry out the Reverse Stock Split any time within one year after stockholder approval is obtained, with the exact exchange ratio and timing to be determined at the discretion of our Board (within the range indicated above) and set forth in a public announcement. Even if our stockholders approve this proposal, our Board may determine in its discretion to abandon and not to effectuate the Reverse Stock Split. In addition, our Board may determine to effect the Reverse Stock Split even if the trading price of our shares of our common stock is at or above $1.00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The continued listing requirements of the Nasdaq Capital Market provide, among other things, that our common stock must maintain a closing bid price in excess of $1.00 per share. On December 12, 2023, we received a written notice from the Listing Qualifications Department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notifying us that, for thirty (30) consecutive business days preceding the receipt of the notice, the bid price for our common stock had closed below the minimum $1.00 per share requirement set forth in Nasdaq Listing Rule 5450(a)(1) for continued listing on The Nasdaq Global Market (the “</w:t>
      </w:r>
      <w:r>
        <w:rPr>
          <w:rFonts w:ascii="Times New Roman" w:cs="Times New Roman" w:eastAsia="Times New Roman" w:hAnsi="Times New Roman"/>
          <w:sz w:val="18"/>
          <w:szCs w:val="18"/>
          <w:b w:val="1"/>
          <w:b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w:t>
      </w:r>
      <w:r>
        <w:rPr>
          <w:rFonts w:ascii="Times New Roman" w:cs="Times New Roman" w:eastAsia="Times New Roman" w:hAnsi="Times New Roman"/>
          <w:sz w:val="18"/>
          <w:szCs w:val="18"/>
          <w:color w:val="auto"/>
        </w:rPr>
        <w:t>”). We were provided an initial period of one hundred eighty (180) calendar days, or until June 10, 2024, to regain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Minimum Bid Price Requirement.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on June 7, 2024 of both our application to transfer from The Nasdaq Global Market to The Nasdaq Capital Market and written notification by us of our intent to regain compliance with the Minimum Bid Price Requirement, including by effecting a reverse stock split, if necessary, the Staff notified us in a letter dated June 11, 2024 (the “</w:t>
      </w:r>
      <w:r>
        <w:rPr>
          <w:rFonts w:ascii="Times New Roman" w:cs="Times New Roman" w:eastAsia="Times New Roman" w:hAnsi="Times New Roman"/>
          <w:sz w:val="18"/>
          <w:szCs w:val="18"/>
          <w:b w:val="1"/>
          <w:bCs w:val="1"/>
          <w:color w:val="auto"/>
        </w:rPr>
        <w:t>Second Nasdaq Notice</w:t>
      </w:r>
      <w:r>
        <w:rPr>
          <w:rFonts w:ascii="Times New Roman" w:cs="Times New Roman" w:eastAsia="Times New Roman" w:hAnsi="Times New Roman"/>
          <w:sz w:val="18"/>
          <w:szCs w:val="18"/>
          <w:color w:val="auto"/>
        </w:rPr>
        <w:t>”), that we are eligible for an additional one hundred eighty (180) calendar day period, or until December 6, 2024, to regain compliance (the “</w:t>
      </w:r>
      <w:r>
        <w:rPr>
          <w:rFonts w:ascii="Times New Roman" w:cs="Times New Roman" w:eastAsia="Times New Roman" w:hAnsi="Times New Roman"/>
          <w:sz w:val="18"/>
          <w:szCs w:val="18"/>
          <w:b w:val="1"/>
          <w:bCs w:val="1"/>
          <w:color w:val="auto"/>
        </w:rPr>
        <w:t>Second Compliance Period</w:t>
      </w:r>
      <w:r>
        <w:rPr>
          <w:rFonts w:ascii="Times New Roman" w:cs="Times New Roman" w:eastAsia="Times New Roman" w:hAnsi="Times New Roman"/>
          <w:sz w:val="18"/>
          <w:szCs w:val="18"/>
          <w:color w:val="auto"/>
        </w:rPr>
        <w:t>”). If at any time during this period the bid price of our common stock closes at or above $1.00 per share for a minimum of ten, and generally not more than twenty (20), consecutive business days, the Staff will provide us with written confirmation of compliance and the matter will be closed. The Staff’s determination was based, in part, on our meeting the applicable requirements for initial listing on The Nasdaq Capital Market except for the Minimum Bid Price Requirement. As of the opening of business on June 12, 2024, our common stock began trading on The Nasdaq Capital Market, where it has continued trading under the symbol “DFLI”.</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determined that the continued listing of our common stock on the Nasdaq Capital Market is beneficial for our stockholders. The delisting of our common stock from the Nasdaq Capital Market would likely have very serious consequences for us and our stockholders. If our common stock is delisted from the Nasdaq Capital Market, our Board believes that the trading market for our common stock could become significantly less liquid, which could reduce the trading price of our common stock and increase the transaction costs of trading in shares of our common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this proposal will grant our Board the authority, without further action by our stockholders, to carry out the Reverse Stock Split at any time within one year after stockholder approval is obtained, with the exact exchange ratio (within the range indicated above) and timing to be determined at the discretion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Even if our stockholders approve this proposal, our Board may determine in its discretion not to effect the Reverse Stock Split.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proposal is approved and our Board determines to effect the Reverse Stock Split, the exact timing will be determined at the discretion of our Board and set forth in a public announcement.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this proposal is approved, no further action on the part of stockholders would be required to either effect or abandon the Reverse Stock Split. If our Board does not implement the Reverse Stock Split within one year after stockholder approval is obtained, the authority granted in this proposal to implement the Reverse Stock Split will terminate. Our Board reserves its right to elect not to proceed and abandon the Reverse Stock Split if it determines, in its sole discretion, that this proposal is no longer in the best interests of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purpose of the Reverse Stock Split is to decrease the total number of shares of our common stock outstanding and proportionately increase the market price of our common stock above $1.00 per share in order to meet the continuing listing requirements of the Nasdaq Capital Market. Accordingly, our Board approved the Reverse Stock Split Proposal in order to help ensure that the share price of our common stock meets the continued listing requirements of the Nasdaq Capital Market. Our Board intends to effect the Reverse Stock Split only if it believes that a decrease in the number of shares outstanding is in our and our stockholders’ best interests and is likely to improve the trading price of the shares of our common stock and improve the likelihood that we will be allowed to maintain our continued listing on the Nasdaq Capital Market. Our Board may determine to effect the Reverse Stock Split even if the trading price of our common stock is at or above $1.00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believes that stockholder approval of a range of Reverse Stock Split ratios (rather than a single exchange ratio) is in the best interests of our stockholders because it provides our Board with the flexibility to achieve the desired results of the Reverse Stock Split and because it is not possible to predict market conditions at the time the Reverse Stock Split would be implemented. If stockholders approve this proposal, our Board would carry out a reverse stock split only upon our Board’s determination that a reverse stock split would be in the best interests of our stockholders at that time. Our Board would then set the ratio for the Reverse Stock Split within the range approved by stockholders and in an amount it determines is advisable and in the best interests of the stockholders considering relevant market conditions at the time the Reverse Stock Split is to be implemented. In determining the Reverse Stock Split ratio, following receipt of stockholder approval, our board of the directors may consider numerous factors including:</w:t>
      </w:r>
    </w:p>
    <w:p>
      <w:pPr>
        <w:spacing w:after="0" w:line="189"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projected performance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other related conditions prevailing in our industry and in the marketplace;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impact of the Reverse Stock Split ratio on trading liquidity in our common stock and our ability to maintain continued listing on the Nasdaq Capital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capitalization (including the number of shares of our common stock issued and outstanding);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for our common stock and the volume level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devaluation of our market capitalization as a result of the Reverse Stock Split.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intends to select a Reverse Stock Split ratio (within the range indicated above) that it believes would be most likely to achieve the anticipated benefits of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Stock Split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voting on this proposal, stockholders should consider the following risks associated with effecting the Reverse Stock Split: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the principal purpose of the Reverse Stock Split is to increase the market price of our common stock in order to meet the continuing listing requirements of the Nasdaq Capital Market. However, the Reverse Stock Split, if effected, may not increase the market price of our common stock in proportion to the reduction in the number of shares of our common stock outstanding, or at all. If the proposed Reverse Stock Split does result in an increase in the market price of our common stock, the increase may not be long-term or permanent. The market price of our common stock is dependent on many factors, including our business and financial performance, general market conditions, prospects for future growth and other factors detailed from time to time in the reports we file with the SEC. We cannot predict the effect that the Reverse Stock Split may have upon the market price of our common stock with any certainty, and the history of similar reverse stock splits for companies in similar circumstances to ours is varied.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w:t>
      </w:r>
    </w:p>
    <w:p>
      <w:pPr>
        <w:spacing w:after="0" w:line="1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stockholders approve the Reverse Stock Split and the Reverse Stock Split is effected, there can be no assurance that we will continue to meet the continued listing requirements of the Nasdaq Capital Market.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 Although our Board believes that the decrease in the number of shares of common stock outstanding as a consequence of the Reverse Stock Split and the anticipated increase in the market price of common stock could encourage interest in our common stock and possibly promote greater liquidity for stockholders, such liquidity could also be adversely affected by the reduced number of shares outstanding after the Reverse Stock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Reverse Stock Split is approved and effected with respect to our issued and outstanding common stock, each holder of common stock outstanding immediately prior to the effectiveness of the Reverse Stock Split will own a reduced number of shares of common stock upon effectiveness of the Reverse Stock Split. The Reverse Stock Split would be effected simultaneously for all outstanding shares of common stock at the same exchange ratio. Except for adjustments that may result from the treatment of fractional shares (as described below), the Reverse Stock Split would affect all stockholders uniformly and would not change any stockholder’s percentage ownership interest in us. The relative voting rights and other rights and preferences that accompany the shares of common stock will not be affected by the Reverse Stock Split. Shares of common stock issued pursuant to the Reverse Stock Split will remain fully paid and nonassessable.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Reverse Stock Split will not affect the number of authorized shares of common stock. Although the Reverse Stock Split will not, by itself, have any immediate dilutive effect on stockholders, the proportion of shares owned by stockholders relative to the number of shares authorized for issuance will decrease because the number of authorized shares of common stock would remain unchanged. As a result, additional authorized shares of common stock would become available for issuance at such times and for such purposes as our Board may deem advisable without further action by stockholders, except as required by applicable law or stock exchange rules. To the extent that additional authorized shares of common stock are issued in the future, such shares could be dilutive to our existing stockholders by decreasing such stockholders’ percentage of equity ownership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Assuming this proposal is approved by the shareholders and implemented by the Board: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Current </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1:10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Authorized</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62,776,944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12,555,389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6,277,694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3,138,847</w:t>
            </w:r>
          </w:p>
        </w:tc>
        <w:tc>
          <w:tcPr>
            <w:tcW w:w="0" w:type="dxa"/>
            <w:vAlign w:val="bottom"/>
          </w:tcPr>
          <w:p>
            <w:pPr>
              <w:spacing w:after="0"/>
              <w:rPr>
                <w:sz w:val="1"/>
                <w:szCs w:val="1"/>
                <w:color w:val="auto"/>
              </w:rPr>
            </w:pPr>
          </w:p>
        </w:tc>
      </w:tr>
      <w:tr>
        <w:trPr>
          <w:trHeight w:val="201"/>
        </w:trPr>
        <w:tc>
          <w:tcPr>
            <w:tcW w:w="4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Number of Shares of Common Stock Reserved for Issuance</w:t>
            </w:r>
          </w:p>
        </w:tc>
        <w:tc>
          <w:tcPr>
            <w:tcW w:w="160" w:type="dxa"/>
            <w:vAlign w:val="bottom"/>
          </w:tcPr>
          <w:p>
            <w:pPr>
              <w:spacing w:after="0"/>
              <w:rPr>
                <w:sz w:val="17"/>
                <w:szCs w:val="17"/>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89,397,996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17,879,599</w:t>
            </w:r>
          </w:p>
        </w:tc>
        <w:tc>
          <w:tcPr>
            <w:tcW w:w="26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8,939,800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4,469,900</w:t>
            </w: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Shares of Common Stock Authorized but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Unissued and Unreserved</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97,825,435</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219,565,087</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234,782,544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242,391,272</w:t>
            </w:r>
          </w:p>
        </w:tc>
        <w:tc>
          <w:tcPr>
            <w:tcW w:w="0" w:type="dxa"/>
            <w:vAlign w:val="bottom"/>
          </w:tcPr>
          <w:p>
            <w:pPr>
              <w:spacing w:after="0"/>
              <w:rPr>
                <w:sz w:val="1"/>
                <w:szCs w:val="1"/>
                <w:color w:val="auto"/>
              </w:rPr>
            </w:pPr>
          </w:p>
        </w:tc>
      </w:tr>
      <w:tr>
        <w:trPr>
          <w:trHeight w:val="201"/>
        </w:trPr>
        <w:tc>
          <w:tcPr>
            <w:tcW w:w="4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Price per share, based on the closing price of our Common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Stock on October 7, 2024 </w:t>
            </w:r>
            <w:r>
              <w:rPr>
                <w:rFonts w:ascii="Times New Roman" w:cs="Times New Roman" w:eastAsia="Times New Roman" w:hAnsi="Times New Roman"/>
                <w:sz w:val="29"/>
                <w:szCs w:val="29"/>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provided is as of October 7, 2024.</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5,469,125 shares of Common Stock issuable upon exercise of stock options, with a weighted average exercise price of $0.92 per share, under our 2019 Plan, our 2021 Plan, and our 2022 Plan, (ii) 4,828,800 shares of Common Stock available for future issuance under our 2022 Plan, (iii) 3,249,433 shares of Common Stock available for future issuance under our 2022 ESPP, (iv) 10,923,905 shares of Common Stock issuable upon exercise of outstanding public warrants, with an exercise price of $11.50 per share, (v) 570,250 shares of Common Stock issuable upon the exercise of outstanding underwriter warrants, with an exercise price of $2.50 per share, (vi) 9,555,034 share of Common Stock issuable upon the exercise of outstanding penny warrants, with an exercise price of $0.01 per share, (vii) 11,131,900 shares of Common Stock issuable upon the exercise of outstanding investor warrants, with an exercise price of $2.00 per share, and (viii) 18,669,549 shares reserved for future issuance under our ChEF Equity Facility.</w:t>
      </w:r>
    </w:p>
    <w:p>
      <w:pPr>
        <w:spacing w:after="0" w:line="19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indicated reflects solely the application of the applicable reverse split ratio to the closing price of $0.55 of our Common Stock on October 7,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Reverse Stock Split will have no effect on the number of authorized shares of preferred stock or the par value of the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the Equity Incentive Plans, Outstanding Options and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Reverse Stock Split is approved and effected, the total number of shares of common stock reserved for issuance under our equity incentive plans would be reduced in proportion to the ratio selected by our Board. The total number of shares of common stock reserved for issuance pursuant to outstanding but unexercised warrants would be reduced in proportion to the Reverse Stock Split ratio.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our outstanding equity awards, options and warrants, the Reverse Stock Split would adjust and proportionately reduce the number of shares of common stock issuable upon exercise or vesting of such awards, options and warrants in the same ratio of the Reverse Stock Split and, correspondingly, would proportionately increase the exercise or purchase price, if any, of all such awards, options and warrants. The number of shares of common stock issuable upon exercise or vesting of outstanding equity awards, options and warrants and the exercise or purchase price related thereto, if any, would be equitably adjusted in accordance with the terms of the equity incentive plans or warrants, which may include rounding the number of shares of common stock issuable down to the nearest whole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Anti-Takeover Effect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us (for example, by permitting issuances that would dilute the stock ownership of a person or entity seeking to effect a change in the composition of our Board or contemplating a tender offer or other change in control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is not presently aware of any attempt, or contemplated attempt, to acquire control of us, and the Reverse Stock Split Proposal is not part of any plan by our Board to recommend or implement any anti-takeover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Reverse Stock Split will not affect the par value of our common stock. As a result, at the effective time of the Reverse Stock Split, the stated capital on our balance sheet attributable to the common stock will be reduced in the same proportion as the Reverse Stock Split ratio, and the additional paid-in capital account will be credited with the amount by which the stated capital is reduced. The per share net income or loss will be restated for prior periods to conform to the post-Reverse Stock Split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Mechanics of the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Registered “Book-Entry” Holders of our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common stock hold some or all of their common stock electronically in book-entry or “street name” form under the direct registration system for securities. These stockholders will not have stock certificates evidencing their ownership. They are, however, provided with a statement reflecting the number of shares of common stock registered in their accounts. If you hold registered common stock in book-entry form, you do not need to take any action to receive your post-split shares, if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not issue fractional shares in connection with the Reverse Stock Split, if implemented. Instead, stockholders who otherwise would be entitled to receive fractional shares because they hold a number of shares not evenly divisible by the Reverse Stock Split ratio will automatically be entitled to receive an additional fraction of a share of common stock to round up to the next whole share. In any event, cash will not be paid for fractional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or Appraisal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any dissenter’s or appraisal rights with respect to the Reverse Stock Split, and we will not independently provide stockholders with any such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of the Reverse Stock Split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describes, as of the date of this proxy statement, certain U.S. federal income tax consequences of the Reverse Stock Split to holders of our common stock. This summary addresses the tax consequences only to a U.S. holder, which is a beneficial owner of our common stock that is either:</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U.S. persons has the authority to control all of its substantial decisions or (ii) it was in existence before August 20, 1996 and a valid election is in place under applicable Treasury regulations to treat such trust as a U.S. person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summary is based on the provisions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U.S. Treasury regulations, administrative rulings and judicial authority, all as in effect as of the date of this proxy statement. Subsequent developments in U.S. federal income tax law, including changes in law or differing interpretations, which may be applied retroactively, could have a material effect on the U.S. federal income tax consequences of the Reverse Stock Split. We have not sought, and will not seek, an opinion of counsel or a ruling from the Internal Revenue Service regarding the U.S. federal income tax consequences of the Reverse Stock Split, and there can be no assurance that the Internal Revenue Service will not challenge the statements and conclusions set forth below or that a court would not sustain any such challenge.</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certain former U.S. citizens and lawful permanent residents of the United States, persons subject to the alternative minimum tax, persons whose functional currency is not the U.S. dollar, partnerships or other pass-through entities (including S-corporations), traders in securities that elect to mark-to-market and dealers in securities or currencies, (ii) persons that hold our common stock as part of a position in a “straddle” or as part of a “hedging transaction,” “conversion transaction” or other integrated investment transaction for federal income tax purposes, (iii) persons that do not hold our common stock as “capital assets” (generally, property held for investment), (iv) persons liable for the alternative minimum tax, (v) persons that directly, indirectly or constructively, own 5% or more of the total combined voting power of our stock or of the total value of our equity interests or (vi) persons that will hold shares of common stock in connection with a permanent establishment or fixed base outside the United States. This summary does not address backup withholding and information reporting. This summary does not address U.S. holders who beneficially own common stock through a “foreign financial institution” (as defined in Code Section 1471(d)(4)) or certain other non-U.S. entities specified in Code Section 1472. This summary does not address U.S. federal tax considerations other than income tax considerations (such as Medicare contribution tax on net investment income, the alternative minimum tax, or estate or gift taxes) or tax considerations arising under any U.S. state or local or non-U.S. laws. In addition, this summary does not address the tax consequences of transactions effectuated before, after or at the same time as the Reverse Stock Split, whether or not they are in connection with the Reverse Stock Split.</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is the beneficial owner of our common stock, the U.S. federal income tax treatment of a partner in the partnership will generally depend on the status of the partner and the activities of the partnership. Partnerships that hold our common stock, and partners in such partnerships, should consult their own tax advisors regarding the U.S. federal income tax consequences of the Reverse Stock Split.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holder should consult his, her or its own tax advisors concerning the particular tax consequences of the Reverse Stock Split to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Tax Treatment of the Reverse Stock Split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Reverse Stock Split is intended to qualify as a “reorganization” under Section 368 of the Code that should constitute a “recapitalization” for U.S. federal income tax purposes. Assuming the Reverse Stock Split qualifies as a reorganization and other than with respect to a U.S. holder that receives a full share in lieu of a fractional share, as described below, a U.S. holder generally will not recognize gain or loss upon the exchange of our ordinary shares for a lesser number of ordinary shares, based upon the Reverse Stock Split ratio. A U.S. holder’s aggregate tax basis in the lesser number of ordinary shares received in the Reverse Stock Split will be the same as such U.S. holder’s aggregate tax basis in the shares of our common stock that such U.S. holder owned immediately prior to the Reverse Stock Split. The holding period for the ordinary shares received in the Reverse Stock Split will include the period during which a U.S. holder held the shares of our common stock that were surrendered in the Reverse Stock Split. The United States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noted above, we will not issue fractional shares in connection with the Reverse Stock Split. Instead, stockholders who would be entitled to receive fractional shares because they hold a number of shares of common stock not evenly divisible by the Reverse Stock Split ratio will automatically be entitled to receive an additional fraction of a share of common stock to round up to the next whole share of common stock. The U.S. federal income tax consequences of the receipt of such an additional fraction of a share are not clear. A U.S. holder that receives a full share in lieu of a fractional share may recognize income as a deemed distribution or gain in an amount not to exceed the excess of the fair market value of such share over the fair market value of the fractional share to which such stockholder was otherwise entitled. We are not making any representations as to whether the receipt of one whole share in lieu of a fractional share will result in income as a deemed distribution or gain to any stockholder. U.S. holders are urged to consult their own tax advisors as to the possible tax consequences of receiving an additional fraction of a share in the Reverse Stock Split.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IS INTENDED ONLY AS A SUMMARY OF CERTAIN FEDERAL INCOME TAX CONSEQUENCES OF THE REVERSE STOCK SPLIT AND DOES NOT CONSTITUTE A TAX OPINION. EACH HOLDER OF OUR COMMON SHARES SHOULD CONSULT ITS OWN TAX ADVISOR REGARDING THE TAX CONSEQUENCES OF THE REVERSE STOCK SPLIT TO THEM AND FOR REFERENCE TO APPLICABLE PROVISIONS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will be effectuated pursuant to NRS 78.2055, which was amended by the Nevada Legislature in 2023, pursuant to Assembly Bill No. 126. In accordance with such amendment and our bylaws, approval of the Reverse Stock Split requires the affirmative vote of the holders of a majority of the votes cast in person via attendance at the virtual Annual Meeting or by proxy and voting at the Annual Meeting.</w:t>
      </w:r>
    </w:p>
    <w:p>
      <w:pPr>
        <w:spacing w:after="0" w:line="172" w:lineRule="exact"/>
        <w:rPr>
          <w:sz w:val="20"/>
          <w:szCs w:val="20"/>
          <w:color w:val="auto"/>
        </w:rPr>
      </w:pPr>
    </w:p>
    <w:p>
      <w:pPr>
        <w:jc w:val="center"/>
        <w:ind w:left="340" w:right="40"/>
        <w:spacing w:after="0" w:line="278" w:lineRule="auto"/>
        <w:rPr>
          <w:sz w:val="20"/>
          <w:szCs w:val="20"/>
          <w:color w:val="auto"/>
        </w:rPr>
      </w:pPr>
      <w:r>
        <w:rPr>
          <w:rFonts w:ascii="Times New Roman" w:cs="Times New Roman" w:eastAsia="Times New Roman" w:hAnsi="Times New Roman"/>
          <w:sz w:val="17"/>
          <w:szCs w:val="17"/>
          <w:b w:val="1"/>
          <w:bCs w:val="1"/>
          <w:color w:val="auto"/>
        </w:rPr>
        <w:t>THE BOARD RECOMMENDS A VOTE “FOR” THE APPROVAL TO AUTHORIZE OUR BOARD, IN ITS DISCRETION AT ANY TIME WITHIN ONE YEAR AFTER STOCKHOLDER APPROVAL IS OBTAINED, TO EFFECT A REVERSE STOCK SPLIT OF ONLY THE THEN-OUTSTANDING SHARES OF THE COMPANY’S COMMON STOCK (WITH NO CHANGE TO THE AUTHORIZED CAPITAL STOCK OF THE COMPANY), AT A RATIO OF NOT LESS THAN ONE-FOR-FIVE (1:5) AND NOT GREATER THAN ONE-FOR-TWENTY (1:20), WITH THE EXACT RATIO TO BE DETERMINED BY OUR BOARD AND INCLUDED IN A PUBLIC ANNOUNCEMENT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ind w:left="340" w:right="100"/>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ADJOURNMENT OF THE ANNUAL MEETING IN THE EVENT THAT THE NUMBER OF SHARES OF COMMON STOCK PRESENT OR REPRESENTED BY PROXY AT THE ANNUAL MEETING AND VOTING “FOR” THE APPROVAL OF THE REVERSE STOCK SPLIT PROPOSAL ARE INSUFFICIENT TO APPROVE SUCH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the Annual Meeting</w:t>
      </w:r>
    </w:p>
    <w:p>
      <w:pPr>
        <w:spacing w:after="0" w:line="229" w:lineRule="exact"/>
        <w:rPr>
          <w:sz w:val="20"/>
          <w:szCs w:val="20"/>
          <w:color w:val="auto"/>
        </w:rPr>
      </w:pPr>
    </w:p>
    <w:p>
      <w:pPr>
        <w:jc w:val="both"/>
        <w:ind w:firstLine="734"/>
        <w:spacing w:after="0" w:line="258" w:lineRule="auto"/>
        <w:rPr>
          <w:sz w:val="20"/>
          <w:szCs w:val="20"/>
          <w:color w:val="auto"/>
        </w:rPr>
      </w:pPr>
      <w:r>
        <w:rPr>
          <w:rFonts w:ascii="Times New Roman" w:cs="Times New Roman" w:eastAsia="Times New Roman" w:hAnsi="Times New Roman"/>
          <w:sz w:val="18"/>
          <w:szCs w:val="18"/>
          <w:color w:val="auto"/>
        </w:rPr>
        <w:t>In the event that the number of shares of common stock present or represented by proxy at the Annual Meeting and voting “FOR” the approval of the Reverse Stock Split Proposal are insufficient to approve such proposal, we may move to adjourn the Annual Meeting in order to enable us to solicit additional proxies in favor of the approval of Reverse Stock Split Proposal. In that event, we will ask stockholders to vote only upon the adjournment proposal and not on any other proposal discussed in this proxy statement. If the adjournment is for more than thirty (30) days, a notice of the adjourned meeting shall be given to each stockholder of record entitled to vote at the meeting.</w:t>
      </w:r>
    </w:p>
    <w:p>
      <w:pPr>
        <w:spacing w:after="0" w:line="183" w:lineRule="exact"/>
        <w:rPr>
          <w:sz w:val="20"/>
          <w:szCs w:val="20"/>
          <w:color w:val="auto"/>
        </w:rPr>
      </w:pPr>
    </w:p>
    <w:p>
      <w:pPr>
        <w:jc w:val="both"/>
        <w:ind w:right="20" w:firstLine="734"/>
        <w:spacing w:after="0" w:line="282"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approval of any such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Required</w:t>
      </w:r>
    </w:p>
    <w:p>
      <w:pPr>
        <w:spacing w:after="0" w:line="229" w:lineRule="exact"/>
        <w:rPr>
          <w:sz w:val="20"/>
          <w:szCs w:val="20"/>
          <w:color w:val="auto"/>
        </w:rPr>
      </w:pPr>
    </w:p>
    <w:p>
      <w:pPr>
        <w:jc w:val="both"/>
        <w:ind w:firstLine="734"/>
        <w:spacing w:after="0" w:line="282" w:lineRule="auto"/>
        <w:rPr>
          <w:sz w:val="20"/>
          <w:szCs w:val="20"/>
          <w:color w:val="auto"/>
        </w:rPr>
      </w:pPr>
      <w:r>
        <w:rPr>
          <w:rFonts w:ascii="Times New Roman" w:cs="Times New Roman" w:eastAsia="Times New Roman" w:hAnsi="Times New Roman"/>
          <w:sz w:val="18"/>
          <w:szCs w:val="18"/>
          <w:color w:val="auto"/>
        </w:rPr>
        <w:t>The approval of the Adjournment Proposal will require the affirmative vote of the holders of a majority of the votes cast, represented in person or by proxy, at the Annual Meeting. As a result, abstentions and broker non-votes, if any, will not affect the outcome of the vote of this proposal.</w:t>
      </w:r>
    </w:p>
    <w:p>
      <w:pPr>
        <w:spacing w:after="0" w:line="158" w:lineRule="exact"/>
        <w:rPr>
          <w:sz w:val="20"/>
          <w:szCs w:val="20"/>
          <w:color w:val="auto"/>
        </w:rPr>
      </w:pPr>
    </w:p>
    <w:p>
      <w:pPr>
        <w:jc w:val="center"/>
        <w:ind w:left="340"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THE ADJOURMENT OF THE ANNUAL MEETING IN THE EVENT THAT THE NUMBER OF SHARES OF COMMON STOCK PRESENT OR REPRESENTED BY PROXY AT THE ANNUAL MEETING AND VOTING “FOR” THE APPROVAL OF THE REVERSE STOCK SPLIT PROPOSAL ARE INSUFFICIENT TO APPROVE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or the Audit Committee, has appointed Marcum LLP as our independent registered accounting firm for the fiscal year ending December 31, 2024. We are not required to seek stockholder approval for the appointment of our independent registered public accounting firm; however, the Audit Committee and the full Board believe it is sound corporate practice to seek such approval. If the appointment is not ratified, the Audit Committee will investigate the reasons for stockholder rejection and will re-consider the appointment. Even if the selection is ratified, the Audit Committee in its discretion may direct the appointment of a different independent registered public accounting firm at any time during the year if it determines that such change would be in the best interests of us and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Marcum LLP will be present at the Annual Meeting, will have the opportunity to make a statement if they desire to do so and be available to respond to appropriate questions from stockholders submitted in writing in accordance with the Annual Meeting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to the Company in fiscal years 2023 and 2022</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 November 15, 2023,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was appointed as our independent registered public accounting firm. The aggregate fees billed to us by Marcum for professional services rendered during the twelve months ended December 31, 2023, and 2022, are set forth in the table below:</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professional services that are reasonably related to the performance of the audit or review of our financial statements but are not reported under “Audit fees.”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services not associated with audit or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Pre-Approval Practices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The purpose of the Audit Committee is to assist the Board in fulfilling its responsibilities as it relates to our financial accounting, reporting and controls. The Audit Committee’s principal functions are to assist the Board in its oversight of:</w:t>
      </w:r>
    </w:p>
    <w:p>
      <w:pPr>
        <w:spacing w:after="0" w:line="176" w:lineRule="exact"/>
        <w:rPr>
          <w:sz w:val="20"/>
          <w:szCs w:val="20"/>
          <w:color w:val="auto"/>
        </w:rPr>
      </w:pPr>
    </w:p>
    <w:p>
      <w:pPr>
        <w:ind w:left="1300" w:right="20" w:hanging="320"/>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accounting and financial reporting processes and the audits of our financial statements by our independent auditors (the “</w:t>
      </w:r>
      <w:r>
        <w:rPr>
          <w:rFonts w:ascii="Times New Roman" w:cs="Times New Roman" w:eastAsia="Times New Roman" w:hAnsi="Times New Roman"/>
          <w:sz w:val="18"/>
          <w:szCs w:val="18"/>
          <w:b w:val="1"/>
          <w:bCs w:val="1"/>
          <w:color w:val="auto"/>
        </w:rPr>
        <w:t>Independent Auditors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reviews of the adequacy of the accounting and financial reporting processes and systems of internal control that are conducted by the Independent Auditors and our senior management;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and performance of the Independent Auditors;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and the fees to be paid to, Marcum in 2023 were approved by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Firm</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November 15, 2023, our Audit Committee dismissed BDO USA, LLP (n/k/a BDO USA, P.C.)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as our independent registered public accounting firm. BDO had served as our independent registered public accounting firm from October 7, 2022 through the period ended September 30, 2023.</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BDO’s audit report on our consolidated financial statements as of December 31, 2022 and for the year then ended did not contain an adverse opinion or a disclaimer of opinion and were not qualified or modified as to uncertainty, audit scope or accounting principles, except for BDO’s report for the year ended December 31, 2022, which contained an explanatory paragraph regarding substantial doubt about our ability to continue as a going concern.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fiscal year ended December 31, 2022 and the subsequent interim period through November 15, 2023: (1) there were no “disagreements” (as defined in Item 304(a)(1)(iv) of Regulation S-K) with BDO on any matter of accounting principles or practices, financial statement disclosure, or auditing scope or procedure, which disagreements, if not resolved to the satisfaction of BDO, would have caused BDO to make reference to the subject matter of such disagreements in connection with its reports on the consolidated financial statements for the following periods and (2) there were no “reportable events” (as defined in Item 304(a)(1)(v) of Regulation S-K), except as set forth below. As previously disclosed in Item 9A of our Annual Report on Form 10-K for the year ended December 31, 2022 (the “</w:t>
      </w:r>
      <w:r>
        <w:rPr>
          <w:rFonts w:ascii="Times New Roman" w:cs="Times New Roman" w:eastAsia="Times New Roman" w:hAnsi="Times New Roman"/>
          <w:sz w:val="18"/>
          <w:szCs w:val="18"/>
          <w:b w:val="1"/>
          <w:bCs w:val="1"/>
          <w:color w:val="auto"/>
        </w:rPr>
        <w:t>2022 Annual Report</w:t>
      </w:r>
      <w:r>
        <w:rPr>
          <w:rFonts w:ascii="Times New Roman" w:cs="Times New Roman" w:eastAsia="Times New Roman" w:hAnsi="Times New Roman"/>
          <w:sz w:val="18"/>
          <w:szCs w:val="18"/>
          <w:color w:val="auto"/>
        </w:rPr>
        <w:t>”), our management identified material weaknesses related to maintaining effective controls in the following areas: (i)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described in the 2022 Annual Report, the foregoing material weaknesses contributed to the following additional material weaknesses in business processes: (i) designing and implementing procedures surrounding completion, accuracy and review of account reconciliations; (ii) designing and implementing controls to assess the completeness, accuracy and accounting analysis of material contracts entered into by us; (iii) designing and implementing controls to sufficiently supervise and review the work completed by specialist engaged by us;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 This reportable event was discussed among our management, the Audit Committee and BDO. We authorized BDO to respond fully to the inquiries of Marcum LLP, the successor accountant, including concerning this reportable event.</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our fiscal years ended December 31, 2022 the subsequent interim periods through November 17, 2023, the date Marcum LLP completed its client acceptance process, neither us nor anyone acting on our behalf consulted with Marcum LLP regarding either of the following: (i) the application of accounting principles to a specified transaction, either completed or proposed; or the type of audit opinion that might be rendered on our financial statements, and neither a written report nor oral advice was provided to us that Marcum LLP concluded was an important factor considered by us in reaching a decision as to the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Required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the Auditor Proposal will require the affirmative vote of the holders of a majority of the votes cast, represented in person or by proxy, at the Annual Meeting. As a result, abstentions and broker non-votes, if any, will not affect the outcome of the vote of this proposal.</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MARCUM LLP AS THE COMPANY’S INDEPENDENT REGISTERED ACCOUNTING FIRM FOR THE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Copies of our Annual Report on Form 10-K for the year ended December 31, 2023 (including our audited financial statements) filed with the SEC may be obtained without charge by writing to Dragonfly Energy Holdings Corp., 1190 Trademark Drive, #108, Reno, Nevada 89521, Attn.: Secretary. Exhibits to the Annual Report will be mailed upon similar request and payment of specified fees to cover the costs of copying and mailing such materials.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audited financial statements for the fiscal year ended December 31, 2023 and certain other related financial and business information are contained in our Annual Report, which is being made available to our stockholders along with this Proxy Statement, but which is not deemed a part of the proxy soliciting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This means that only one copy of this proxy statement and Annual Report may have been sent to multiple stockholders in the same household. We will promptly deliver a separate copy of this proxy statement to any stockholder upon written or oral request to: Dragonfly Energy Holdings Corp., 1190 Trademark Drive, #108, Reno, Nevada 89521 Attn.: Secretary, or at (775) 622 - 3448. Any stockholder who wants to receive a separate copy of this proxy statement or Annual Report,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Submitting Proxy Proposals and Director Nominations for the 2025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Proposals to be Considered for Inclusion in our 2025 Proxy Materials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for a stockholder proposal to be eligible to be included in our proxy statement and proxy card for the 2024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the proposal must (1) be received by us at our principal executive offices, 1190 Trademark Drive, #108, Reno, Nevada 89521, Attn.:</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Secretary, no later than , 2025, and (2) concern a matter that may be properly considered and acted upon at the annual meeting in accordance with applicable laws, regulations and our Bylaws and policies, and must otherwise comply with Rule 14a-8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Nominations and Other Business to be Brought Before the 2024 Annual Meeting of Stockholders</w:t>
      </w:r>
    </w:p>
    <w:p>
      <w:pPr>
        <w:spacing w:after="0" w:line="22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Notice of any director nomination or the proposal of other business that stockholders intend to present at the 2024 Annual Meeting of Stockholders, but do not intend to have included in our proxy statement and form of proxy relating to the 2024 Annual Meeting of Stockholders, must be received by us at our principal executive offices, 1190 Trademark Drive, #108, Reno, Nevada 89521 Attn.: Secretary, not earlier than the close of business on September 3, 2025 and not later than the close of business on October 13, 2025. In the event that the date of the 2025 Annual Meeting of Stockholders is more than 30 days before or more than 70 days after the anniversary date of the 2024 Annual Meeting of Stockholders, the notice must be delivered to us not earlier than 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and not later than the later than the close of</w:t>
      </w:r>
    </w:p>
    <w:p>
      <w:pPr>
        <w:spacing w:after="0" w:line="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business of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by us. In addition, a stockholder’s notice must include the information required by our Bylaws with respect to each director nomination or proposal of other business that such stockholder intends to present at the 2024 Annual Meeting of Stockholders.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pursuant to our Bylaws, to comply with the universal proxy rules, stockholders who intend to solicit proxies in support of director nominees other than our nominees must provide notice that sets forth the information required by Rule 14a-19 under the Exchange Act by September 13, 2025.</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2024</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To assure that your shares are represented at the Annual Meeting, please either (a) vote over the Internet following the instructions provided in this proxy statement, (b) vote by telephone by calling Alliance Advisors at (866) 612-8937 or (c) complete, sign, date and promptly return the proxy card to Dragonfly Energy Holdings Corp.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Advisors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 Broadacres Drive, 3rd Floor, Bloomfield, NJ 07003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009"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amp;"/>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lowerLetter"/>
      <w:start w:val="3"/>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0"/>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2"/>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2024-10-09T15:12:05Z</dcterms:created>
  <dcterms:modified xsi:type="dcterms:W3CDTF">2024-10-09T15:12:05Z</dcterms:modified>
</cp:coreProperties>
</file>