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618490</wp:posOffset>
            </wp:positionH>
            <wp:positionV relativeFrom="page">
              <wp:posOffset>723265</wp:posOffset>
            </wp:positionV>
            <wp:extent cx="6535420" cy="825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5420" cy="82550"/>
                    </a:xfrm>
                    <a:prstGeom prst="rect">
                      <a:avLst/>
                    </a:prstGeom>
                    <a:noFill/>
                  </pic:spPr>
                </pic:pic>
              </a:graphicData>
            </a:graphic>
          </wp:anchor>
        </w:drawing>
        <w:t>UNITED STATES</w:t>
      </w:r>
    </w:p>
    <w:p>
      <w:pPr>
        <w:spacing w:after="0" w:line="46"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6"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2109470</wp:posOffset>
                </wp:positionH>
                <wp:positionV relativeFrom="paragraph">
                  <wp:posOffset>107950</wp:posOffset>
                </wp:positionV>
                <wp:extent cx="228409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409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6.1pt,8.5pt" to="345.95pt,8.5pt" o:allowincell="f" strokecolor="#000000" strokeweight="1.26pt"/>
            </w:pict>
          </mc:Fallback>
        </mc:AlternateContent>
      </w:r>
    </w:p>
    <w:p>
      <w:pPr>
        <w:spacing w:after="0" w:line="292"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2109470</wp:posOffset>
                </wp:positionH>
                <wp:positionV relativeFrom="paragraph">
                  <wp:posOffset>139700</wp:posOffset>
                </wp:positionV>
                <wp:extent cx="228409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409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6.1pt,11pt" to="345.95pt,11pt" o:allowincell="f" strokecolor="#000000" strokeweight="1.26pt"/>
            </w:pict>
          </mc:Fallback>
        </mc:AlternateContent>
      </w:r>
    </w:p>
    <w:p>
      <w:pPr>
        <w:spacing w:after="0" w:line="353" w:lineRule="exact"/>
        <w:rPr>
          <w:sz w:val="24"/>
          <w:szCs w:val="24"/>
          <w:color w:val="auto"/>
        </w:rPr>
      </w:pPr>
    </w:p>
    <w:p>
      <w:pPr>
        <w:ind w:left="2"/>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1" w:lineRule="exact"/>
        <w:rPr>
          <w:sz w:val="24"/>
          <w:szCs w:val="24"/>
          <w:color w:val="auto"/>
        </w:rPr>
      </w:pPr>
    </w:p>
    <w:p>
      <w:pPr>
        <w:ind w:left="3842" w:right="3340" w:hanging="3842"/>
        <w:spacing w:after="0" w:line="432" w:lineRule="auto"/>
        <w:tabs>
          <w:tab w:leader="none" w:pos="250" w:val="left"/>
        </w:tabs>
        <w:numPr>
          <w:ilvl w:val="0"/>
          <w:numId w:val="1"/>
        </w:numPr>
        <w:rPr>
          <w:rFonts w:ascii="Segoe UI" w:cs="Segoe UI" w:eastAsia="Segoe UI" w:hAnsi="Segoe UI"/>
          <w:sz w:val="14"/>
          <w:szCs w:val="14"/>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2022</w:t>
      </w:r>
    </w:p>
    <w:p>
      <w:pPr>
        <w:ind w:left="5022"/>
        <w:spacing w:after="0"/>
        <w:rPr>
          <w:rFonts w:ascii="Segoe UI" w:cs="Segoe UI" w:eastAsia="Segoe UI" w:hAnsi="Segoe UI"/>
          <w:sz w:val="14"/>
          <w:szCs w:val="14"/>
          <w:b w:val="1"/>
          <w:bCs w:val="1"/>
          <w:color w:val="auto"/>
        </w:rPr>
      </w:pPr>
      <w:r>
        <w:rPr>
          <w:rFonts w:ascii="Times New Roman" w:cs="Times New Roman" w:eastAsia="Times New Roman" w:hAnsi="Times New Roman"/>
          <w:sz w:val="14"/>
          <w:szCs w:val="14"/>
          <w:b w:val="1"/>
          <w:bCs w:val="1"/>
          <w:color w:val="auto"/>
        </w:rPr>
        <w:t>OR</w:t>
      </w:r>
    </w:p>
    <w:p>
      <w:pPr>
        <w:spacing w:after="0" w:line="152" w:lineRule="exact"/>
        <w:rPr>
          <w:sz w:val="24"/>
          <w:szCs w:val="24"/>
          <w:color w:val="auto"/>
        </w:rPr>
      </w:pPr>
    </w:p>
    <w:p>
      <w:pPr>
        <w:ind w:left="4242" w:right="3060" w:hanging="4242"/>
        <w:spacing w:after="0" w:line="432" w:lineRule="auto"/>
        <w:tabs>
          <w:tab w:leader="none" w:pos="246" w:val="left"/>
        </w:tabs>
        <w:numPr>
          <w:ilvl w:val="0"/>
          <w:numId w:val="2"/>
        </w:numPr>
        <w:rPr>
          <w:rFonts w:ascii="Segoe UI" w:cs="Segoe UI" w:eastAsia="Segoe UI" w:hAnsi="Segoe UI"/>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w:t>
      </w:r>
    </w:p>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Commission file number 001-40730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2109470</wp:posOffset>
                </wp:positionH>
                <wp:positionV relativeFrom="paragraph">
                  <wp:posOffset>114935</wp:posOffset>
                </wp:positionV>
                <wp:extent cx="228409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409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6.1pt,9.05pt" to="345.95pt,9.05pt" o:allowincell="f" strokecolor="#000000" strokeweight="1.26pt"/>
            </w:pict>
          </mc:Fallback>
        </mc:AlternateContent>
      </w:r>
    </w:p>
    <w:p>
      <w:pPr>
        <w:spacing w:after="0" w:line="306"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24"/>
          <w:szCs w:val="24"/>
          <w:b w:val="1"/>
          <w:bCs w:val="1"/>
          <w:color w:val="auto"/>
        </w:rPr>
        <w:t>DRAGONFLY ENERGY HOLDINGS CORP.</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2109470</wp:posOffset>
                </wp:positionH>
                <wp:positionV relativeFrom="paragraph">
                  <wp:posOffset>137795</wp:posOffset>
                </wp:positionV>
                <wp:extent cx="228409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4095" cy="4763"/>
                        </a:xfrm>
                        <a:prstGeom prst="line">
                          <a:avLst/>
                        </a:prstGeom>
                        <a:solidFill>
                          <a:srgbClr val="FFFFFF"/>
                        </a:solidFill>
                        <a:ln w="16762">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6.1pt,10.85pt" to="345.95pt,10.85pt" o:allowincell="f" strokecolor="#000000" strokeweight="1.3198pt"/>
            </w:pict>
          </mc:Fallback>
        </mc:AlternateContent>
      </w:r>
    </w:p>
    <w:p>
      <w:pPr>
        <w:spacing w:after="0" w:line="196"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49" w:lineRule="exact"/>
        <w:rPr>
          <w:sz w:val="24"/>
          <w:szCs w:val="24"/>
          <w:color w:val="auto"/>
        </w:rPr>
      </w:pPr>
    </w:p>
    <w:tbl>
      <w:tblPr>
        <w:tblLayout w:type="fixed"/>
        <w:tblInd w:w="2" w:type="dxa"/>
        <w:tblCellMar>
          <w:top w:w="0" w:type="dxa"/>
          <w:left w:w="0" w:type="dxa"/>
          <w:bottom w:w="0" w:type="dxa"/>
          <w:right w:w="0" w:type="dxa"/>
        </w:tblCellMar>
      </w:tblPr>
      <w:tr>
        <w:trPr>
          <w:trHeight w:val="161"/>
        </w:trPr>
        <w:tc>
          <w:tcPr>
            <w:tcW w:w="3660" w:type="dxa"/>
            <w:vAlign w:val="bottom"/>
          </w:tcPr>
          <w:p>
            <w:pPr>
              <w:jc w:val="center"/>
              <w:ind w:left="1272"/>
              <w:spacing w:after="0"/>
              <w:rPr>
                <w:sz w:val="20"/>
                <w:szCs w:val="20"/>
                <w:color w:val="auto"/>
              </w:rPr>
            </w:pPr>
            <w:r>
              <w:rPr>
                <w:rFonts w:ascii="Times New Roman" w:cs="Times New Roman" w:eastAsia="Times New Roman" w:hAnsi="Times New Roman"/>
                <w:sz w:val="14"/>
                <w:szCs w:val="14"/>
                <w:b w:val="1"/>
                <w:bCs w:val="1"/>
                <w:color w:val="auto"/>
                <w:w w:val="97"/>
              </w:rPr>
              <w:t>Nevada</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40" w:type="dxa"/>
            <w:vAlign w:val="bottom"/>
          </w:tcPr>
          <w:p>
            <w:pPr>
              <w:jc w:val="right"/>
              <w:ind w:right="2112"/>
              <w:spacing w:after="0"/>
              <w:rPr>
                <w:sz w:val="20"/>
                <w:szCs w:val="20"/>
                <w:color w:val="auto"/>
              </w:rPr>
            </w:pPr>
            <w:r>
              <w:rPr>
                <w:rFonts w:ascii="Times New Roman" w:cs="Times New Roman" w:eastAsia="Times New Roman" w:hAnsi="Times New Roman"/>
                <w:sz w:val="14"/>
                <w:szCs w:val="14"/>
                <w:b w:val="1"/>
                <w:bCs w:val="1"/>
                <w:color w:val="auto"/>
              </w:rPr>
              <w:t>85-1873463</w:t>
            </w:r>
          </w:p>
        </w:tc>
        <w:tc>
          <w:tcPr>
            <w:tcW w:w="0" w:type="dxa"/>
            <w:vAlign w:val="bottom"/>
          </w:tcPr>
          <w:p>
            <w:pPr>
              <w:spacing w:after="0"/>
              <w:rPr>
                <w:sz w:val="1"/>
                <w:szCs w:val="1"/>
                <w:color w:val="auto"/>
              </w:rPr>
            </w:pPr>
          </w:p>
        </w:tc>
      </w:tr>
      <w:tr>
        <w:trPr>
          <w:trHeight w:val="156"/>
        </w:trPr>
        <w:tc>
          <w:tcPr>
            <w:tcW w:w="3660" w:type="dxa"/>
            <w:vAlign w:val="bottom"/>
          </w:tcPr>
          <w:p>
            <w:pPr>
              <w:jc w:val="center"/>
              <w:ind w:left="1292"/>
              <w:spacing w:after="0" w:line="156" w:lineRule="exact"/>
              <w:rPr>
                <w:sz w:val="20"/>
                <w:szCs w:val="20"/>
                <w:color w:val="auto"/>
              </w:rPr>
            </w:pPr>
            <w:r>
              <w:rPr>
                <w:rFonts w:ascii="Times New Roman" w:cs="Times New Roman" w:eastAsia="Times New Roman" w:hAnsi="Times New Roman"/>
                <w:sz w:val="14"/>
                <w:szCs w:val="14"/>
                <w:color w:val="auto"/>
                <w:w w:val="97"/>
              </w:rPr>
              <w:t>(State or other jurisdiction of</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40" w:type="dxa"/>
            <w:vAlign w:val="bottom"/>
          </w:tcPr>
          <w:p>
            <w:pPr>
              <w:jc w:val="center"/>
              <w:ind w:right="1512"/>
              <w:spacing w:after="0" w:line="156" w:lineRule="exact"/>
              <w:rPr>
                <w:sz w:val="20"/>
                <w:szCs w:val="20"/>
                <w:color w:val="auto"/>
              </w:rPr>
            </w:pPr>
            <w:r>
              <w:rPr>
                <w:rFonts w:ascii="Times New Roman" w:cs="Times New Roman" w:eastAsia="Times New Roman" w:hAnsi="Times New Roman"/>
                <w:sz w:val="14"/>
                <w:szCs w:val="14"/>
                <w:color w:val="auto"/>
                <w:w w:val="98"/>
              </w:rPr>
              <w:t>(I.R.S. Employer</w:t>
            </w:r>
          </w:p>
        </w:tc>
        <w:tc>
          <w:tcPr>
            <w:tcW w:w="0" w:type="dxa"/>
            <w:vAlign w:val="bottom"/>
          </w:tcPr>
          <w:p>
            <w:pPr>
              <w:spacing w:after="0"/>
              <w:rPr>
                <w:sz w:val="1"/>
                <w:szCs w:val="1"/>
                <w:color w:val="auto"/>
              </w:rPr>
            </w:pPr>
          </w:p>
        </w:tc>
      </w:tr>
      <w:tr>
        <w:trPr>
          <w:trHeight w:val="181"/>
        </w:trPr>
        <w:tc>
          <w:tcPr>
            <w:tcW w:w="3660" w:type="dxa"/>
            <w:vAlign w:val="bottom"/>
          </w:tcPr>
          <w:p>
            <w:pPr>
              <w:jc w:val="center"/>
              <w:ind w:left="1272"/>
              <w:spacing w:after="0"/>
              <w:rPr>
                <w:sz w:val="20"/>
                <w:szCs w:val="20"/>
                <w:color w:val="auto"/>
              </w:rPr>
            </w:pPr>
            <w:r>
              <w:rPr>
                <w:rFonts w:ascii="Times New Roman" w:cs="Times New Roman" w:eastAsia="Times New Roman" w:hAnsi="Times New Roman"/>
                <w:sz w:val="14"/>
                <w:szCs w:val="14"/>
                <w:color w:val="auto"/>
                <w:w w:val="97"/>
              </w:rPr>
              <w:t>incorporation or organization)</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40" w:type="dxa"/>
            <w:vAlign w:val="bottom"/>
          </w:tcPr>
          <w:p>
            <w:pPr>
              <w:jc w:val="center"/>
              <w:ind w:right="1512"/>
              <w:spacing w:after="0"/>
              <w:rPr>
                <w:sz w:val="20"/>
                <w:szCs w:val="20"/>
                <w:color w:val="auto"/>
              </w:rPr>
            </w:pPr>
            <w:r>
              <w:rPr>
                <w:rFonts w:ascii="Times New Roman" w:cs="Times New Roman" w:eastAsia="Times New Roman" w:hAnsi="Times New Roman"/>
                <w:sz w:val="14"/>
                <w:szCs w:val="14"/>
                <w:color w:val="auto"/>
                <w:w w:val="97"/>
              </w:rPr>
              <w:t>Identification No.)</w:t>
            </w:r>
          </w:p>
        </w:tc>
        <w:tc>
          <w:tcPr>
            <w:tcW w:w="0" w:type="dxa"/>
            <w:vAlign w:val="bottom"/>
          </w:tcPr>
          <w:p>
            <w:pPr>
              <w:spacing w:after="0"/>
              <w:rPr>
                <w:sz w:val="1"/>
                <w:szCs w:val="1"/>
                <w:color w:val="auto"/>
              </w:rPr>
            </w:pPr>
          </w:p>
        </w:tc>
      </w:tr>
      <w:tr>
        <w:trPr>
          <w:trHeight w:val="286"/>
        </w:trPr>
        <w:tc>
          <w:tcPr>
            <w:tcW w:w="3660" w:type="dxa"/>
            <w:vAlign w:val="bottom"/>
          </w:tcPr>
          <w:p>
            <w:pPr>
              <w:jc w:val="center"/>
              <w:ind w:left="1292"/>
              <w:spacing w:after="0"/>
              <w:rPr>
                <w:sz w:val="20"/>
                <w:szCs w:val="20"/>
                <w:color w:val="auto"/>
              </w:rPr>
            </w:pPr>
            <w:r>
              <w:rPr>
                <w:rFonts w:ascii="Times New Roman" w:cs="Times New Roman" w:eastAsia="Times New Roman" w:hAnsi="Times New Roman"/>
                <w:sz w:val="14"/>
                <w:szCs w:val="14"/>
                <w:b w:val="1"/>
                <w:bCs w:val="1"/>
                <w:color w:val="auto"/>
                <w:w w:val="96"/>
              </w:rPr>
              <w:t>1190 Trademark Drive, #108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40" w:type="dxa"/>
            <w:vAlign w:val="bottom"/>
          </w:tcPr>
          <w:p>
            <w:pPr>
              <w:jc w:val="right"/>
              <w:ind w:right="2272"/>
              <w:spacing w:after="0"/>
              <w:rPr>
                <w:sz w:val="20"/>
                <w:szCs w:val="20"/>
                <w:color w:val="auto"/>
              </w:rPr>
            </w:pPr>
            <w:r>
              <w:rPr>
                <w:rFonts w:ascii="Times New Roman" w:cs="Times New Roman" w:eastAsia="Times New Roman" w:hAnsi="Times New Roman"/>
                <w:sz w:val="14"/>
                <w:szCs w:val="14"/>
                <w:b w:val="1"/>
                <w:bCs w:val="1"/>
                <w:color w:val="auto"/>
              </w:rPr>
              <w:t>89521</w:t>
            </w:r>
          </w:p>
        </w:tc>
        <w:tc>
          <w:tcPr>
            <w:tcW w:w="0" w:type="dxa"/>
            <w:vAlign w:val="bottom"/>
          </w:tcPr>
          <w:p>
            <w:pPr>
              <w:spacing w:after="0"/>
              <w:rPr>
                <w:sz w:val="1"/>
                <w:szCs w:val="1"/>
                <w:color w:val="auto"/>
              </w:rPr>
            </w:pPr>
          </w:p>
        </w:tc>
      </w:tr>
      <w:tr>
        <w:trPr>
          <w:trHeight w:val="158"/>
        </w:trPr>
        <w:tc>
          <w:tcPr>
            <w:tcW w:w="3660" w:type="dxa"/>
            <w:vAlign w:val="bottom"/>
          </w:tcPr>
          <w:p>
            <w:pPr>
              <w:jc w:val="center"/>
              <w:ind w:left="1292"/>
              <w:spacing w:after="0" w:line="158" w:lineRule="exact"/>
              <w:rPr>
                <w:sz w:val="20"/>
                <w:szCs w:val="20"/>
                <w:color w:val="auto"/>
              </w:rPr>
            </w:pPr>
            <w:r>
              <w:rPr>
                <w:rFonts w:ascii="Times New Roman" w:cs="Times New Roman" w:eastAsia="Times New Roman" w:hAnsi="Times New Roman"/>
                <w:sz w:val="14"/>
                <w:szCs w:val="14"/>
                <w:b w:val="1"/>
                <w:bCs w:val="1"/>
                <w:color w:val="auto"/>
                <w:w w:val="98"/>
              </w:rPr>
              <w:t>Reno,</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40" w:type="dxa"/>
            <w:vAlign w:val="bottom"/>
          </w:tcPr>
          <w:p>
            <w:pPr>
              <w:jc w:val="center"/>
              <w:ind w:right="1492"/>
              <w:spacing w:after="0" w:line="158" w:lineRule="exact"/>
              <w:rPr>
                <w:sz w:val="20"/>
                <w:szCs w:val="20"/>
                <w:color w:val="auto"/>
              </w:rPr>
            </w:pPr>
            <w:r>
              <w:rPr>
                <w:rFonts w:ascii="Times New Roman" w:cs="Times New Roman" w:eastAsia="Times New Roman" w:hAnsi="Times New Roman"/>
                <w:sz w:val="14"/>
                <w:szCs w:val="14"/>
                <w:b w:val="1"/>
                <w:bCs w:val="1"/>
                <w:color w:val="auto"/>
                <w:w w:val="97"/>
              </w:rPr>
              <w:t>Nevada</w:t>
            </w:r>
          </w:p>
        </w:tc>
        <w:tc>
          <w:tcPr>
            <w:tcW w:w="0" w:type="dxa"/>
            <w:vAlign w:val="bottom"/>
          </w:tcPr>
          <w:p>
            <w:pPr>
              <w:spacing w:after="0"/>
              <w:rPr>
                <w:sz w:val="1"/>
                <w:szCs w:val="1"/>
                <w:color w:val="auto"/>
              </w:rPr>
            </w:pPr>
          </w:p>
        </w:tc>
      </w:tr>
      <w:tr>
        <w:trPr>
          <w:trHeight w:val="181"/>
        </w:trPr>
        <w:tc>
          <w:tcPr>
            <w:tcW w:w="3660" w:type="dxa"/>
            <w:vAlign w:val="bottom"/>
          </w:tcPr>
          <w:p>
            <w:pPr>
              <w:jc w:val="center"/>
              <w:ind w:left="1292"/>
              <w:spacing w:after="0"/>
              <w:rPr>
                <w:sz w:val="20"/>
                <w:szCs w:val="20"/>
                <w:color w:val="auto"/>
              </w:rPr>
            </w:pPr>
            <w:r>
              <w:rPr>
                <w:rFonts w:ascii="Times New Roman" w:cs="Times New Roman" w:eastAsia="Times New Roman" w:hAnsi="Times New Roman"/>
                <w:sz w:val="14"/>
                <w:szCs w:val="14"/>
                <w:color w:val="auto"/>
                <w:w w:val="97"/>
              </w:rPr>
              <w:t>(Address of Principal Executive Offices)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40" w:type="dxa"/>
            <w:vAlign w:val="bottom"/>
          </w:tcPr>
          <w:p>
            <w:pPr>
              <w:jc w:val="center"/>
              <w:ind w:right="1532"/>
              <w:spacing w:after="0"/>
              <w:rPr>
                <w:sz w:val="20"/>
                <w:szCs w:val="20"/>
                <w:color w:val="auto"/>
              </w:rPr>
            </w:pPr>
            <w:r>
              <w:rPr>
                <w:rFonts w:ascii="Times New Roman" w:cs="Times New Roman" w:eastAsia="Times New Roman" w:hAnsi="Times New Roman"/>
                <w:sz w:val="14"/>
                <w:szCs w:val="14"/>
                <w:color w:val="auto"/>
                <w:w w:val="96"/>
              </w:rPr>
              <w:t>(Zip Code)</w:t>
            </w:r>
          </w:p>
        </w:tc>
        <w:tc>
          <w:tcPr>
            <w:tcW w:w="0" w:type="dxa"/>
            <w:vAlign w:val="bottom"/>
          </w:tcPr>
          <w:p>
            <w:pPr>
              <w:spacing w:after="0"/>
              <w:rPr>
                <w:sz w:val="1"/>
                <w:szCs w:val="1"/>
                <w:color w:val="auto"/>
              </w:rPr>
            </w:pPr>
          </w:p>
        </w:tc>
      </w:tr>
      <w:tr>
        <w:trPr>
          <w:trHeight w:val="288"/>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5"/>
              </w:rPr>
              <w:t>(775) 622-3448</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60" w:type="dxa"/>
            <w:vAlign w:val="bottom"/>
          </w:tcPr>
          <w:p>
            <w:pPr>
              <w:spacing w:after="0"/>
              <w:rPr>
                <w:sz w:val="15"/>
                <w:szCs w:val="15"/>
                <w:color w:val="auto"/>
              </w:rPr>
            </w:pPr>
          </w:p>
        </w:tc>
        <w:tc>
          <w:tcPr>
            <w:tcW w:w="31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color w:val="auto"/>
                <w:w w:val="97"/>
              </w:rPr>
              <w:t>Registrant’s telephone number, including area code</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660" w:type="dxa"/>
            <w:vAlign w:val="bottom"/>
          </w:tcPr>
          <w:p>
            <w:pPr>
              <w:jc w:val="center"/>
              <w:ind w:left="172"/>
              <w:spacing w:after="0"/>
              <w:rPr>
                <w:sz w:val="20"/>
                <w:szCs w:val="20"/>
                <w:color w:val="auto"/>
              </w:rPr>
            </w:pPr>
            <w:r>
              <w:rPr>
                <w:rFonts w:ascii="Times New Roman" w:cs="Times New Roman" w:eastAsia="Times New Roman" w:hAnsi="Times New Roman"/>
                <w:sz w:val="14"/>
                <w:szCs w:val="14"/>
                <w:color w:val="auto"/>
                <w:w w:val="96"/>
              </w:rPr>
              <w:t>Title of each class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color w:val="auto"/>
                <w:w w:val="97"/>
              </w:rPr>
              <w:t>Trading Symbol(s)</w:t>
            </w:r>
          </w:p>
        </w:tc>
        <w:tc>
          <w:tcPr>
            <w:tcW w:w="3440" w:type="dxa"/>
            <w:vAlign w:val="bottom"/>
          </w:tcPr>
          <w:p>
            <w:pPr>
              <w:jc w:val="center"/>
              <w:ind w:right="392"/>
              <w:spacing w:after="0"/>
              <w:rPr>
                <w:sz w:val="20"/>
                <w:szCs w:val="20"/>
                <w:color w:val="auto"/>
              </w:rPr>
            </w:pPr>
            <w:r>
              <w:rPr>
                <w:rFonts w:ascii="Times New Roman" w:cs="Times New Roman" w:eastAsia="Times New Roman" w:hAnsi="Times New Roman"/>
                <w:sz w:val="14"/>
                <w:szCs w:val="14"/>
                <w:color w:val="auto"/>
                <w:w w:val="97"/>
              </w:rPr>
              <w:t>Name of each exchange on which registered</w:t>
            </w:r>
          </w:p>
        </w:tc>
        <w:tc>
          <w:tcPr>
            <w:tcW w:w="0" w:type="dxa"/>
            <w:vAlign w:val="bottom"/>
          </w:tcPr>
          <w:p>
            <w:pPr>
              <w:spacing w:after="0"/>
              <w:rPr>
                <w:sz w:val="1"/>
                <w:szCs w:val="1"/>
                <w:color w:val="auto"/>
              </w:rPr>
            </w:pPr>
          </w:p>
        </w:tc>
      </w:tr>
      <w:tr>
        <w:trPr>
          <w:trHeight w:val="139"/>
        </w:trPr>
        <w:tc>
          <w:tcPr>
            <w:tcW w:w="3660" w:type="dxa"/>
            <w:vAlign w:val="bottom"/>
            <w:tcBorders>
              <w:top w:val="single" w:sz="8" w:color="auto"/>
            </w:tcBorders>
          </w:tcPr>
          <w:p>
            <w:pPr>
              <w:jc w:val="center"/>
              <w:ind w:left="152"/>
              <w:spacing w:after="0" w:line="139" w:lineRule="exact"/>
              <w:rPr>
                <w:sz w:val="20"/>
                <w:szCs w:val="20"/>
                <w:color w:val="auto"/>
              </w:rPr>
            </w:pPr>
            <w:r>
              <w:rPr>
                <w:rFonts w:ascii="Times New Roman" w:cs="Times New Roman" w:eastAsia="Times New Roman" w:hAnsi="Times New Roman"/>
                <w:sz w:val="14"/>
                <w:szCs w:val="14"/>
                <w:color w:val="auto"/>
                <w:w w:val="97"/>
              </w:rPr>
              <w:t>Common stock, par value $0.0001 per share</w:t>
            </w: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6"/>
              </w:rPr>
              <w:t>DFLI</w:t>
            </w: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440" w:type="dxa"/>
            <w:vAlign w:val="bottom"/>
            <w:tcBorders>
              <w:top w:val="single" w:sz="8" w:color="auto"/>
            </w:tcBorders>
          </w:tcPr>
          <w:p>
            <w:pPr>
              <w:jc w:val="center"/>
              <w:ind w:right="372"/>
              <w:spacing w:after="0" w:line="139" w:lineRule="exact"/>
              <w:rPr>
                <w:sz w:val="20"/>
                <w:szCs w:val="20"/>
                <w:color w:val="auto"/>
              </w:rPr>
            </w:pPr>
            <w:r>
              <w:rPr>
                <w:rFonts w:ascii="Times New Roman" w:cs="Times New Roman" w:eastAsia="Times New Roman" w:hAnsi="Times New Roman"/>
                <w:sz w:val="14"/>
                <w:szCs w:val="14"/>
                <w:color w:val="auto"/>
                <w:w w:val="96"/>
              </w:rPr>
              <w:t>The Nasdaq Global Market</w:t>
            </w:r>
          </w:p>
        </w:tc>
        <w:tc>
          <w:tcPr>
            <w:tcW w:w="0" w:type="dxa"/>
            <w:vAlign w:val="bottom"/>
          </w:tcPr>
          <w:p>
            <w:pPr>
              <w:spacing w:after="0"/>
              <w:rPr>
                <w:sz w:val="1"/>
                <w:szCs w:val="1"/>
                <w:color w:val="auto"/>
              </w:rPr>
            </w:pPr>
          </w:p>
        </w:tc>
      </w:tr>
      <w:tr>
        <w:trPr>
          <w:trHeight w:val="156"/>
        </w:trPr>
        <w:tc>
          <w:tcPr>
            <w:tcW w:w="390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4"/>
                <w:szCs w:val="14"/>
                <w:color w:val="auto"/>
                <w:w w:val="97"/>
              </w:rPr>
              <w:t>Redeemable Warrants, exercisable for common stock at an exercise</w:t>
            </w:r>
          </w:p>
        </w:tc>
        <w:tc>
          <w:tcPr>
            <w:tcW w:w="200" w:type="dxa"/>
            <w:vAlign w:val="bottom"/>
          </w:tcPr>
          <w:p>
            <w:pPr>
              <w:spacing w:after="0"/>
              <w:rPr>
                <w:sz w:val="13"/>
                <w:szCs w:val="13"/>
                <w:color w:val="auto"/>
              </w:rPr>
            </w:pPr>
          </w:p>
        </w:tc>
        <w:tc>
          <w:tcPr>
            <w:tcW w:w="2700" w:type="dxa"/>
            <w:vAlign w:val="bottom"/>
            <w:gridSpan w:val="3"/>
            <w:vMerge w:val="restart"/>
          </w:tcPr>
          <w:p>
            <w:pPr>
              <w:jc w:val="center"/>
              <w:ind w:right="660"/>
              <w:spacing w:after="0"/>
              <w:rPr>
                <w:sz w:val="20"/>
                <w:szCs w:val="20"/>
                <w:color w:val="auto"/>
              </w:rPr>
            </w:pPr>
            <w:r>
              <w:rPr>
                <w:rFonts w:ascii="Times New Roman" w:cs="Times New Roman" w:eastAsia="Times New Roman" w:hAnsi="Times New Roman"/>
                <w:sz w:val="14"/>
                <w:szCs w:val="14"/>
                <w:color w:val="auto"/>
                <w:w w:val="99"/>
              </w:rPr>
              <w:t>DFLIW</w:t>
            </w:r>
          </w:p>
        </w:tc>
        <w:tc>
          <w:tcPr>
            <w:tcW w:w="3440" w:type="dxa"/>
            <w:vAlign w:val="bottom"/>
            <w:vMerge w:val="restart"/>
          </w:tcPr>
          <w:p>
            <w:pPr>
              <w:jc w:val="center"/>
              <w:ind w:right="392"/>
              <w:spacing w:after="0"/>
              <w:rPr>
                <w:sz w:val="20"/>
                <w:szCs w:val="20"/>
                <w:color w:val="auto"/>
              </w:rPr>
            </w:pPr>
            <w:r>
              <w:rPr>
                <w:rFonts w:ascii="Times New Roman" w:cs="Times New Roman" w:eastAsia="Times New Roman" w:hAnsi="Times New Roman"/>
                <w:sz w:val="14"/>
                <w:szCs w:val="14"/>
                <w:color w:val="auto"/>
                <w:w w:val="96"/>
              </w:rPr>
              <w:t>The Nasdaq Capital Market</w:t>
            </w:r>
          </w:p>
        </w:tc>
        <w:tc>
          <w:tcPr>
            <w:tcW w:w="0" w:type="dxa"/>
            <w:vAlign w:val="bottom"/>
          </w:tcPr>
          <w:p>
            <w:pPr>
              <w:spacing w:after="0"/>
              <w:rPr>
                <w:sz w:val="1"/>
                <w:szCs w:val="1"/>
                <w:color w:val="auto"/>
              </w:rPr>
            </w:pPr>
          </w:p>
        </w:tc>
      </w:tr>
      <w:tr>
        <w:trPr>
          <w:trHeight w:val="103"/>
        </w:trPr>
        <w:tc>
          <w:tcPr>
            <w:tcW w:w="3660" w:type="dxa"/>
            <w:vAlign w:val="bottom"/>
            <w:vMerge w:val="restart"/>
          </w:tcPr>
          <w:p>
            <w:pPr>
              <w:jc w:val="center"/>
              <w:ind w:left="172"/>
              <w:spacing w:after="0"/>
              <w:rPr>
                <w:sz w:val="20"/>
                <w:szCs w:val="20"/>
                <w:color w:val="auto"/>
              </w:rPr>
            </w:pPr>
            <w:r>
              <w:rPr>
                <w:rFonts w:ascii="Times New Roman" w:cs="Times New Roman" w:eastAsia="Times New Roman" w:hAnsi="Times New Roman"/>
                <w:sz w:val="14"/>
                <w:szCs w:val="14"/>
                <w:color w:val="auto"/>
                <w:w w:val="97"/>
              </w:rPr>
              <w:t>price of $11.50 per share, subject to adjustment</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700" w:type="dxa"/>
            <w:vAlign w:val="bottom"/>
            <w:gridSpan w:val="3"/>
            <w:vMerge w:val="continue"/>
          </w:tcPr>
          <w:p>
            <w:pPr>
              <w:spacing w:after="0"/>
              <w:rPr>
                <w:sz w:val="8"/>
                <w:szCs w:val="8"/>
                <w:color w:val="auto"/>
              </w:rPr>
            </w:pPr>
          </w:p>
        </w:tc>
        <w:tc>
          <w:tcPr>
            <w:tcW w:w="3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6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2"/>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u w:val="single" w:color="auto"/>
          <w:color w:val="auto"/>
        </w:rPr>
        <w:t>None</w:t>
      </w:r>
      <w:r>
        <w:rPr>
          <w:rFonts w:ascii="Times New Roman" w:cs="Times New Roman" w:eastAsia="Times New Roman" w:hAnsi="Times New Roman"/>
          <w:sz w:val="14"/>
          <w:szCs w:val="14"/>
          <w:color w:val="auto"/>
        </w:rPr>
        <w:t>.</w:t>
      </w:r>
    </w:p>
    <w:p>
      <w:pPr>
        <w:spacing w:after="0" w:line="105" w:lineRule="exact"/>
        <w:rPr>
          <w:sz w:val="24"/>
          <w:szCs w:val="24"/>
          <w:color w:val="auto"/>
        </w:rPr>
      </w:pPr>
    </w:p>
    <w:p>
      <w:pPr>
        <w:ind w:left="2"/>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Segoe UI" w:cs="Segoe UI" w:eastAsia="Segoe UI" w:hAnsi="Segoe UI"/>
          <w:sz w:val="14"/>
          <w:szCs w:val="14"/>
          <w:b w:val="1"/>
          <w:bCs w:val="1"/>
          <w:color w:val="auto"/>
        </w:rPr>
        <w:t>տ</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b w:val="1"/>
          <w:bCs w:val="1"/>
          <w:color w:val="auto"/>
        </w:rPr>
        <w:t>ց</w:t>
      </w:r>
    </w:p>
    <w:p>
      <w:pPr>
        <w:spacing w:after="0" w:line="127" w:lineRule="exact"/>
        <w:rPr>
          <w:sz w:val="24"/>
          <w:szCs w:val="24"/>
          <w:color w:val="auto"/>
        </w:rPr>
      </w:pPr>
    </w:p>
    <w:p>
      <w:pPr>
        <w:ind w:left="2"/>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Segoe UI" w:cs="Segoe UI" w:eastAsia="Segoe UI" w:hAnsi="Segoe UI"/>
          <w:sz w:val="14"/>
          <w:szCs w:val="14"/>
          <w:b w:val="1"/>
          <w:bCs w:val="1"/>
          <w:color w:val="auto"/>
        </w:rPr>
        <w:t>տ</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b w:val="1"/>
          <w:bCs w:val="1"/>
          <w:color w:val="auto"/>
        </w:rPr>
        <w:t>ց</w:t>
      </w:r>
    </w:p>
    <w:p>
      <w:pPr>
        <w:spacing w:after="0" w:line="175" w:lineRule="exact"/>
        <w:rPr>
          <w:sz w:val="24"/>
          <w:szCs w:val="24"/>
          <w:color w:val="auto"/>
        </w:rPr>
      </w:pPr>
    </w:p>
    <w:p>
      <w:pPr>
        <w:jc w:val="both"/>
        <w:ind w:left="2"/>
        <w:spacing w:after="0" w:line="32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4"/>
          <w:szCs w:val="14"/>
          <w:b w:val="1"/>
          <w:bCs w:val="1"/>
          <w:color w:val="auto"/>
        </w:rPr>
        <w:t>ց</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b w:val="1"/>
          <w:bCs w:val="1"/>
          <w:color w:val="auto"/>
        </w:rPr>
        <w:t>տ</w:t>
      </w:r>
    </w:p>
    <w:p>
      <w:pPr>
        <w:jc w:val="both"/>
        <w:ind w:left="2"/>
        <w:spacing w:after="0" w:line="32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Segoe UI" w:cs="Segoe UI" w:eastAsia="Segoe UI" w:hAnsi="Segoe UI"/>
          <w:sz w:val="14"/>
          <w:szCs w:val="14"/>
          <w:b w:val="1"/>
          <w:bCs w:val="1"/>
          <w:color w:val="auto"/>
        </w:rPr>
        <w:t>ց</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b w:val="1"/>
          <w:bCs w:val="1"/>
          <w:color w:val="auto"/>
        </w:rPr>
        <w:t>տ</w:t>
      </w:r>
    </w:p>
    <w:p>
      <w:pPr>
        <w:spacing w:after="0" w:line="1" w:lineRule="exact"/>
        <w:rPr>
          <w:sz w:val="24"/>
          <w:szCs w:val="24"/>
          <w:color w:val="auto"/>
        </w:rPr>
      </w:pPr>
    </w:p>
    <w:p>
      <w:pPr>
        <w:jc w:val="both"/>
        <w:ind w:left="2"/>
        <w:spacing w:after="0" w:line="26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8" w:lineRule="exact"/>
        <w:rPr>
          <w:sz w:val="24"/>
          <w:szCs w:val="24"/>
          <w:color w:val="auto"/>
        </w:rPr>
      </w:pPr>
    </w:p>
    <w:tbl>
      <w:tblPr>
        <w:tblLayout w:type="fixed"/>
        <w:tblInd w:w="2" w:type="dxa"/>
        <w:tblCellMar>
          <w:top w:w="0" w:type="dxa"/>
          <w:left w:w="0" w:type="dxa"/>
          <w:bottom w:w="0" w:type="dxa"/>
          <w:right w:w="0" w:type="dxa"/>
        </w:tblCellMar>
      </w:tblPr>
      <w:tr>
        <w:trPr>
          <w:trHeight w:val="202"/>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120" w:type="dxa"/>
            <w:vAlign w:val="bottom"/>
          </w:tcPr>
          <w:p>
            <w:pPr>
              <w:ind w:left="680"/>
              <w:spacing w:after="0"/>
              <w:rPr>
                <w:sz w:val="20"/>
                <w:szCs w:val="20"/>
                <w:color w:val="auto"/>
              </w:rPr>
            </w:pPr>
            <w:r>
              <w:rPr>
                <w:rFonts w:ascii="Segoe UI" w:cs="Segoe UI" w:eastAsia="Segoe UI" w:hAnsi="Segoe UI"/>
                <w:sz w:val="14"/>
                <w:szCs w:val="14"/>
                <w:b w:val="1"/>
                <w:bCs w:val="1"/>
                <w:color w:val="auto"/>
              </w:rPr>
              <w:t>տ</w:t>
            </w:r>
          </w:p>
        </w:tc>
        <w:tc>
          <w:tcPr>
            <w:tcW w:w="438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Accelerated filer</w:t>
            </w:r>
          </w:p>
        </w:tc>
        <w:tc>
          <w:tcPr>
            <w:tcW w:w="680" w:type="dxa"/>
            <w:vAlign w:val="bottom"/>
          </w:tcPr>
          <w:p>
            <w:pPr>
              <w:ind w:left="560"/>
              <w:spacing w:after="0"/>
              <w:rPr>
                <w:sz w:val="20"/>
                <w:szCs w:val="20"/>
                <w:color w:val="auto"/>
              </w:rPr>
            </w:pPr>
            <w:r>
              <w:rPr>
                <w:rFonts w:ascii="Segoe UI" w:cs="Segoe UI" w:eastAsia="Segoe UI" w:hAnsi="Segoe UI"/>
                <w:sz w:val="14"/>
                <w:szCs w:val="14"/>
                <w:b w:val="1"/>
                <w:bCs w:val="1"/>
                <w:color w:val="auto"/>
                <w:w w:val="78"/>
              </w:rPr>
              <w:t>տ</w:t>
            </w:r>
          </w:p>
        </w:tc>
      </w:tr>
      <w:tr>
        <w:trPr>
          <w:trHeight w:val="157"/>
        </w:trPr>
        <w:tc>
          <w:tcPr>
            <w:tcW w:w="192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Non-accelerated filer</w:t>
            </w:r>
          </w:p>
        </w:tc>
        <w:tc>
          <w:tcPr>
            <w:tcW w:w="3120" w:type="dxa"/>
            <w:vAlign w:val="bottom"/>
          </w:tcPr>
          <w:p>
            <w:pPr>
              <w:ind w:left="680"/>
              <w:spacing w:after="0" w:line="157" w:lineRule="exact"/>
              <w:rPr>
                <w:sz w:val="20"/>
                <w:szCs w:val="20"/>
                <w:color w:val="auto"/>
              </w:rPr>
            </w:pPr>
            <w:r>
              <w:rPr>
                <w:rFonts w:ascii="Segoe UI" w:cs="Segoe UI" w:eastAsia="Segoe UI" w:hAnsi="Segoe UI"/>
                <w:sz w:val="14"/>
                <w:szCs w:val="14"/>
                <w:b w:val="1"/>
                <w:bCs w:val="1"/>
                <w:color w:val="auto"/>
              </w:rPr>
              <w:t>ց</w:t>
            </w:r>
          </w:p>
        </w:tc>
        <w:tc>
          <w:tcPr>
            <w:tcW w:w="4380" w:type="dxa"/>
            <w:vAlign w:val="bottom"/>
          </w:tcPr>
          <w:p>
            <w:pPr>
              <w:ind w:left="2340"/>
              <w:spacing w:after="0" w:line="157" w:lineRule="exact"/>
              <w:rPr>
                <w:sz w:val="20"/>
                <w:szCs w:val="20"/>
                <w:color w:val="auto"/>
              </w:rPr>
            </w:pPr>
            <w:r>
              <w:rPr>
                <w:rFonts w:ascii="Times New Roman" w:cs="Times New Roman" w:eastAsia="Times New Roman" w:hAnsi="Times New Roman"/>
                <w:sz w:val="14"/>
                <w:szCs w:val="14"/>
                <w:color w:val="auto"/>
              </w:rPr>
              <w:t>Smaller reporting company</w:t>
            </w:r>
          </w:p>
        </w:tc>
        <w:tc>
          <w:tcPr>
            <w:tcW w:w="680" w:type="dxa"/>
            <w:vAlign w:val="bottom"/>
          </w:tcPr>
          <w:p>
            <w:pPr>
              <w:ind w:left="560"/>
              <w:spacing w:after="0" w:line="157" w:lineRule="exact"/>
              <w:rPr>
                <w:sz w:val="20"/>
                <w:szCs w:val="20"/>
                <w:color w:val="auto"/>
              </w:rPr>
            </w:pPr>
            <w:r>
              <w:rPr>
                <w:rFonts w:ascii="Segoe UI" w:cs="Segoe UI" w:eastAsia="Segoe UI" w:hAnsi="Segoe UI"/>
                <w:sz w:val="14"/>
                <w:szCs w:val="14"/>
                <w:b w:val="1"/>
                <w:bCs w:val="1"/>
                <w:color w:val="auto"/>
              </w:rPr>
              <w:t>ց</w:t>
            </w:r>
          </w:p>
        </w:tc>
      </w:tr>
      <w:tr>
        <w:trPr>
          <w:trHeight w:val="308"/>
        </w:trPr>
        <w:tc>
          <w:tcPr>
            <w:tcW w:w="19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38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680" w:type="dxa"/>
            <w:vAlign w:val="bottom"/>
          </w:tcPr>
          <w:p>
            <w:pPr>
              <w:ind w:left="560"/>
              <w:spacing w:after="0"/>
              <w:rPr>
                <w:sz w:val="20"/>
                <w:szCs w:val="20"/>
                <w:color w:val="auto"/>
              </w:rPr>
            </w:pPr>
            <w:r>
              <w:rPr>
                <w:rFonts w:ascii="Segoe UI" w:cs="Segoe UI" w:eastAsia="Segoe UI" w:hAnsi="Segoe UI"/>
                <w:sz w:val="14"/>
                <w:szCs w:val="14"/>
                <w:b w:val="1"/>
                <w:bCs w:val="1"/>
                <w:color w:val="auto"/>
              </w:rPr>
              <w:t>ց</w:t>
            </w:r>
          </w:p>
        </w:tc>
      </w:tr>
    </w:tbl>
    <w:p>
      <w:pPr>
        <w:spacing w:after="0" w:line="6" w:lineRule="exact"/>
        <w:rPr>
          <w:sz w:val="24"/>
          <w:szCs w:val="24"/>
          <w:color w:val="auto"/>
        </w:rPr>
      </w:pPr>
    </w:p>
    <w:p>
      <w:pPr>
        <w:ind w:left="2"/>
        <w:spacing w:after="0" w:line="324"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4"/>
          <w:szCs w:val="14"/>
          <w:b w:val="1"/>
          <w:bCs w:val="1"/>
          <w:color w:val="auto"/>
        </w:rPr>
        <w:t>տ</w:t>
      </w:r>
    </w:p>
    <w:p>
      <w:pPr>
        <w:spacing w:after="0" w:line="1" w:lineRule="exact"/>
        <w:rPr>
          <w:sz w:val="24"/>
          <w:szCs w:val="24"/>
          <w:color w:val="auto"/>
        </w:rPr>
      </w:pPr>
    </w:p>
    <w:p>
      <w:pPr>
        <w:ind w:left="2"/>
        <w:spacing w:after="0" w:line="32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4"/>
          <w:szCs w:val="14"/>
          <w:b w:val="1"/>
          <w:bCs w:val="1"/>
          <w:color w:val="auto"/>
        </w:rPr>
        <w:t>տ</w:t>
      </w:r>
    </w:p>
    <w:p>
      <w:pPr>
        <w:ind w:left="2"/>
        <w:spacing w:after="0" w:line="324"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statements. </w:t>
      </w:r>
      <w:r>
        <w:rPr>
          <w:rFonts w:ascii="Segoe UI" w:cs="Segoe UI" w:eastAsia="Segoe UI" w:hAnsi="Segoe UI"/>
          <w:sz w:val="14"/>
          <w:szCs w:val="14"/>
          <w:b w:val="1"/>
          <w:bCs w:val="1"/>
          <w:color w:val="auto"/>
        </w:rPr>
        <w:t>տ</w:t>
      </w:r>
    </w:p>
    <w:p>
      <w:pPr>
        <w:ind w:left="2"/>
        <w:spacing w:after="0" w:line="290"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Segoe UI" w:cs="Segoe UI" w:eastAsia="Segoe UI" w:hAnsi="Segoe UI"/>
          <w:sz w:val="14"/>
          <w:szCs w:val="14"/>
          <w:b w:val="1"/>
          <w:bCs w:val="1"/>
          <w:color w:val="auto"/>
        </w:rPr>
        <w:t>տ</w:t>
      </w:r>
    </w:p>
    <w:p>
      <w:pPr>
        <w:spacing w:after="0" w:line="1" w:lineRule="exact"/>
        <w:rPr>
          <w:sz w:val="24"/>
          <w:szCs w:val="24"/>
          <w:color w:val="auto"/>
        </w:rPr>
      </w:pPr>
    </w:p>
    <w:p>
      <w:pPr>
        <w:ind w:left="2"/>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Segoe UI" w:cs="Segoe UI" w:eastAsia="Segoe UI" w:hAnsi="Segoe UI"/>
          <w:sz w:val="14"/>
          <w:szCs w:val="14"/>
          <w:b w:val="1"/>
          <w:bCs w:val="1"/>
          <w:color w:val="auto"/>
        </w:rPr>
        <w:t>տ</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b w:val="1"/>
          <w:bCs w:val="1"/>
          <w:color w:val="auto"/>
        </w:rPr>
        <w:t>ց</w:t>
      </w:r>
    </w:p>
    <w:p>
      <w:pPr>
        <w:spacing w:after="0" w:line="174" w:lineRule="exact"/>
        <w:rPr>
          <w:sz w:val="24"/>
          <w:szCs w:val="24"/>
          <w:color w:val="auto"/>
        </w:rPr>
      </w:pPr>
    </w:p>
    <w:p>
      <w:pPr>
        <w:ind w:left="2"/>
        <w:spacing w:after="0" w:line="347" w:lineRule="auto"/>
        <w:rPr>
          <w:sz w:val="20"/>
          <w:szCs w:val="20"/>
          <w:color w:val="auto"/>
        </w:rPr>
      </w:pPr>
      <w:r>
        <w:rPr>
          <w:rFonts w:ascii="Times New Roman" w:cs="Times New Roman" w:eastAsia="Times New Roman" w:hAnsi="Times New Roman"/>
          <w:sz w:val="12"/>
          <w:szCs w:val="12"/>
          <w:color w:val="auto"/>
        </w:rPr>
        <w:t>The aggregate market value of voting stock held by non-affiliates of the Registrant on June 30, 2022, based on the closing price of $10.1499 for shares of the registrant’s common stock as reported by the Nasdaq Global Market, was approximately $128.4 million. Shares of common stock beneficially owned by each executive officer, director, and holder of more than 10% of</w:t>
      </w:r>
    </w:p>
    <w:p>
      <w:pPr>
        <w:sectPr>
          <w:pgSz w:w="12240" w:h="15840" w:orient="portrait"/>
          <w:cols w:equalWidth="0" w:num="1">
            <w:col w:w="10242"/>
          </w:cols>
          <w:pgMar w:left="998" w:top="1361" w:right="1000" w:bottom="593" w:gutter="0" w:footer="0" w:header="0"/>
        </w:sectPr>
      </w:pPr>
    </w:p>
    <w:bookmarkStart w:id="1" w:name="page2"/>
    <w:bookmarkEnd w:id="1"/>
    <w:p>
      <w:pPr>
        <w:spacing w:after="0" w:line="263" w:lineRule="auto"/>
        <w:rPr>
          <w:sz w:val="20"/>
          <w:szCs w:val="20"/>
          <w:color w:val="auto"/>
        </w:rPr>
      </w:pPr>
      <w:r>
        <w:rPr>
          <w:rFonts w:ascii="Times New Roman" w:cs="Times New Roman" w:eastAsia="Times New Roman" w:hAnsi="Times New Roman"/>
          <w:sz w:val="14"/>
          <w:szCs w:val="14"/>
          <w:color w:val="auto"/>
        </w:rPr>
        <w:t>our common stock have been excluded in that such persons may be deemed to be affiliates. This determination of affiliate status is not necessarily a conclusive determination for other purposes.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21, 2023, there were 45,794,923 shares of the registrant’s common stock, par value $0.0001 per share, issued and outstanding.</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5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Portions of the registrant’s Proxy Statement relating to the 2023 Annual Meeting of Stockholders, scheduled to be filed with the Securities and Exchange Commission within 120 days after the end of the registrant’s fiscal year ended December 31, 2022,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76835</wp:posOffset>
            </wp:positionV>
            <wp:extent cx="6535420" cy="82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6535420" cy="825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-3810</wp:posOffset>
                </wp:positionH>
                <wp:positionV relativeFrom="paragraph">
                  <wp:posOffset>348615</wp:posOffset>
                </wp:positionV>
                <wp:extent cx="650938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7.45pt" to="512.25pt,27.45pt" o:allowincell="f" strokecolor="#000000" strokeweight="1.26pt"/>
            </w:pict>
          </mc:Fallback>
        </mc:AlternateContent>
      </w:r>
    </w:p>
    <w:p>
      <w:pPr>
        <w:sectPr>
          <w:pgSz w:w="12240" w:h="15840" w:orient="portrait"/>
          <w:cols w:equalWidth="0" w:num="1">
            <w:col w:w="10240"/>
          </w:cols>
          <w:pgMar w:left="1000" w:top="897" w:right="100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7"/>
        </w:trPr>
        <w:tc>
          <w:tcPr>
            <w:tcW w:w="9660" w:type="dxa"/>
            <w:vAlign w:val="bottom"/>
          </w:tcPr>
          <w:p>
            <w:pPr>
              <w:ind w:left="43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9660" w:type="dxa"/>
            <w:vAlign w:val="bottom"/>
            <w:tcBorders>
              <w:bottom w:val="single" w:sz="8" w:color="D1EEF5"/>
            </w:tcBorders>
          </w:tcPr>
          <w:p>
            <w:pPr>
              <w:spacing w:after="0"/>
              <w:rPr>
                <w:sz w:val="24"/>
                <w:szCs w:val="24"/>
                <w:color w:val="auto"/>
              </w:rPr>
            </w:pPr>
          </w:p>
        </w:tc>
        <w:tc>
          <w:tcPr>
            <w:tcW w:w="6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58"/>
        </w:trPr>
        <w:tc>
          <w:tcPr>
            <w:tcW w:w="9660" w:type="dxa"/>
            <w:vAlign w:val="bottom"/>
            <w:shd w:val="clear" w:color="auto" w:fill="D1EEF5"/>
          </w:tcPr>
          <w:p>
            <w:pPr>
              <w:spacing w:after="0" w:line="159" w:lineRule="exact"/>
              <w:rPr>
                <w:sz w:val="20"/>
                <w:szCs w:val="20"/>
                <w:color w:val="auto"/>
              </w:rPr>
            </w:pPr>
            <w:r>
              <w:rPr>
                <w:rFonts w:ascii="Times New Roman" w:cs="Times New Roman" w:eastAsia="Times New Roman" w:hAnsi="Times New Roman"/>
                <w:sz w:val="14"/>
                <w:szCs w:val="14"/>
                <w:color w:val="auto"/>
              </w:rPr>
              <w:t>Part I</w:t>
            </w:r>
          </w:p>
        </w:tc>
        <w:tc>
          <w:tcPr>
            <w:tcW w:w="580" w:type="dxa"/>
            <w:vAlign w:val="bottom"/>
            <w:shd w:val="clear" w:color="auto" w:fill="D1EEF5"/>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Item 1. Business</w:t>
            </w:r>
          </w:p>
        </w:tc>
        <w:tc>
          <w:tcPr>
            <w:tcW w:w="5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Item 1A. Risk Factors</w:t>
            </w:r>
          </w:p>
        </w:tc>
        <w:tc>
          <w:tcPr>
            <w:tcW w:w="5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Item 1B. Unresolved Staff Comments</w:t>
            </w:r>
          </w:p>
        </w:tc>
        <w:tc>
          <w:tcPr>
            <w:tcW w:w="5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Item 2. Properties</w:t>
            </w:r>
          </w:p>
        </w:tc>
        <w:tc>
          <w:tcPr>
            <w:tcW w:w="5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966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Item 3. Legal Proceedings</w:t>
            </w:r>
          </w:p>
        </w:tc>
        <w:tc>
          <w:tcPr>
            <w:tcW w:w="58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Item 4. Mine Safety Disclosures</w:t>
            </w:r>
          </w:p>
        </w:tc>
        <w:tc>
          <w:tcPr>
            <w:tcW w:w="5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966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Part II</w:t>
            </w:r>
          </w:p>
        </w:tc>
        <w:tc>
          <w:tcPr>
            <w:tcW w:w="58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Item 5. Market for Registrant’s Common Equity, Related Stockholder Matters and Issuer Purchases of Equity Securities</w:t>
            </w:r>
          </w:p>
        </w:tc>
        <w:tc>
          <w:tcPr>
            <w:tcW w:w="5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42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966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Item 6. [Reserved]</w:t>
            </w:r>
          </w:p>
        </w:tc>
        <w:tc>
          <w:tcPr>
            <w:tcW w:w="58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Item 7. Management’s Discussion and Analysis of Financial Condition and Results of Operations</w:t>
            </w:r>
          </w:p>
        </w:tc>
        <w:tc>
          <w:tcPr>
            <w:tcW w:w="5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Item 7A. Quantitative and Qualitative Disclosures about Market Risk</w:t>
            </w:r>
          </w:p>
        </w:tc>
        <w:tc>
          <w:tcPr>
            <w:tcW w:w="5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Item 8. Financial Statements and Supplementary Data</w:t>
            </w:r>
          </w:p>
        </w:tc>
        <w:tc>
          <w:tcPr>
            <w:tcW w:w="5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Item 9. Changes in and Disagreements with Accountants on Accounting and Financial Disclosure</w:t>
            </w:r>
          </w:p>
        </w:tc>
        <w:tc>
          <w:tcPr>
            <w:tcW w:w="5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966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Item 9A. Controls and Procedures</w:t>
            </w:r>
          </w:p>
        </w:tc>
        <w:tc>
          <w:tcPr>
            <w:tcW w:w="58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Item 9B. Other Information</w:t>
            </w:r>
          </w:p>
        </w:tc>
        <w:tc>
          <w:tcPr>
            <w:tcW w:w="5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966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Item 9C. Disclosure Regarding Foreign Jurisdiction that Prevent Inspections</w:t>
            </w:r>
          </w:p>
        </w:tc>
        <w:tc>
          <w:tcPr>
            <w:tcW w:w="58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Part III</w:t>
            </w:r>
          </w:p>
        </w:tc>
        <w:tc>
          <w:tcPr>
            <w:tcW w:w="5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966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Item 10. Directors, Executive Officers and Corporate Governance</w:t>
            </w:r>
          </w:p>
        </w:tc>
        <w:tc>
          <w:tcPr>
            <w:tcW w:w="58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Item 11. Executive Compensation</w:t>
            </w:r>
          </w:p>
        </w:tc>
        <w:tc>
          <w:tcPr>
            <w:tcW w:w="5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Item 12. Security Ownership of Certain Beneficial Owners and Management and Related Stockholder Matters</w:t>
            </w:r>
          </w:p>
        </w:tc>
        <w:tc>
          <w:tcPr>
            <w:tcW w:w="5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57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Item 13. Certain Relationships and Related Transactions, and Director Independence</w:t>
            </w:r>
          </w:p>
        </w:tc>
        <w:tc>
          <w:tcPr>
            <w:tcW w:w="5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Item 14. Principal Accountant Fees and Services</w:t>
            </w:r>
          </w:p>
        </w:tc>
        <w:tc>
          <w:tcPr>
            <w:tcW w:w="5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966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Part IV</w:t>
            </w:r>
          </w:p>
        </w:tc>
        <w:tc>
          <w:tcPr>
            <w:tcW w:w="58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Item 15. Exhibit and Financial Statement Schedules</w:t>
            </w:r>
          </w:p>
        </w:tc>
        <w:tc>
          <w:tcPr>
            <w:tcW w:w="5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966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Item 16. Form 10-K Summary</w:t>
            </w:r>
          </w:p>
        </w:tc>
        <w:tc>
          <w:tcPr>
            <w:tcW w:w="58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SIGNATURES</w:t>
            </w:r>
          </w:p>
        </w:tc>
        <w:tc>
          <w:tcPr>
            <w:tcW w:w="5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9660" w:type="dxa"/>
            <w:vAlign w:val="bottom"/>
            <w:tcBorders>
              <w:bottom w:val="single" w:sz="8" w:color="auto"/>
            </w:tcBorders>
          </w:tcPr>
          <w:p>
            <w:pPr>
              <w:ind w:left="5100"/>
              <w:spacing w:after="0"/>
              <w:rPr>
                <w:sz w:val="20"/>
                <w:szCs w:val="20"/>
                <w:color w:val="auto"/>
              </w:rPr>
            </w:pPr>
            <w:r>
              <w:rPr>
                <w:rFonts w:ascii="Times New Roman" w:cs="Times New Roman" w:eastAsia="Times New Roman" w:hAnsi="Times New Roman"/>
                <w:sz w:val="14"/>
                <w:szCs w:val="14"/>
                <w:color w:val="auto"/>
              </w:rPr>
              <w:t>i</w:t>
            </w: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240"/>
          </w:cols>
          <w:pgMar w:left="1000" w:top="1208" w:right="100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5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made pursuant to the safe harbor provisions of the Private Securities Litigation Reform Act of 1995 under Section 27A of the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 -looking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spacing w:after="0" w:line="1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There are a number of important factors that could cause the actual results to differ materially from those expressed in any forward-looking statement made by us. These factors include, but are not limited to:</w:t>
      </w:r>
    </w:p>
    <w:p>
      <w:pPr>
        <w:spacing w:after="0" w:line="116" w:lineRule="exact"/>
        <w:rPr>
          <w:sz w:val="20"/>
          <w:szCs w:val="20"/>
          <w:color w:val="auto"/>
        </w:rPr>
      </w:pPr>
    </w:p>
    <w:p>
      <w:pPr>
        <w:ind w:left="480" w:hanging="237"/>
        <w:spacing w:after="0"/>
        <w:tabs>
          <w:tab w:leader="none" w:pos="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recognize the anticipated benefits of our recent Business Combination (as defined herein), which may be affected by, among other things, the factors listed below;</w:t>
      </w:r>
    </w:p>
    <w:p>
      <w:pPr>
        <w:spacing w:after="0" w:line="38" w:lineRule="exact"/>
        <w:rPr>
          <w:rFonts w:ascii="Times New Roman" w:cs="Times New Roman" w:eastAsia="Times New Roman" w:hAnsi="Times New Roman"/>
          <w:sz w:val="12"/>
          <w:szCs w:val="12"/>
          <w:color w:val="auto"/>
        </w:rPr>
      </w:pPr>
    </w:p>
    <w:p>
      <w:pPr>
        <w:ind w:left="480" w:hanging="237"/>
        <w:spacing w:after="0" w:line="234"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increase market penetration into target markets;</w:t>
      </w:r>
    </w:p>
    <w:p>
      <w:pPr>
        <w:ind w:left="480" w:hanging="237"/>
        <w:spacing w:after="0" w:line="232"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addressable markets that we intend to target do not grow as expected;</w:t>
      </w:r>
    </w:p>
    <w:p>
      <w:pPr>
        <w:ind w:left="480" w:hanging="237"/>
        <w:spacing w:after="0" w:line="232"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any members of our senior management team or other key personnel;</w:t>
      </w:r>
    </w:p>
    <w:p>
      <w:pPr>
        <w:ind w:left="480" w:hanging="237"/>
        <w:spacing w:after="0" w:line="234"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any relationships with key suppliers, including suppliers in China;</w:t>
      </w:r>
    </w:p>
    <w:p>
      <w:pPr>
        <w:ind w:left="480" w:hanging="237"/>
        <w:spacing w:after="0" w:line="232"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any relationships with key customers;</w:t>
      </w:r>
    </w:p>
    <w:p>
      <w:pPr>
        <w:ind w:left="480" w:hanging="237"/>
        <w:spacing w:after="0" w:line="232"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patents and other intellectual property;</w:t>
      </w:r>
    </w:p>
    <w:p>
      <w:pPr>
        <w:ind w:left="480" w:hanging="237"/>
        <w:spacing w:after="0" w:line="232"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to successfully optimize solid-state cells or to produce commercially viable solid-state cells in a timely manner or at all, or to scale to mass production;</w:t>
      </w:r>
    </w:p>
    <w:p>
      <w:pPr>
        <w:ind w:left="480" w:hanging="237"/>
        <w:spacing w:after="0" w:line="234"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applicable laws or regulations;</w:t>
      </w:r>
    </w:p>
    <w:p>
      <w:pPr>
        <w:ind w:left="480" w:hanging="237"/>
        <w:spacing w:after="0" w:line="232"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the listing of our common stock on the Nasdaq Global Market and Public Warrants (as defined herein) on the Nasdaq Capital Market;</w:t>
      </w:r>
    </w:p>
    <w:p>
      <w:pPr>
        <w:ind w:left="480" w:hanging="237"/>
        <w:spacing w:after="0" w:line="232"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we may be adversely affected by other economic, business and/or competitive factors (including an economic slowdown or inflationary pressures);</w:t>
      </w:r>
    </w:p>
    <w:p>
      <w:pPr>
        <w:ind w:left="480" w:hanging="237"/>
        <w:spacing w:after="0" w:line="234"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COVID-19 pandemic, including any mutations or variants thereof, and its effect on business and financial conditions;</w:t>
      </w:r>
    </w:p>
    <w:p>
      <w:pPr>
        <w:ind w:left="480" w:hanging="237"/>
        <w:spacing w:after="0" w:line="232"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sell the desired amounts of shares of common stock at desired prices under our equity facility;</w:t>
      </w:r>
    </w:p>
    <w:p>
      <w:pPr>
        <w:ind w:left="480" w:hanging="237"/>
        <w:spacing w:after="0" w:line="232"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events or circumstances that result in our failure to timely achieve the anticipated benefits of our customer arrangements with THOR Industries and its affiliate brands (including Keystone RV Company);</w:t>
      </w:r>
    </w:p>
    <w:p>
      <w:pPr>
        <w:ind w:left="480" w:hanging="237"/>
        <w:spacing w:after="0" w:line="234"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additional capital to fund our operations;</w:t>
      </w:r>
    </w:p>
    <w:p>
      <w:pPr>
        <w:ind w:left="480" w:hanging="237"/>
        <w:spacing w:after="0" w:line="232"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revenue from future product sales and our ability to achieve and maintain profitability;</w:t>
      </w:r>
    </w:p>
    <w:p>
      <w:pPr>
        <w:ind w:left="480" w:hanging="237"/>
        <w:spacing w:after="0" w:line="232"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projections and estimates regarding our expenses, capital requirements, cash utilization, and need for additional financing;</w:t>
      </w:r>
    </w:p>
    <w:p>
      <w:pPr>
        <w:ind w:left="480" w:hanging="237"/>
        <w:spacing w:after="0" w:line="234"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ind w:left="480" w:hanging="237"/>
        <w:spacing w:after="0" w:line="232"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engage target customers and successfully retain these customers for future orders;</w:t>
      </w:r>
    </w:p>
    <w:p>
      <w:pPr>
        <w:ind w:left="480" w:hanging="237"/>
        <w:spacing w:after="0" w:line="232"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reliance on two suppliers for our lithium iron phosphate cells and a single supplier for the manufacture of our battery management system; and</w:t>
      </w:r>
    </w:p>
    <w:p>
      <w:pPr>
        <w:ind w:left="480" w:hanging="237"/>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current dependence on a single manufacturing facility.</w:t>
      </w:r>
    </w:p>
    <w:p>
      <w:pPr>
        <w:spacing w:after="0" w:line="1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 w:cs="Times New Roman" w:eastAsia="Times New Roman" w:hAnsi="Times New Roman"/>
          <w:sz w:val="14"/>
          <w:szCs w:val="14"/>
          <w:i w:val="1"/>
          <w:iCs w:val="1"/>
          <w:color w:val="auto"/>
        </w:rPr>
        <w:t>Part I—Item 1A—Risk Factors</w:t>
      </w:r>
      <w:r>
        <w:rPr>
          <w:rFonts w:ascii="Times New Roman" w:cs="Times New Roman" w:eastAsia="Times New Roman" w:hAnsi="Times New Roman"/>
          <w:sz w:val="14"/>
          <w:szCs w:val="14"/>
          <w:color w:val="auto"/>
        </w:rPr>
        <w:t>” for additional risks which could adversely impact our business and financial performance.</w:t>
      </w:r>
    </w:p>
    <w:p>
      <w:pPr>
        <w:spacing w:after="0" w:line="12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2"/>
          <w:szCs w:val="12"/>
          <w:color w:val="auto"/>
        </w:rPr>
        <w:t>All forward-looking statements are expressly qualified in their entirety by this cautionary notice. You are cautioned not to place undue reliance on any forward- looking statements, which speak only as of the date of this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wp:posOffset>
                </wp:positionV>
                <wp:extent cx="650938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85pt" to="512.25pt,0.85pt" o:allowincell="f" strokecolor="#000000" strokeweight="1.2599pt"/>
            </w:pict>
          </mc:Fallback>
        </mc:AlternateContent>
      </w:r>
    </w:p>
    <w:p>
      <w:pPr>
        <w:sectPr>
          <w:pgSz w:w="12240" w:h="15840" w:orient="portrait"/>
          <w:cols w:equalWidth="0" w:num="1">
            <w:col w:w="10240"/>
          </w:cols>
          <w:pgMar w:left="1000" w:top="1208" w:right="100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All references in this report to “Dragonfly,” the “Company,” “we,” “us,” or “our” mean Dragonfly Energy Holdings Corp. and its subsidiaries unless stated otherwise or the context otherwise indicates.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We are a manufacturer of non-toxic deep cycle lithium-ion batteries that caters to customers in the consumer (including the recreational vehicle (“</w:t>
      </w:r>
      <w:r>
        <w:rPr>
          <w:rFonts w:ascii="Times New Roman" w:cs="Times New Roman" w:eastAsia="Times New Roman" w:hAnsi="Times New Roman"/>
          <w:sz w:val="14"/>
          <w:szCs w:val="14"/>
          <w:b w:val="1"/>
          <w:bCs w:val="1"/>
          <w:color w:val="auto"/>
        </w:rPr>
        <w:t>RV</w:t>
      </w:r>
      <w:r>
        <w:rPr>
          <w:rFonts w:ascii="Times New Roman" w:cs="Times New Roman" w:eastAsia="Times New Roman" w:hAnsi="Times New Roman"/>
          <w:sz w:val="14"/>
          <w:szCs w:val="14"/>
          <w:color w:val="auto"/>
        </w:rPr>
        <w:t>”), marine vessel and off-grid residence industries), industrial and energy storage markets,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2"/>
          <w:szCs w:val="12"/>
          <w:color w:val="auto"/>
        </w:rPr>
        <w:t>Our deep cycle lithium iron phosphate (“</w:t>
      </w:r>
      <w:r>
        <w:rPr>
          <w:rFonts w:ascii="Times New Roman" w:cs="Times New Roman" w:eastAsia="Times New Roman" w:hAnsi="Times New Roman"/>
          <w:sz w:val="12"/>
          <w:szCs w:val="12"/>
          <w:b w:val="1"/>
          <w:bCs w:val="1"/>
          <w:color w:val="auto"/>
        </w:rPr>
        <w:t>LFP</w:t>
      </w:r>
      <w:r>
        <w:rPr>
          <w:rFonts w:ascii="Times New Roman" w:cs="Times New Roman" w:eastAsia="Times New Roman" w:hAnsi="Times New Roman"/>
          <w:sz w:val="12"/>
          <w:szCs w:val="12"/>
          <w:color w:val="auto"/>
        </w:rPr>
        <w:t>”) batteries provide numerous advantages compared to incumbent products, such as lead-acid batteries. LFP batteries are non-toxic and environmentally friendly, do not rely on scarce or controversial metals and are a highly cost-effective storage solution. LFP batteries use lithium iron phosphate (LiFePO4) as the cathode material for lithium-ion cells rather than nickel or cobalt. Although the energy density of LFP batteries is lower, they have a longer cycle life and experience a slower rate of capacity loss. LFP is also intrinsically safer than sulfide gases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most other companies that still incorporate less stable components in their chemistries (such as sulfide glasses, which are chemically unstable and form hydrogen sulfide when exposed to air).</w:t>
      </w:r>
    </w:p>
    <w:p>
      <w:pPr>
        <w:spacing w:after="0" w:line="1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We have a dual-brand strategy for battery products, Dragonfly Energy (“</w:t>
      </w:r>
      <w:r>
        <w:rPr>
          <w:rFonts w:ascii="Times New Roman" w:cs="Times New Roman" w:eastAsia="Times New Roman" w:hAnsi="Times New Roman"/>
          <w:sz w:val="14"/>
          <w:szCs w:val="14"/>
          <w:b w:val="1"/>
          <w:bCs w:val="1"/>
          <w:color w:val="auto"/>
        </w:rPr>
        <w:t>Dragonfly Energy</w:t>
      </w:r>
      <w:r>
        <w:rPr>
          <w:rFonts w:ascii="Times New Roman" w:cs="Times New Roman" w:eastAsia="Times New Roman" w:hAnsi="Times New Roman"/>
          <w:sz w:val="14"/>
          <w:szCs w:val="14"/>
          <w:color w:val="auto"/>
        </w:rPr>
        <w:t>”) and Battle Born Batteries (“</w:t>
      </w:r>
      <w:r>
        <w:rPr>
          <w:rFonts w:ascii="Times New Roman" w:cs="Times New Roman" w:eastAsia="Times New Roman" w:hAnsi="Times New Roman"/>
          <w:sz w:val="14"/>
          <w:szCs w:val="14"/>
          <w:b w:val="1"/>
          <w:bCs w:val="1"/>
          <w:color w:val="auto"/>
        </w:rPr>
        <w:t>Battle Born</w:t>
      </w:r>
      <w:r>
        <w:rPr>
          <w:rFonts w:ascii="Times New Roman" w:cs="Times New Roman" w:eastAsia="Times New Roman" w:hAnsi="Times New Roman"/>
          <w:sz w:val="14"/>
          <w:szCs w:val="14"/>
          <w:color w:val="auto"/>
        </w:rPr>
        <w:t>”). Battle Born branded products are primarily sold direct to consumers, while the Dragonfly Energy brand is primarily sold to original equipment manufacturers (“</w:t>
      </w:r>
      <w:r>
        <w:rPr>
          <w:rFonts w:ascii="Times New Roman" w:cs="Times New Roman" w:eastAsia="Times New Roman" w:hAnsi="Times New Roman"/>
          <w:sz w:val="14"/>
          <w:szCs w:val="14"/>
          <w:b w:val="1"/>
          <w:bCs w:val="1"/>
          <w:color w:val="auto"/>
        </w:rPr>
        <w:t>OEMs</w:t>
      </w:r>
      <w:r>
        <w:rPr>
          <w:rFonts w:ascii="Times New Roman" w:cs="Times New Roman" w:eastAsia="Times New Roman" w:hAnsi="Times New Roman"/>
          <w:sz w:val="14"/>
          <w:szCs w:val="14"/>
          <w:color w:val="auto"/>
        </w:rPr>
        <w:t>”).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LFP cells incorporated into our batteries from a limited number of carefully selected suppliers that can meet our demanding quality standards and with whom we have developed long-term relationships.</w:t>
      </w:r>
    </w:p>
    <w:p>
      <w:pPr>
        <w:spacing w:after="0" w:line="13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2"/>
          <w:szCs w:val="12"/>
          <w:color w:val="auto"/>
        </w:rPr>
        <w:t>We began as an aftermarket- focused business initially targeting direct-to-consumer sales in the RV market. Since 2020, we have sold over 226,000 batteries. For the years ended December 31, 2022 and 2021, we sold 96,034 and 74,652 batteries, respectively, and had $86.3 million and $78.0 million in sales, respectively. Over time, we have increased total sales through a combination of: increasing direct-to-consumer sales of batteries for RV applications; expanding into the marine vessels and off-grid storage markets with related direct-to-consumer sales; selling batteries to RV OEMs; increasing sales to distributors; and reselling accessories for battery systems. Our RV OEM customers currently include Keystone RV Company (“</w:t>
      </w:r>
      <w:r>
        <w:rPr>
          <w:rFonts w:ascii="Times New Roman" w:cs="Times New Roman" w:eastAsia="Times New Roman" w:hAnsi="Times New Roman"/>
          <w:sz w:val="12"/>
          <w:szCs w:val="12"/>
          <w:b w:val="1"/>
          <w:bCs w:val="1"/>
          <w:color w:val="auto"/>
        </w:rPr>
        <w:t>Keystone</w:t>
      </w:r>
      <w:r>
        <w:rPr>
          <w:rFonts w:ascii="Times New Roman" w:cs="Times New Roman" w:eastAsia="Times New Roman" w:hAnsi="Times New Roman"/>
          <w:sz w:val="12"/>
          <w:szCs w:val="12"/>
          <w:color w:val="auto"/>
        </w:rPr>
        <w:t>”), who fulfills certain of its LFP battery requirements exclusively through us (with potential annual renewals), THOR Industries (“</w:t>
      </w:r>
      <w:r>
        <w:rPr>
          <w:rFonts w:ascii="Times New Roman" w:cs="Times New Roman" w:eastAsia="Times New Roman" w:hAnsi="Times New Roman"/>
          <w:sz w:val="12"/>
          <w:szCs w:val="12"/>
          <w:b w:val="1"/>
          <w:bCs w:val="1"/>
          <w:color w:val="auto"/>
        </w:rPr>
        <w:t>THOR</w:t>
      </w:r>
      <w:r>
        <w:rPr>
          <w:rFonts w:ascii="Times New Roman" w:cs="Times New Roman" w:eastAsia="Times New Roman" w:hAnsi="Times New Roman"/>
          <w:sz w:val="12"/>
          <w:szCs w:val="12"/>
          <w:color w:val="auto"/>
        </w:rPr>
        <w:t>”), who has made a strategic investment in our business and with whom we intend to enter into a future, mutually agreed exclusive North American distribution agreement with an initial term of two years (with potential annual renewals), Airstream, and REV, and we are in ongoing discussions with a number of additional RV OEMS to further increase adoption of our products.</w:t>
      </w:r>
    </w:p>
    <w:p>
      <w:pPr>
        <w:spacing w:after="0" w:line="26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currently offer a line of batteries across our two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w:t>
      </w:r>
      <w:r>
        <w:rPr>
          <w:rFonts w:ascii="Times New Roman" w:cs="Times New Roman" w:eastAsia="Times New Roman" w:hAnsi="Times New Roman"/>
          <w:sz w:val="14"/>
          <w:szCs w:val="14"/>
          <w:b w:val="1"/>
          <w:bCs w:val="1"/>
          <w:color w:val="auto"/>
        </w:rPr>
        <w:t>Thomason Jones</w:t>
      </w:r>
      <w:r>
        <w:rPr>
          <w:rFonts w:ascii="Times New Roman" w:cs="Times New Roman" w:eastAsia="Times New Roman" w:hAnsi="Times New Roman"/>
          <w:sz w:val="14"/>
          <w:szCs w:val="14"/>
          <w:color w:val="auto"/>
        </w:rPr>
        <w:t>”) and the other parties thereto, we also acquired the assets, including the Wakespeed Offshore brand (“</w:t>
      </w:r>
      <w:r>
        <w:rPr>
          <w:rFonts w:ascii="Times New Roman" w:cs="Times New Roman" w:eastAsia="Times New Roman" w:hAnsi="Times New Roman"/>
          <w:sz w:val="14"/>
          <w:szCs w:val="14"/>
          <w:b w:val="1"/>
          <w:bCs w:val="1"/>
          <w:color w:val="auto"/>
        </w:rPr>
        <w:t>Wakespeed</w:t>
      </w:r>
      <w:r>
        <w:rPr>
          <w:rFonts w:ascii="Times New Roman" w:cs="Times New Roman" w:eastAsia="Times New Roman" w:hAnsi="Times New Roman"/>
          <w:sz w:val="14"/>
          <w:szCs w:val="14"/>
          <w:color w:val="auto"/>
        </w:rPr>
        <w:t>”) of Thomason Jones, allowing us to include our own alternator regulator in systems that we sell.</w:t>
      </w:r>
    </w:p>
    <w:p>
      <w:pPr>
        <w:spacing w:after="0" w:line="1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Our battery packs are designed and assembled in -house in the United States. In April 2021, we opened our new 99,000 square foot facility in Reno, Nevada, allowing us to increase our production capacity and giving us the ability to increase sales to existing customers and penetrate new markets. Our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13970</wp:posOffset>
                </wp:positionV>
                <wp:extent cx="650938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1pt" to="512.25pt,1.1pt" o:allowincell="f" strokecolor="#000000" strokeweight="1.26pt"/>
            </w:pict>
          </mc:Fallback>
        </mc:AlternateContent>
      </w:r>
    </w:p>
    <w:p>
      <w:pPr>
        <w:sectPr>
          <w:pgSz w:w="12240" w:h="15840" w:orient="portrait"/>
          <w:cols w:equalWidth="0" w:num="1">
            <w:col w:w="10240"/>
          </w:cols>
          <w:pgMar w:left="1000" w:top="1208" w:right="1000" w:bottom="1440" w:gutter="0" w:footer="0" w:header="0"/>
        </w:sectPr>
      </w:pPr>
    </w:p>
    <w:bookmarkStart w:id="5" w:name="page6"/>
    <w:bookmarkEnd w:id="5"/>
    <w:p>
      <w:pPr>
        <w:jc w:val="both"/>
        <w:spacing w:after="0" w:line="243" w:lineRule="auto"/>
        <w:rPr>
          <w:sz w:val="20"/>
          <w:szCs w:val="20"/>
          <w:color w:val="auto"/>
        </w:rPr>
      </w:pPr>
      <w:r>
        <w:rPr>
          <w:rFonts w:ascii="Times New Roman" w:cs="Times New Roman" w:eastAsia="Times New Roman" w:hAnsi="Times New Roman"/>
          <w:sz w:val="14"/>
          <w:szCs w:val="14"/>
          <w:color w:val="auto"/>
        </w:rPr>
        <w:t>We currently focus on three main consumer end markets: RVs, marine vessels and off-grid storage and, in the medium- to longer -term, we plan on expanding into several new markets. Within our current markets, our aim is to replace incumbent lead-acid batteries. Our batteries are primarily designed to provide consumers with a long-lasting, highly efficient power source for powering appliances, consumer electronics and other smart devices located inside RVs, marine vessels or off-grid residences and, other than for certain smaller marine vessels, are not intended for propulsion. Our batteries are powertrain agnostic with the ability to operate on internal combustion engine vehicles or electric vehicles.</w:t>
      </w:r>
    </w:p>
    <w:p>
      <w:pPr>
        <w:spacing w:after="0" w:line="1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currently found in our target end markets today. We also have an extensive social media program, where we partner with content creators in our target markets to share with consumers the benefits of our products. Lastly, we participate in a variety of industry productions, including features on RV podcasts and TV shows, and attend sponsored industry events such as the Bassmaster Classic, RV rallies and boat shows.</w:t>
      </w:r>
    </w:p>
    <w:p>
      <w:pPr>
        <w:spacing w:after="0" w:line="13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In addition to our conventional LFP batteries, our experienced research and development team, headed by our founder and Chief Executive Officer, is currently developing the next generation of LFP solid-state cells. Since our inception, we have been developing proprietary solid- 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Many other solid-state technology companies are focused on a denser lithium metal anode, which tends to form icicle- like dendrites inside the cell and lacks the cyclability of an intercalation anode. Our design allows for a much safer, more efficient cell that we believe will be a key differentiator in the energy storage market. Additionally, our internal production of solid-state cells will streamline our supply chain, allowing us to vertically integrate our cells into our batteries, thereby lowering our production costs.</w:t>
      </w:r>
    </w:p>
    <w:p>
      <w:pPr>
        <w:spacing w:after="0" w:line="1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As businesses, organizations and individuals increasingly seek improved clean energy use and energy storage, we believe we are well-positioned to achieve our objectives of developing innovative technology to make clean energy accessible and affordable for everyone globally. We will continue to focus on our core competencies of providing innovative technology, expanding our brand portfolio and providing affordable, sustainable and accessible energy, all while being designed and manufactured in the United States.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Background</w:t>
      </w:r>
    </w:p>
    <w:p>
      <w:pPr>
        <w:spacing w:after="0" w:line="1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For decades, lead-acid batteries have been the dominant player in power and energy markets worldwide. Since the introduction of the absorbed glass mat (“</w:t>
      </w:r>
      <w:r>
        <w:rPr>
          <w:rFonts w:ascii="Times New Roman" w:cs="Times New Roman" w:eastAsia="Times New Roman" w:hAnsi="Times New Roman"/>
          <w:sz w:val="14"/>
          <w:szCs w:val="14"/>
          <w:b w:val="1"/>
          <w:bCs w:val="1"/>
          <w:color w:val="auto"/>
        </w:rPr>
        <w:t>AGM</w:t>
      </w:r>
      <w:r>
        <w:rPr>
          <w:rFonts w:ascii="Times New Roman" w:cs="Times New Roman" w:eastAsia="Times New Roman" w:hAnsi="Times New Roman"/>
          <w:sz w:val="14"/>
          <w:szCs w:val="14"/>
          <w:color w:val="auto"/>
        </w:rPr>
        <w:t>”) lead-acid battery in the mid-1970s, the technological advancements in lead-acid battery technology have been limited. LFP batteries have numerous advantages over the incumbent lead-acid batteries used in today’s markets:</w:t>
      </w:r>
    </w:p>
    <w:p>
      <w:pPr>
        <w:spacing w:after="0" w:line="126" w:lineRule="exact"/>
        <w:rPr>
          <w:sz w:val="20"/>
          <w:szCs w:val="20"/>
          <w:color w:val="auto"/>
        </w:rPr>
      </w:pPr>
    </w:p>
    <w:p>
      <w:pPr>
        <w:jc w:val="both"/>
        <w:ind w:left="480" w:hanging="237"/>
        <w:spacing w:after="0" w:line="239" w:lineRule="auto"/>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Environmentally Friendly, Socially Responsible and Safer. </w:t>
      </w:r>
      <w:r>
        <w:rPr>
          <w:rFonts w:ascii="Times New Roman" w:cs="Times New Roman" w:eastAsia="Times New Roman" w:hAnsi="Times New Roman"/>
          <w:sz w:val="14"/>
          <w:szCs w:val="14"/>
          <w:color w:val="auto"/>
        </w:rPr>
        <w:t>Lead-acid batteries that are not recycled or disposed of properly are extremely toxic and can cause areas of poisonous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offering a much safer environmental alternative to lead-acid batteries.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p>
      <w:pPr>
        <w:spacing w:after="0" w:line="132" w:lineRule="exact"/>
        <w:rPr>
          <w:rFonts w:ascii="Times New Roman" w:cs="Times New Roman" w:eastAsia="Times New Roman" w:hAnsi="Times New Roman"/>
          <w:sz w:val="14"/>
          <w:szCs w:val="14"/>
          <w:color w:val="auto"/>
        </w:rPr>
      </w:pPr>
    </w:p>
    <w:p>
      <w:pPr>
        <w:jc w:val="both"/>
        <w:ind w:left="480" w:hanging="237"/>
        <w:spacing w:after="0" w:line="239" w:lineRule="auto"/>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Longer Lifespan. </w:t>
      </w:r>
      <w:r>
        <w:rPr>
          <w:rFonts w:ascii="Times New Roman" w:cs="Times New Roman" w:eastAsia="Times New Roman" w:hAnsi="Times New Roman"/>
          <w:sz w:val="14"/>
          <w:szCs w:val="14"/>
          <w:color w:val="auto"/>
        </w:rPr>
        <w:t>Lithium-ion batteries have longer lifecycles compared to lead-acid batteries. LFP batteries are able to cycle (i.e., discharge and charge) 3,000 to 5,000 times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lead-acid batteries, which have a one- to two-year useful life in most applications.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17145</wp:posOffset>
                </wp:positionV>
                <wp:extent cx="650938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5pt" to="512.25pt,1.35pt" o:allowincell="f" strokecolor="#000000" strokeweight="1.26pt"/>
            </w:pict>
          </mc:Fallback>
        </mc:AlternateContent>
      </w:r>
    </w:p>
    <w:p>
      <w:pPr>
        <w:sectPr>
          <w:pgSz w:w="12240" w:h="15840" w:orient="portrait"/>
          <w:cols w:equalWidth="0" w:num="1">
            <w:col w:w="10240"/>
          </w:cols>
          <w:pgMar w:left="1000" w:top="1210" w:right="1000" w:bottom="1440" w:gutter="0" w:footer="0" w:header="0"/>
        </w:sectPr>
      </w:pPr>
    </w:p>
    <w:bookmarkStart w:id="6" w:name="page7"/>
    <w:bookmarkEnd w:id="6"/>
    <w:p>
      <w:pPr>
        <w:jc w:val="both"/>
        <w:ind w:left="480" w:hanging="237"/>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Power and Performance. </w:t>
      </w:r>
      <w:r>
        <w:rPr>
          <w:rFonts w:ascii="Times New Roman" w:cs="Times New Roman" w:eastAsia="Times New Roman" w:hAnsi="Times New Roman"/>
          <w:sz w:val="14"/>
          <w:szCs w:val="14"/>
          <w:color w:val="auto"/>
        </w:rPr>
        <w:t>As new technologies evolve and people consume more electricity, the importance of battery power and performance increases. Compared to lead-acid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p>
      <w:pPr>
        <w:spacing w:after="0" w:line="133" w:lineRule="exact"/>
        <w:rPr>
          <w:rFonts w:ascii="Times New Roman" w:cs="Times New Roman" w:eastAsia="Times New Roman" w:hAnsi="Times New Roman"/>
          <w:sz w:val="14"/>
          <w:szCs w:val="14"/>
          <w:color w:val="auto"/>
        </w:rPr>
      </w:pPr>
    </w:p>
    <w:p>
      <w:pPr>
        <w:jc w:val="both"/>
        <w:ind w:left="480" w:hanging="237"/>
        <w:spacing w:after="0" w:line="243" w:lineRule="auto"/>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Charging. </w:t>
      </w:r>
      <w:r>
        <w:rPr>
          <w:rFonts w:ascii="Times New Roman" w:cs="Times New Roman" w:eastAsia="Times New Roman" w:hAnsi="Times New Roman"/>
          <w:sz w:val="14"/>
          <w:szCs w:val="14"/>
          <w:color w:val="auto"/>
        </w:rPr>
        <w:t>Lead-acid batteries were the first rechargeable batteries on the market. However, due to new advancements in energy density (i.e., the amount of energy stored by mass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volume) and charge/discharge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p>
      <w:pPr>
        <w:spacing w:after="0" w:line="129" w:lineRule="exact"/>
        <w:rPr>
          <w:rFonts w:ascii="Times New Roman" w:cs="Times New Roman" w:eastAsia="Times New Roman" w:hAnsi="Times New Roman"/>
          <w:sz w:val="14"/>
          <w:szCs w:val="14"/>
          <w:color w:val="auto"/>
        </w:rPr>
      </w:pPr>
    </w:p>
    <w:p>
      <w:pPr>
        <w:jc w:val="both"/>
        <w:ind w:left="480" w:hanging="237"/>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Maintenance-Free. </w:t>
      </w:r>
      <w:r>
        <w:rPr>
          <w:rFonts w:ascii="Times New Roman" w:cs="Times New Roman" w:eastAsia="Times New Roman" w:hAnsi="Times New Roman"/>
          <w:sz w:val="14"/>
          <w:szCs w:val="14"/>
          <w:color w:val="auto"/>
        </w:rPr>
        <w:t>LFP batteries provide the benefit of being a maintenance-free option compared to lead-acid batteries. Unlike lead-acid batteries which have no battery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End Markets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Current Markets</w:t>
      </w:r>
    </w:p>
    <w:p>
      <w:pPr>
        <w:spacing w:after="0" w:line="14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According to a Frost and Sullivan report commissioned by us (“</w:t>
      </w:r>
      <w:r>
        <w:rPr>
          <w:rFonts w:ascii="Times New Roman" w:cs="Times New Roman" w:eastAsia="Times New Roman" w:hAnsi="Times New Roman"/>
          <w:sz w:val="14"/>
          <w:szCs w:val="14"/>
          <w:b w:val="1"/>
          <w:bCs w:val="1"/>
          <w:color w:val="auto"/>
        </w:rPr>
        <w:t>Frost &amp; Sullivan</w:t>
      </w:r>
      <w:r>
        <w:rPr>
          <w:rFonts w:ascii="Times New Roman" w:cs="Times New Roman" w:eastAsia="Times New Roman" w:hAnsi="Times New Roman"/>
          <w:sz w:val="14"/>
          <w:szCs w:val="14"/>
          <w:color w:val="auto"/>
        </w:rPr>
        <w:t>”), the total addressable market (“</w:t>
      </w:r>
      <w:r>
        <w:rPr>
          <w:rFonts w:ascii="Times New Roman" w:cs="Times New Roman" w:eastAsia="Times New Roman" w:hAnsi="Times New Roman"/>
          <w:sz w:val="14"/>
          <w:szCs w:val="14"/>
          <w:b w:val="1"/>
          <w:bCs w:val="1"/>
          <w:color w:val="auto"/>
        </w:rPr>
        <w:t>TAM</w:t>
      </w:r>
      <w:r>
        <w:rPr>
          <w:rFonts w:ascii="Times New Roman" w:cs="Times New Roman" w:eastAsia="Times New Roman" w:hAnsi="Times New Roman"/>
          <w:sz w:val="14"/>
          <w:szCs w:val="14"/>
          <w:color w:val="auto"/>
        </w:rPr>
        <w:t>”) of our three current end markets is estimated to be approximately $12 billion by 2025.</w:t>
      </w:r>
    </w:p>
    <w:p>
      <w:pPr>
        <w:spacing w:after="0" w:line="116" w:lineRule="exact"/>
        <w:rPr>
          <w:sz w:val="20"/>
          <w:szCs w:val="20"/>
          <w:color w:val="auto"/>
        </w:rPr>
      </w:pPr>
    </w:p>
    <w:p>
      <w:pPr>
        <w:jc w:val="both"/>
        <w:ind w:left="480" w:hanging="237"/>
        <w:spacing w:after="0" w:line="236" w:lineRule="auto"/>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Recreational Vehicles. </w:t>
      </w:r>
      <w:r>
        <w:rPr>
          <w:rFonts w:ascii="Times New Roman" w:cs="Times New Roman" w:eastAsia="Times New Roman" w:hAnsi="Times New Roman"/>
          <w:sz w:val="14"/>
          <w:szCs w:val="14"/>
          <w:color w:val="auto"/>
        </w:rPr>
        <w:t>The growth of the RV market is expected to continue to drive demand for LFP storage batteries. According to the 2022 RV Industry Association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RVIA</w:t>
      </w:r>
      <w:r>
        <w:rPr>
          <w:rFonts w:ascii="Times New Roman" w:cs="Times New Roman" w:eastAsia="Times New Roman" w:hAnsi="Times New Roman"/>
          <w:sz w:val="14"/>
          <w:szCs w:val="14"/>
          <w:color w:val="auto"/>
        </w:rPr>
        <w:t>”) Annual Report, 22% of RV buyers are between the ages of 18 and 34. In addition, nearly a third of the respondents in the study (31%) are first-time owners, underscoring the growth of the industry in the past decade. RV interiors are becoming more modern as customers adopt the full-time RV lifestyle, with additional appliances and electronics being installed, increasing the need for reliable power. According to the RVIA and THOR Industries, North American RV shipments have had an estimated 10-year compound annual growth rate (“</w:t>
      </w:r>
      <w:r>
        <w:rPr>
          <w:rFonts w:ascii="Times New Roman" w:cs="Times New Roman" w:eastAsia="Times New Roman" w:hAnsi="Times New Roman"/>
          <w:sz w:val="14"/>
          <w:szCs w:val="14"/>
          <w:b w:val="1"/>
          <w:bCs w:val="1"/>
          <w:color w:val="auto"/>
        </w:rPr>
        <w:t>CAGR</w:t>
      </w:r>
      <w:r>
        <w:rPr>
          <w:rFonts w:ascii="Times New Roman" w:cs="Times New Roman" w:eastAsia="Times New Roman" w:hAnsi="Times New Roman"/>
          <w:sz w:val="14"/>
          <w:szCs w:val="14"/>
          <w:color w:val="auto"/>
        </w:rPr>
        <w:t>”) of 6.8% from 2012 to 2022. The need for greater power and power storage capabilities to power interiors is driving a shift towards the use of LFP batteries. Incumbent lead-acid batteries are heavy, take up a lot of space, have inefficient power discharge and require ventilation. Our product addresses all of these problems by allowing for shorter charge times, weighing one-fifth of a standard lead-acid battery, providing a reliable and consistent source of power and being maintenance-free. Our market focus has traditionally been on motorized RVs (i.e., drivable RVs), however, OEMs have begun to introduce batteries into towable units (i.e., RVs that require another vehicle to drive them), which has created a growing subsector in the RV market for LFP batteries. According to the RVIA’s 2021 RV Market Report, approximately 91% of wholesale RV units shipped in 2021 were towable units, representing a significant growth opportunity for LFP batteries.</w:t>
      </w:r>
    </w:p>
    <w:p>
      <w:pPr>
        <w:spacing w:after="0" w:line="136" w:lineRule="exact"/>
        <w:rPr>
          <w:rFonts w:ascii="Times New Roman" w:cs="Times New Roman" w:eastAsia="Times New Roman" w:hAnsi="Times New Roman"/>
          <w:sz w:val="14"/>
          <w:szCs w:val="14"/>
          <w:color w:val="auto"/>
        </w:rPr>
      </w:pPr>
    </w:p>
    <w:p>
      <w:pPr>
        <w:jc w:val="both"/>
        <w:ind w:left="480" w:hanging="237"/>
        <w:spacing w:after="0" w:line="239" w:lineRule="auto"/>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Marine Vessels. </w:t>
      </w:r>
      <w:r>
        <w:rPr>
          <w:rFonts w:ascii="Times New Roman" w:cs="Times New Roman" w:eastAsia="Times New Roman" w:hAnsi="Times New Roman"/>
          <w:sz w:val="14"/>
          <w:szCs w:val="14"/>
          <w:color w:val="auto"/>
        </w:rPr>
        <w:t>As boating becomes more popular in North America, the need for a reliable, non-flammable energy storage system is becoming increasingly apparent. According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the 2020 Recreational Boating Statistics and the 2020 National Recreational Boating Safety Survey, in 2018 over 84 million Americans participated in some form of boating activity, with a total of over 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wp:posOffset>
                </wp:positionV>
                <wp:extent cx="650938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85pt" to="512.25pt,0.85pt" o:allowincell="f" strokecolor="#000000" strokeweight="1.26pt"/>
            </w:pict>
          </mc:Fallback>
        </mc:AlternateContent>
      </w:r>
    </w:p>
    <w:p>
      <w:pPr>
        <w:sectPr>
          <w:pgSz w:w="12240" w:h="15840" w:orient="portrait"/>
          <w:cols w:equalWidth="0" w:num="1">
            <w:col w:w="10240"/>
          </w:cols>
          <w:pgMar w:left="1000" w:top="1210" w:right="1000" w:bottom="1440" w:gutter="0" w:footer="0" w:header="0"/>
        </w:sectPr>
      </w:pPr>
    </w:p>
    <w:bookmarkStart w:id="7" w:name="page8"/>
    <w:bookmarkEnd w:id="7"/>
    <w:p>
      <w:pPr>
        <w:jc w:val="both"/>
        <w:ind w:left="480" w:hanging="237"/>
        <w:spacing w:after="0" w:line="238" w:lineRule="auto"/>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Off-Grid Residences. </w:t>
      </w:r>
      <w:r>
        <w:rPr>
          <w:rFonts w:ascii="Times New Roman" w:cs="Times New Roman" w:eastAsia="Times New Roman" w:hAnsi="Times New Roman"/>
          <w:sz w:val="14"/>
          <w:szCs w:val="14"/>
          <w:color w:val="auto"/>
        </w:rPr>
        <w:t>Many people are turning to off-grid housing and, as individuals and governments become more conscious of their carbon footprint, a shift towards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renewable energy sources for off-grid housing will be increasingly popular. Solar installations continue to see an increase globally, with global PV installations projected to rise from 144 GW (DC) in 2020 to 334 GW (DC) in 2030 according to Bloomberg. According to the Solar Energy Industries Association (“</w:t>
      </w:r>
      <w:r>
        <w:rPr>
          <w:rFonts w:ascii="Times New Roman" w:cs="Times New Roman" w:eastAsia="Times New Roman" w:hAnsi="Times New Roman"/>
          <w:sz w:val="14"/>
          <w:szCs w:val="14"/>
          <w:b w:val="1"/>
          <w:bCs w:val="1"/>
          <w:color w:val="auto"/>
        </w:rPr>
        <w:t>SEIA</w:t>
      </w:r>
      <w:r>
        <w:rPr>
          <w:rFonts w:ascii="Times New Roman" w:cs="Times New Roman" w:eastAsia="Times New Roman" w:hAnsi="Times New Roman"/>
          <w:sz w:val="14"/>
          <w:szCs w:val="14"/>
          <w:color w:val="auto"/>
        </w:rPr>
        <w:t>”),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Addressable Adjacent Markets</w:t>
      </w:r>
    </w:p>
    <w:p>
      <w:pPr>
        <w:spacing w:after="0" w:line="1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addressable markets are areas with significant growth potential that we will be positioned to penetrate as customers turn towards LFP and other lithium-ion batteries as replacements for traditional lead-acid batteries. As these medium - and long -term markets mature, we intend to deploy our solid-state technology, once developed, while concurrently continuing to further displace the incumbent lead-acid technology. According to Frost &amp; Sullivan, our TAM is estimated to be $85 billion by 2025.</w:t>
      </w:r>
    </w:p>
    <w:p>
      <w:pPr>
        <w:spacing w:after="0" w:line="126" w:lineRule="exact"/>
        <w:rPr>
          <w:sz w:val="20"/>
          <w:szCs w:val="20"/>
          <w:color w:val="auto"/>
        </w:rPr>
      </w:pPr>
    </w:p>
    <w:p>
      <w:pPr>
        <w:jc w:val="both"/>
        <w:ind w:left="480" w:hanging="237"/>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Industrial / Material Handlings / Work Truck. </w:t>
      </w:r>
      <w:r>
        <w:rPr>
          <w:rFonts w:ascii="Times New Roman" w:cs="Times New Roman" w:eastAsia="Times New Roman" w:hAnsi="Times New Roman"/>
          <w:sz w:val="14"/>
          <w:szCs w:val="14"/>
          <w:color w:val="auto"/>
        </w:rPr>
        <w:t>The industrial vehicle market includes work trucks, material handling and warehousing equipment and compact construction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equipment. As industrial vehicles increase in terms of automation and incorporate more onboard tools, the need for a long-lasting,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p>
      <w:pPr>
        <w:spacing w:after="0" w:line="133" w:lineRule="exact"/>
        <w:rPr>
          <w:rFonts w:ascii="Times New Roman" w:cs="Times New Roman" w:eastAsia="Times New Roman" w:hAnsi="Times New Roman"/>
          <w:sz w:val="14"/>
          <w:szCs w:val="14"/>
          <w:color w:val="auto"/>
        </w:rPr>
      </w:pPr>
    </w:p>
    <w:p>
      <w:pPr>
        <w:jc w:val="both"/>
        <w:ind w:left="480" w:hanging="237"/>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Specialty Vehicles. </w:t>
      </w:r>
      <w:r>
        <w:rPr>
          <w:rFonts w:ascii="Times New Roman" w:cs="Times New Roman" w:eastAsia="Times New Roman" w:hAnsi="Times New Roman"/>
          <w:sz w:val="14"/>
          <w:szCs w:val="14"/>
          <w:color w:val="auto"/>
        </w:rPr>
        <w:t>According to Mordor Intelligence, as of 2019, approximately 40% of the specialty vehicle market in the United States consists of medical and healthcare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p>
      <w:pPr>
        <w:spacing w:after="0" w:line="133" w:lineRule="exact"/>
        <w:rPr>
          <w:rFonts w:ascii="Times New Roman" w:cs="Times New Roman" w:eastAsia="Times New Roman" w:hAnsi="Times New Roman"/>
          <w:sz w:val="14"/>
          <w:szCs w:val="14"/>
          <w:color w:val="auto"/>
        </w:rPr>
      </w:pPr>
    </w:p>
    <w:p>
      <w:pPr>
        <w:jc w:val="both"/>
        <w:ind w:left="480" w:hanging="237"/>
        <w:spacing w:after="0" w:line="239" w:lineRule="auto"/>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Emergency and Standby Power. </w:t>
      </w:r>
      <w:r>
        <w:rPr>
          <w:rFonts w:ascii="Times New Roman" w:cs="Times New Roman" w:eastAsia="Times New Roman" w:hAnsi="Times New Roman"/>
          <w:sz w:val="14"/>
          <w:szCs w:val="14"/>
          <w:color w:val="auto"/>
        </w:rPr>
        <w:t>Demand for reliable emergency and standby power sources is expected to continue to drive demand for effective power storage for residential,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p>
      <w:pPr>
        <w:spacing w:after="0" w:line="132" w:lineRule="exact"/>
        <w:rPr>
          <w:rFonts w:ascii="Times New Roman" w:cs="Times New Roman" w:eastAsia="Times New Roman" w:hAnsi="Times New Roman"/>
          <w:sz w:val="14"/>
          <w:szCs w:val="14"/>
          <w:color w:val="auto"/>
        </w:rPr>
      </w:pPr>
    </w:p>
    <w:p>
      <w:pPr>
        <w:jc w:val="both"/>
        <w:ind w:left="480" w:hanging="237"/>
        <w:spacing w:after="0" w:line="239" w:lineRule="auto"/>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Telecom. </w:t>
      </w:r>
      <w:r>
        <w:rPr>
          <w:rFonts w:ascii="Times New Roman" w:cs="Times New Roman" w:eastAsia="Times New Roman" w:hAnsi="Times New Roman"/>
          <w:sz w:val="14"/>
          <w:szCs w:val="14"/>
          <w:color w:val="auto"/>
        </w:rPr>
        <w:t>Demand for mobile data continues to increase and network providers are investing heavily in 5G networks, particularly in unserved and underserved regions, to support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p>
      <w:pPr>
        <w:spacing w:after="0" w:line="132" w:lineRule="exact"/>
        <w:rPr>
          <w:rFonts w:ascii="Times New Roman" w:cs="Times New Roman" w:eastAsia="Times New Roman" w:hAnsi="Times New Roman"/>
          <w:sz w:val="14"/>
          <w:szCs w:val="14"/>
          <w:color w:val="auto"/>
        </w:rPr>
      </w:pPr>
    </w:p>
    <w:p>
      <w:pPr>
        <w:jc w:val="both"/>
        <w:ind w:left="480" w:hanging="237"/>
        <w:spacing w:after="0" w:line="239" w:lineRule="auto"/>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Rail. </w:t>
      </w:r>
      <w:r>
        <w:rPr>
          <w:rFonts w:ascii="Times New Roman" w:cs="Times New Roman" w:eastAsia="Times New Roman" w:hAnsi="Times New Roman"/>
          <w:sz w:val="14"/>
          <w:szCs w:val="14"/>
          <w:color w:val="auto"/>
        </w:rPr>
        <w:t>Rail transportation is a large potential market, with an estimated market size of $98.6 billion in 2022, according to IBISWorld. Many railroad operators have invested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 (1)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650938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pt" to="512.25pt,1.3pt" o:allowincell="f" strokecolor="#000000" strokeweight="1.2599pt"/>
            </w:pict>
          </mc:Fallback>
        </mc:AlternateContent>
      </w:r>
    </w:p>
    <w:p>
      <w:pPr>
        <w:sectPr>
          <w:pgSz w:w="12240" w:h="15840" w:orient="portrait"/>
          <w:cols w:equalWidth="0" w:num="1">
            <w:col w:w="10240"/>
          </w:cols>
          <w:pgMar w:left="1000" w:top="1210" w:right="1000" w:bottom="1440" w:gutter="0" w:footer="0" w:header="0"/>
        </w:sectPr>
      </w:pPr>
    </w:p>
    <w:bookmarkStart w:id="8" w:name="page9"/>
    <w:bookmarkEnd w:id="8"/>
    <w:p>
      <w:pPr>
        <w:jc w:val="both"/>
        <w:ind w:left="480" w:hanging="237"/>
        <w:spacing w:after="0" w:line="238" w:lineRule="auto"/>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Data Centers. </w:t>
      </w:r>
      <w:r>
        <w:rPr>
          <w:rFonts w:ascii="Times New Roman" w:cs="Times New Roman" w:eastAsia="Times New Roman" w:hAnsi="Times New Roman"/>
          <w:sz w:val="14"/>
          <w:szCs w:val="14"/>
          <w:color w:val="auto"/>
        </w:rPr>
        <w:t>Data centers have seen strong growth in recent years, with over 2,750 data centers in the United States as of January 2022 according to Statista. Constant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p>
      <w:pPr>
        <w:spacing w:after="0" w:line="132" w:lineRule="exact"/>
        <w:rPr>
          <w:rFonts w:ascii="Times New Roman" w:cs="Times New Roman" w:eastAsia="Times New Roman" w:hAnsi="Times New Roman"/>
          <w:sz w:val="14"/>
          <w:szCs w:val="14"/>
          <w:color w:val="auto"/>
        </w:rPr>
      </w:pPr>
    </w:p>
    <w:p>
      <w:pPr>
        <w:jc w:val="both"/>
        <w:ind w:left="480" w:hanging="237"/>
        <w:spacing w:after="0" w:line="237" w:lineRule="auto"/>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On-grid Storage. </w:t>
      </w:r>
      <w:r>
        <w:rPr>
          <w:rFonts w:ascii="Times New Roman" w:cs="Times New Roman" w:eastAsia="Times New Roman" w:hAnsi="Times New Roman"/>
          <w:sz w:val="14"/>
          <w:szCs w:val="14"/>
          <w:color w:val="auto"/>
        </w:rPr>
        <w:t>On-grid energy storage is used on a large-scale platform within an electrical power grid in conjunction with variable renewable energy sources such as solar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Competitive Strengths</w:t>
      </w:r>
    </w:p>
    <w:p>
      <w:pPr>
        <w:spacing w:after="0" w:line="15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spacing w:after="0" w:line="116" w:lineRule="exact"/>
        <w:rPr>
          <w:sz w:val="20"/>
          <w:szCs w:val="20"/>
          <w:color w:val="auto"/>
        </w:rPr>
      </w:pPr>
    </w:p>
    <w:p>
      <w:pPr>
        <w:jc w:val="both"/>
        <w:ind w:left="480" w:hanging="237"/>
        <w:spacing w:after="0" w:line="239" w:lineRule="auto"/>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Premier Lithium-Ion Battery Technology. </w:t>
      </w:r>
      <w:r>
        <w:rPr>
          <w:rFonts w:ascii="Times New Roman" w:cs="Times New Roman" w:eastAsia="Times New Roman" w:hAnsi="Times New Roman"/>
          <w:sz w:val="14"/>
          <w:szCs w:val="14"/>
          <w:color w:val="auto"/>
        </w:rPr>
        <w:t>Each of our innovative batteries features custom designed components to enhance power and performance in any application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This technology increases performance in cold weather conditions while possessing a unique heating solution that does not require an external energy source.</w:t>
      </w:r>
    </w:p>
    <w:p>
      <w:pPr>
        <w:spacing w:after="0" w:line="132" w:lineRule="exact"/>
        <w:rPr>
          <w:rFonts w:ascii="Times New Roman" w:cs="Times New Roman" w:eastAsia="Times New Roman" w:hAnsi="Times New Roman"/>
          <w:sz w:val="14"/>
          <w:szCs w:val="14"/>
          <w:color w:val="auto"/>
        </w:rPr>
      </w:pPr>
    </w:p>
    <w:p>
      <w:pPr>
        <w:jc w:val="both"/>
        <w:ind w:left="480" w:hanging="237"/>
        <w:spacing w:after="0" w:line="248" w:lineRule="auto"/>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Extensive, Growing Patent Portfolio. </w:t>
      </w:r>
      <w:r>
        <w:rPr>
          <w:rFonts w:ascii="Times New Roman" w:cs="Times New Roman" w:eastAsia="Times New Roman" w:hAnsi="Times New Roman"/>
          <w:sz w:val="14"/>
          <w:szCs w:val="14"/>
          <w:color w:val="auto"/>
        </w:rPr>
        <w:t>We have developed and filed patent applications on commercially relevant aspects of our business including chemical compositions systems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production processes. To date, we have owned 26 issued patents, with an additional 22 patent applications pending, in the United States, China, Europe, Australia, Canada and other regions.</w:t>
      </w:r>
    </w:p>
    <w:p>
      <w:pPr>
        <w:spacing w:after="0" w:line="127" w:lineRule="exact"/>
        <w:rPr>
          <w:rFonts w:ascii="Times New Roman" w:cs="Times New Roman" w:eastAsia="Times New Roman" w:hAnsi="Times New Roman"/>
          <w:sz w:val="14"/>
          <w:szCs w:val="14"/>
          <w:color w:val="auto"/>
        </w:rPr>
      </w:pPr>
    </w:p>
    <w:p>
      <w:pPr>
        <w:jc w:val="both"/>
        <w:ind w:left="480" w:hanging="237"/>
        <w:spacing w:after="0" w:line="242" w:lineRule="auto"/>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Proven Go-To-Market Strategy. </w:t>
      </w:r>
      <w:r>
        <w:rPr>
          <w:rFonts w:ascii="Times New Roman" w:cs="Times New Roman" w:eastAsia="Times New Roman" w:hAnsi="Times New Roman"/>
          <w:sz w:val="14"/>
          <w:szCs w:val="14"/>
          <w:color w:val="auto"/>
        </w:rPr>
        <w:t>We have successfully established a direct-to-consumer platform and have developed strong working relationships with major RV OEMs, custom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designing products for new and existing applications. We see opportunities to continue to leverage our success in the aftermarket to expand our relationships to other leading OEMs and distributors while further enhancing our direct-to-consumer offerings. Extensive informational videos and exceptional customer service provide sales, technical and hands-on service support to facilitate consumer transition from traditional lead-acid or incumbent lithium-ion batteries to our products.</w:t>
      </w:r>
    </w:p>
    <w:p>
      <w:pPr>
        <w:spacing w:after="0" w:line="131" w:lineRule="exact"/>
        <w:rPr>
          <w:rFonts w:ascii="Times New Roman" w:cs="Times New Roman" w:eastAsia="Times New Roman" w:hAnsi="Times New Roman"/>
          <w:sz w:val="14"/>
          <w:szCs w:val="14"/>
          <w:color w:val="auto"/>
        </w:rPr>
      </w:pPr>
    </w:p>
    <w:p>
      <w:pPr>
        <w:jc w:val="both"/>
        <w:ind w:left="480" w:hanging="237"/>
        <w:spacing w:after="0" w:line="243" w:lineRule="auto"/>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Established Customer Base with Brand Recognition. </w:t>
      </w:r>
      <w:r>
        <w:rPr>
          <w:rFonts w:ascii="Times New Roman" w:cs="Times New Roman" w:eastAsia="Times New Roman" w:hAnsi="Times New Roman"/>
          <w:sz w:val="14"/>
          <w:szCs w:val="14"/>
          <w:color w:val="auto"/>
        </w:rPr>
        <w:t>We have a growing customer base of more than 15,000 customers featuring OEMs, distributors, upfitters and end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consumers across diverse end markets and applications including RV, marine vessels and off-grid residences. Customer demand and brand recognition of Battle Born batteries from an aftermarket sales perspective have helped drive significant adoption from RV OEMs (with a CAGR of over 135% since 2020) with visibility for future growth through further expansion of our existing relationships.</w:t>
      </w:r>
    </w:p>
    <w:p>
      <w:pPr>
        <w:spacing w:after="0" w:line="129" w:lineRule="exact"/>
        <w:rPr>
          <w:rFonts w:ascii="Times New Roman" w:cs="Times New Roman" w:eastAsia="Times New Roman" w:hAnsi="Times New Roman"/>
          <w:sz w:val="14"/>
          <w:szCs w:val="14"/>
          <w:color w:val="auto"/>
        </w:rPr>
      </w:pPr>
    </w:p>
    <w:p>
      <w:pPr>
        <w:ind w:left="480" w:hanging="237"/>
        <w:spacing w:after="0" w:line="347" w:lineRule="auto"/>
        <w:tabs>
          <w:tab w:leader="none" w:pos="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High Quality Manufacturing Process. </w:t>
      </w:r>
      <w:r>
        <w:rPr>
          <w:rFonts w:ascii="Times New Roman" w:cs="Times New Roman" w:eastAsia="Times New Roman" w:hAnsi="Times New Roman"/>
          <w:sz w:val="12"/>
          <w:szCs w:val="12"/>
          <w:color w:val="auto"/>
        </w:rPr>
        <w:t>Unlike competitors that outsource their manufacturing processes, our batteries are designed, assembled and tested in the United States,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ensuring that our manufacturing process is thoroughly tested and our batteries are of the highest quality as a result of governmental regulations for performance and safety.</w:t>
      </w:r>
    </w:p>
    <w:p>
      <w:pPr>
        <w:spacing w:after="0" w:line="70" w:lineRule="exact"/>
        <w:rPr>
          <w:rFonts w:ascii="Times New Roman" w:cs="Times New Roman" w:eastAsia="Times New Roman" w:hAnsi="Times New Roman"/>
          <w:sz w:val="12"/>
          <w:szCs w:val="12"/>
          <w:color w:val="auto"/>
        </w:rPr>
      </w:pPr>
    </w:p>
    <w:p>
      <w:pPr>
        <w:jc w:val="both"/>
        <w:ind w:left="480" w:hanging="237"/>
        <w:spacing w:after="0"/>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Drop-in Replacement. </w:t>
      </w:r>
      <w:r>
        <w:rPr>
          <w:rFonts w:ascii="Times New Roman" w:cs="Times New Roman" w:eastAsia="Times New Roman" w:hAnsi="Times New Roman"/>
          <w:sz w:val="14"/>
          <w:szCs w:val="14"/>
          <w:color w:val="auto"/>
        </w:rPr>
        <w:t>Our battery modules are largely designed to be “drop-in replacements” for traditional lead-acid batteries, which means that they are designed to fit standard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13970</wp:posOffset>
                </wp:positionV>
                <wp:extent cx="650938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1pt" to="512.25pt,1.1pt" o:allowincell="f" strokecolor="#000000" strokeweight="1.2599pt"/>
            </w:pict>
          </mc:Fallback>
        </mc:AlternateContent>
      </w:r>
    </w:p>
    <w:p>
      <w:pPr>
        <w:sectPr>
          <w:pgSz w:w="12240" w:h="15840" w:orient="portrait"/>
          <w:cols w:equalWidth="0" w:num="1">
            <w:col w:w="10240"/>
          </w:cols>
          <w:pgMar w:left="1000" w:top="1210" w:right="100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intend to leverage our competitive strengths, technology leadership and market share position to pursue our growth strategy through the following:</w:t>
      </w:r>
    </w:p>
    <w:p>
      <w:pPr>
        <w:spacing w:after="0" w:line="151" w:lineRule="exact"/>
        <w:rPr>
          <w:sz w:val="20"/>
          <w:szCs w:val="20"/>
          <w:color w:val="auto"/>
        </w:rPr>
      </w:pPr>
    </w:p>
    <w:p>
      <w:pPr>
        <w:jc w:val="both"/>
        <w:ind w:left="480" w:hanging="237"/>
        <w:spacing w:after="0"/>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Expand Product Offerings. </w:t>
      </w:r>
      <w:r>
        <w:rPr>
          <w:rFonts w:ascii="Times New Roman" w:cs="Times New Roman" w:eastAsia="Times New Roman" w:hAnsi="Times New Roman"/>
          <w:sz w:val="14"/>
          <w:szCs w:val="14"/>
          <w:color w:val="auto"/>
        </w:rPr>
        <w:t>In the short-term, our aim is to further diversify our product offerings to give consumers, as well as OEMs and distributors, more options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additional applications. We intend to launch and scale production of additional 12 voltage and 24 voltage batteries and we have recently introduced 48 voltage battery systems, which we believe will extend our market reach in each of our targeted end markets. Moreover, in the first quarter of 2023, we launched Dragonfly IntelLigence, a proprietary monitoring and communication system that allows us to monitor, optimize, and in some cases compile data on battery banks. We believe the natural evolution of our product offering is to become a system integrator for solar and other energy storage solutions.</w:t>
      </w:r>
    </w:p>
    <w:p>
      <w:pPr>
        <w:spacing w:after="0" w:line="133" w:lineRule="exact"/>
        <w:rPr>
          <w:rFonts w:ascii="Times New Roman" w:cs="Times New Roman" w:eastAsia="Times New Roman" w:hAnsi="Times New Roman"/>
          <w:sz w:val="14"/>
          <w:szCs w:val="14"/>
          <w:color w:val="auto"/>
        </w:rPr>
      </w:pPr>
    </w:p>
    <w:p>
      <w:pPr>
        <w:jc w:val="both"/>
        <w:ind w:left="480" w:hanging="237"/>
        <w:spacing w:after="0" w:line="248" w:lineRule="auto"/>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Expand End Markets. </w:t>
      </w:r>
      <w:r>
        <w:rPr>
          <w:rFonts w:ascii="Times New Roman" w:cs="Times New Roman" w:eastAsia="Times New Roman" w:hAnsi="Times New Roman"/>
          <w:sz w:val="14"/>
          <w:szCs w:val="14"/>
          <w:color w:val="auto"/>
        </w:rPr>
        <w:t>We have identified additional end markets that we believe in the medium- to longer-term will increasingly look to alternative energy solutions, such as LFP</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batteries. Markets, such as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p>
      <w:pPr>
        <w:spacing w:after="0" w:line="126" w:lineRule="exact"/>
        <w:rPr>
          <w:rFonts w:ascii="Times New Roman" w:cs="Times New Roman" w:eastAsia="Times New Roman" w:hAnsi="Times New Roman"/>
          <w:sz w:val="14"/>
          <w:szCs w:val="14"/>
          <w:color w:val="auto"/>
        </w:rPr>
      </w:pPr>
    </w:p>
    <w:p>
      <w:pPr>
        <w:jc w:val="both"/>
        <w:ind w:left="480" w:hanging="237"/>
        <w:spacing w:after="0" w:line="248" w:lineRule="auto"/>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Commercialize Solid-State Technology. </w:t>
      </w:r>
      <w:r>
        <w:rPr>
          <w:rFonts w:ascii="Times New Roman" w:cs="Times New Roman" w:eastAsia="Times New Roman" w:hAnsi="Times New Roman"/>
          <w:sz w:val="14"/>
          <w:szCs w:val="14"/>
          <w:color w:val="auto"/>
        </w:rPr>
        <w:t>We believe solid-state technology presents a significant advantage to all products currently on the market, with the potential to be lighter,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smaller, safer and cheaper. Once we have optimized the chemistry of our LFP solid-state batteries to enhance conductivity and power, we intend to scale up for mass production of separate solid-state batteries for various applications and use cases.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Products and Technology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Chemistry Comparison</w:t>
      </w:r>
    </w:p>
    <w:p>
      <w:pPr>
        <w:spacing w:after="0" w:line="1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Lead-acid batteries were the first form of rechargeable battery to be developed and modified across different platforms for a variety of uses, from powering small electronics to use for energy storage in back -up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faster-charging batteries has led to the development of lithium-ion batteries and, within the lithium-ion battery market, different chemistries.</w:t>
      </w:r>
    </w:p>
    <w:p>
      <w:pPr>
        <w:spacing w:after="0" w:line="13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2"/>
          <w:szCs w:val="12"/>
          <w:color w:val="auto"/>
        </w:rPr>
        <w:t>There are several dominant battery chemistries in the lithium-ion market that can be used for different purposes. Two widely adopted chemistries found in the market today are nickel manganese cobalt (“</w:t>
      </w:r>
      <w:r>
        <w:rPr>
          <w:rFonts w:ascii="Times New Roman" w:cs="Times New Roman" w:eastAsia="Times New Roman" w:hAnsi="Times New Roman"/>
          <w:sz w:val="12"/>
          <w:szCs w:val="12"/>
          <w:b w:val="1"/>
          <w:bCs w:val="1"/>
          <w:color w:val="auto"/>
        </w:rPr>
        <w:t>NMC</w:t>
      </w:r>
      <w:r>
        <w:rPr>
          <w:rFonts w:ascii="Times New Roman" w:cs="Times New Roman" w:eastAsia="Times New Roman" w:hAnsi="Times New Roman"/>
          <w:sz w:val="12"/>
          <w:szCs w:val="12"/>
          <w:color w:val="auto"/>
        </w:rPr>
        <w:t>”), and nickel cobalt aluminum (“</w:t>
      </w:r>
      <w:r>
        <w:rPr>
          <w:rFonts w:ascii="Times New Roman" w:cs="Times New Roman" w:eastAsia="Times New Roman" w:hAnsi="Times New Roman"/>
          <w:sz w:val="12"/>
          <w:szCs w:val="12"/>
          <w:b w:val="1"/>
          <w:bCs w:val="1"/>
          <w:color w:val="auto"/>
        </w:rPr>
        <w:t>NCA</w:t>
      </w:r>
      <w:r>
        <w:rPr>
          <w:rFonts w:ascii="Times New Roman" w:cs="Times New Roman" w:eastAsia="Times New Roman" w:hAnsi="Times New Roman"/>
          <w:sz w:val="12"/>
          <w:szCs w:val="12"/>
          <w:color w:val="auto"/>
        </w:rPr>
        <w:t>”). The higher energy density and shorter cycle life found in NMC and NCA batteries are suitable for markets where fast charging and high energy density are required, such as electric vehicle (“</w:t>
      </w:r>
      <w:r>
        <w:rPr>
          <w:rFonts w:ascii="Times New Roman" w:cs="Times New Roman" w:eastAsia="Times New Roman" w:hAnsi="Times New Roman"/>
          <w:sz w:val="12"/>
          <w:szCs w:val="12"/>
          <w:b w:val="1"/>
          <w:bCs w:val="1"/>
          <w:color w:val="auto"/>
        </w:rPr>
        <w:t>EV</w:t>
      </w:r>
      <w:r>
        <w:rPr>
          <w:rFonts w:ascii="Times New Roman" w:cs="Times New Roman" w:eastAsia="Times New Roman" w:hAnsi="Times New Roman"/>
          <w:sz w:val="12"/>
          <w:szCs w:val="12"/>
          <w:color w:val="auto"/>
        </w:rPr>
        <w:t>”)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76835</wp:posOffset>
            </wp:positionV>
            <wp:extent cx="4274185" cy="1116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extLst>
                    </a:blip>
                    <a:srcRect/>
                    <a:stretch>
                      <a:fillRect/>
                    </a:stretch>
                  </pic:blipFill>
                  <pic:spPr bwMode="auto">
                    <a:xfrm>
                      <a:off x="0" y="0"/>
                      <a:ext cx="4274185" cy="1116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wp:posOffset>
                </wp:positionV>
                <wp:extent cx="650938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85pt" to="512.25pt,0.85pt" o:allowincell="f" strokecolor="#000000" strokeweight="1.32pt"/>
            </w:pict>
          </mc:Fallback>
        </mc:AlternateContent>
      </w:r>
    </w:p>
    <w:p>
      <w:pPr>
        <w:sectPr>
          <w:pgSz w:w="12240" w:h="15840" w:orient="portrait"/>
          <w:cols w:equalWidth="0" w:num="1">
            <w:col w:w="10240"/>
          </w:cols>
          <w:pgMar w:left="1000" w:top="1208" w:right="1000" w:bottom="1440" w:gutter="0" w:footer="0" w:header="0"/>
        </w:sectPr>
      </w:pPr>
    </w:p>
    <w:bookmarkStart w:id="10" w:name="page11"/>
    <w:bookmarkEnd w:id="10"/>
    <w:p>
      <w:pPr>
        <w:jc w:val="both"/>
        <w:spacing w:after="0" w:line="160" w:lineRule="exact"/>
        <w:rPr>
          <w:sz w:val="20"/>
          <w:szCs w:val="20"/>
          <w:color w:val="auto"/>
        </w:rPr>
      </w:pPr>
      <w:r>
        <w:rPr>
          <w:rFonts w:ascii="Times New Roman" w:cs="Times New Roman" w:eastAsia="Times New Roman" w:hAnsi="Times New Roman"/>
          <w:sz w:val="14"/>
          <w:szCs w:val="14"/>
          <w:color w:val="auto"/>
        </w:rPr>
        <w:t>NMC batteries are highly dependent on two metals that present significant constraints</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nickel, which is facing an industry-wide shortage, and cobalt, a large percentage of which comes from conflict-ridden countries. According to an article by McKinsey &amp; Company titled “</w:t>
      </w:r>
      <w:r>
        <w:rPr>
          <w:rFonts w:ascii="Times New Roman" w:cs="Times New Roman" w:eastAsia="Times New Roman" w:hAnsi="Times New Roman"/>
          <w:sz w:val="14"/>
          <w:szCs w:val="14"/>
          <w:i w:val="1"/>
          <w:iCs w:val="1"/>
          <w:color w:val="auto"/>
        </w:rPr>
        <w:t>Lithium and Cobalt: A tale of two commodities</w:t>
      </w:r>
      <w:r>
        <w:rPr>
          <w:rFonts w:ascii="Times New Roman" w:cs="Times New Roman" w:eastAsia="Times New Roman" w:hAnsi="Times New Roman"/>
          <w:sz w:val="14"/>
          <w:szCs w:val="14"/>
          <w:color w:val="auto"/>
        </w:rPr>
        <w:t>”, global forecasts for cobalt show supply shortages arising as early as 2022, slowing down NMC battery growth. Both of these elements 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roughly 700 degrees Fahrenheit for LFP batteries, compared to 350 degrees Fahrenheit for NMC and NCA batteries, making LFP batteries less flammable and safer.</w:t>
      </w:r>
    </w:p>
    <w:p>
      <w:pPr>
        <w:spacing w:after="0" w:line="13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spacing w:after="0" w:line="127" w:lineRule="exact"/>
        <w:rPr>
          <w:sz w:val="20"/>
          <w:szCs w:val="20"/>
          <w:color w:val="auto"/>
        </w:rPr>
      </w:pPr>
    </w:p>
    <w:p>
      <w:pPr>
        <w:jc w:val="both"/>
        <w:spacing w:after="0" w:line="160" w:lineRule="exact"/>
        <w:rPr>
          <w:sz w:val="20"/>
          <w:szCs w:val="20"/>
          <w:color w:val="auto"/>
        </w:rPr>
      </w:pPr>
      <w:r>
        <w:rPr>
          <w:rFonts w:ascii="Times New Roman" w:cs="Times New Roman" w:eastAsia="Times New Roman" w:hAnsi="Times New Roman"/>
          <w:sz w:val="14"/>
          <w:szCs w:val="14"/>
          <w:color w:val="auto"/>
        </w:rPr>
        <w:t>In the electric vehicle market, the race to provide the highest energy density facilitating frequent, rapid acceleration, greatest range and fastest charging battery</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all while competing on cost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Solid-State Cells</w:t>
      </w:r>
    </w:p>
    <w:p>
      <w:pPr>
        <w:spacing w:after="0" w:line="1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LFP batteries are not without their disadvantages. While less flammable than other chemistries, the existence of a flammable liquid electrolyte still poses safety risks. Like all liquid-based lithium -ion batteries, LFP batteries have a potential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spacing w:after="0" w:line="1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 </w:t>
      </w:r>
      <w:r>
        <w:rPr>
          <w:rFonts w:ascii="Times New Roman" w:cs="Times New Roman" w:eastAsia="Times New Roman" w:hAnsi="Times New Roman"/>
          <w:sz w:val="14"/>
          <w:szCs w:val="14"/>
          <w:i w:val="1"/>
          <w:iCs w:val="1"/>
          <w:color w:val="auto"/>
        </w:rPr>
        <w:t>Research and Development</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Products</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currently offer non -toxic deep cycle LFP batteries for use in the RV, marine vessel and off-grid storage markets. We believe that the innovative design of our LFP batteries is ideally suited for the demands of modern customers who rely on consumer electronics, connected devices and smart appliances that require continuous, reliable electricity. We also offer chargers and other accessories either individually or as part of bundled packages.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12700</wp:posOffset>
                </wp:positionV>
                <wp:extent cx="650938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pt" to="512.25pt,1pt" o:allowincell="f" strokecolor="#000000" strokeweight="1.32pt"/>
            </w:pict>
          </mc:Fallback>
        </mc:AlternateContent>
      </w:r>
    </w:p>
    <w:p>
      <w:pPr>
        <w:sectPr>
          <w:pgSz w:w="12240" w:h="15840" w:orient="portrait"/>
          <w:cols w:equalWidth="0" w:num="1">
            <w:col w:w="10240"/>
          </w:cols>
          <w:pgMar w:left="1000" w:top="1210" w:right="1000" w:bottom="1440" w:gutter="0" w:footer="0" w:header="0"/>
        </w:sectPr>
      </w:pPr>
    </w:p>
    <w:bookmarkStart w:id="11" w:name="page12"/>
    <w:bookmarkEnd w:id="11"/>
    <w:p>
      <w:pPr>
        <w:jc w:val="both"/>
        <w:spacing w:after="0" w:line="248" w:lineRule="auto"/>
        <w:rPr>
          <w:sz w:val="20"/>
          <w:szCs w:val="20"/>
          <w:color w:val="auto"/>
        </w:rPr>
      </w:pPr>
      <w:r>
        <w:rPr>
          <w:rFonts w:ascii="Times New Roman" w:cs="Times New Roman" w:eastAsia="Times New Roman" w:hAnsi="Times New Roman"/>
          <w:sz w:val="14"/>
          <w:szCs w:val="14"/>
          <w:color w:val="auto"/>
        </w:rPr>
        <w:t>Our core products are LFP battery modules with a built- in battery management system offered under two brand names: Dragonfly Energy, which sells primarily to OEMs, and Battle Born Batteries, which sells primarily direct to consumers and increasingly to OEMs. We currently offer seven LFP battery models across our two brands, each differentiated by size, power and capacity, consisting of seven different models, four of which come with a heated option. The following chart highlights the key features of each of our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-5715</wp:posOffset>
            </wp:positionV>
            <wp:extent cx="4336415" cy="2005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extLst>
                    </a:blip>
                    <a:srcRect/>
                    <a:stretch>
                      <a:fillRect/>
                    </a:stretch>
                  </pic:blipFill>
                  <pic:spPr bwMode="auto">
                    <a:xfrm>
                      <a:off x="0" y="0"/>
                      <a:ext cx="4336415" cy="200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Each battery model is capable of being discharged to a 100% depth of discharge and takes approximately five hours to charge to full capacity, which is five times faster than a traditional lead-acid battery. Each module is designed to last between 3,000 and 5,000 cycles, at which point the battery still holds 75% to 80% of its energy capacity. This equates to approximately 10 to 15 years of use (under typical conditions), which is why each battery comes with an industry-leading 10-year full replacement manufacturers’ defect warranty. Our battery modules are largely designed to be “drop-in replacements” for traditional lead-acid batteries, which means that they are designed to fit standard RV or marine vessel configurations without any adjustments. Our LFP batteries are versatile and designed to be compatible not just with standard chargers, but also with wind and solar power systems, and to be modular, and can be combined in series or in parallel depending on customer needs.</w:t>
      </w:r>
    </w:p>
    <w:p>
      <w:pPr>
        <w:spacing w:after="0" w:line="13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We also offer certain of our battery models as an internally heated battery, which utilizes our proprietary technology to maintain optimal internal settings in cold weather conditions, allowing customers to charge the battery even in low temperatures. The unique heating technology does not require an external energy source and the self-regulating internal heater is only activated when needed, minimizing energy drain and extending the useful life of the battery. Unlike traditional batteries, our batteries are maintenance free and do not require cleaning, adding of water or venting for “off gassing”.</w:t>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April of 2022, we acquired the assets and intellectual property portfolio of Thomason Jones Company, LLC, including Wakespeed, in a move that provides our OEM arm and consumer brand, Battle Born Batteries, the ability to offer complete alternator-connected systems for marine and RV consumers and manufacturers. Wakespeed offers a unique alternator regulator and several other devices focused on energy systems that are charged by a vehicle alternator. Wakespeed’s product line continues to be offered to specialty OEM manufacturers and customers but is now additionally offered alongside the innovative product lines of Dragonfly Energy and Battle Born Batteries.</w:t>
      </w:r>
    </w:p>
    <w:p>
      <w:pPr>
        <w:spacing w:after="0" w:line="1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addition to our core battery products, we offer customers a number of adjacent products and accessories manufactured by third parties. We offer a range of charging components that are designed for every application: inverter chargers (which allow users to recharge a DC battery bank with AC power and also turn DC battery power into AC power), converter chargers (which allow users to charge from an AC power source) and solar charge controllers (which manage power transfer from solar arrays to battery banks).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650938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pt" to="512.25pt,1.3pt" o:allowincell="f" strokecolor="#000000" strokeweight="1.2599pt"/>
            </w:pict>
          </mc:Fallback>
        </mc:AlternateContent>
      </w:r>
    </w:p>
    <w:p>
      <w:pPr>
        <w:sectPr>
          <w:pgSz w:w="12240" w:h="15840" w:orient="portrait"/>
          <w:cols w:equalWidth="0" w:num="1">
            <w:col w:w="10240"/>
          </w:cols>
          <w:pgMar w:left="1000" w:top="1210" w:right="1000" w:bottom="1440" w:gutter="0" w:footer="0" w:header="0"/>
        </w:sectPr>
      </w:pPr>
    </w:p>
    <w:bookmarkStart w:id="12" w:name="page13"/>
    <w:bookmarkEnd w:id="12"/>
    <w:p>
      <w:pPr>
        <w:jc w:val="both"/>
        <w:spacing w:after="0" w:line="262" w:lineRule="auto"/>
        <w:rPr>
          <w:sz w:val="20"/>
          <w:szCs w:val="20"/>
          <w:color w:val="auto"/>
        </w:rPr>
      </w:pPr>
      <w:r>
        <w:rPr>
          <w:rFonts w:ascii="Times New Roman" w:cs="Times New Roman" w:eastAsia="Times New Roman" w:hAnsi="Times New Roman"/>
          <w:sz w:val="14"/>
          <w:szCs w:val="14"/>
          <w:color w:val="auto"/>
        </w:rPr>
        <w:t>We also offer customers a full suite of accessories and components to facilitate the installation of our products. These include plugs, fuses, cables, adapters, sensors and interfaces pictured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1469390</wp:posOffset>
            </wp:positionH>
            <wp:positionV relativeFrom="paragraph">
              <wp:posOffset>86995</wp:posOffset>
            </wp:positionV>
            <wp:extent cx="3559810" cy="15144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extLst>
                    </a:blip>
                    <a:srcRect/>
                    <a:stretch>
                      <a:fillRect/>
                    </a:stretch>
                  </pic:blipFill>
                  <pic:spPr bwMode="auto">
                    <a:xfrm>
                      <a:off x="0" y="0"/>
                      <a:ext cx="3559810" cy="151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offer specially designed bundled packages of battery modules and accessories tailored to specific applications for both RVs, marine vessels and off-grid residences, ranging in price from $675 to over $19,000,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1469390</wp:posOffset>
            </wp:positionH>
            <wp:positionV relativeFrom="paragraph">
              <wp:posOffset>90805</wp:posOffset>
            </wp:positionV>
            <wp:extent cx="3560445" cy="1376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ext uri="{28A0092B-C50C-407E-A947-70E740481C1C}"/>
                      </a:extLst>
                    </a:blip>
                    <a:srcRect/>
                    <a:stretch>
                      <a:fillRect/>
                    </a:stretch>
                  </pic:blipFill>
                  <pic:spPr bwMode="auto">
                    <a:xfrm>
                      <a:off x="0" y="0"/>
                      <a:ext cx="3560445" cy="1376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With our batteries being designed and assembled exclusively in-house, we are able to guarantee that we deliver high-quality batteries to customers. We test our products to ensure they meet federal and local governmental regulations for both performance and safety. Our testing and compliance with required standards and measurements are validated by a third-party lab, which includes UL Standard 2054, IEC 62133 and the UN 38.3 shipping certification.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Battery Management System</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Our proprietary battery management system is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spacing w:after="0" w:line="117" w:lineRule="exact"/>
        <w:rPr>
          <w:sz w:val="20"/>
          <w:szCs w:val="20"/>
          <w:color w:val="auto"/>
        </w:rPr>
      </w:pPr>
    </w:p>
    <w:p>
      <w:pPr>
        <w:ind w:left="480" w:hanging="237"/>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enables batteries to draw power under 135 degrees Fahrenheit, and is designed to cut off charging at 24 degrees Fahrenheit to protect cells;</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actively monitors the rate of change of currents to detect and prevent short circuiting, and also protects against potential ground faults;</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allows for up to an average of 300 amps continuously, 500 amp surges for 30 seconds, and momentary, half second maximum capacity surges;</w:t>
      </w:r>
    </w:p>
    <w:p>
      <w:pPr>
        <w:spacing w:after="0" w:line="151"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enables batteries to recharge even if completely drained;</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utilizes larger resistors to ensure balanced loads to improve performance and extend useful life; and</w:t>
      </w:r>
    </w:p>
    <w:p>
      <w:pPr>
        <w:spacing w:after="0" w:line="151"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facilitates scalability by enabling batteries to be combined in parallel and in series.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17145</wp:posOffset>
                </wp:positionV>
                <wp:extent cx="650938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5pt" to="512.25pt,1.35pt" o:allowincell="f" strokecolor="#000000" strokeweight="1.32pt"/>
            </w:pict>
          </mc:Fallback>
        </mc:AlternateContent>
      </w:r>
    </w:p>
    <w:p>
      <w:pPr>
        <w:sectPr>
          <w:pgSz w:w="12240" w:h="15840" w:orient="portrait"/>
          <w:cols w:equalWidth="0" w:num="1">
            <w:col w:w="10240"/>
          </w:cols>
          <w:pgMar w:left="1000" w:top="1210" w:right="100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i w:val="1"/>
          <w:iCs w:val="1"/>
          <w:color w:val="auto"/>
        </w:rPr>
        <w:t>Battery Communication System</w:t>
      </w:r>
    </w:p>
    <w:p>
      <w:pPr>
        <w:spacing w:after="0" w:line="1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have developed a complete communication system branded Dragonfly IntelLigence,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the Dragonfly IntelLigence product line to customers as an adjacent component and in our product bundles during the first half of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Alternator Regulation</w:t>
      </w:r>
    </w:p>
    <w:p>
      <w:pPr>
        <w:spacing w:after="0" w:line="1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Charging batteries in a vehicle, such as a boat or RV, often requires pulling electrical current off of the vehicle’s alternator. Alternator regulation is important to ensure that the alternator does not get unduly stressed during the current delivery to the batteries, and that the current delivery remains within the operating limits of the onboard battery bank. The acquisition of the assets of Wakespeed allows us to deliver our own proprietary solution to alternator regulation while also leveraging an established brand name. Wakespeed is especially popular in the marine industry, and our ability to offer this complete solution sets the stage for further penetration into marine markets.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Pipeline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Beyond our current battery modules, we have several LFP products in development that will enable us to access additional end markets.</w:t>
      </w:r>
    </w:p>
    <w:p>
      <w:pPr>
        <w:spacing w:after="0" w:line="152" w:lineRule="exact"/>
        <w:rPr>
          <w:sz w:val="20"/>
          <w:szCs w:val="20"/>
          <w:color w:val="auto"/>
        </w:rPr>
      </w:pPr>
    </w:p>
    <w:p>
      <w:pPr>
        <w:ind w:left="480" w:hanging="237"/>
        <w:spacing w:after="0" w:line="262" w:lineRule="auto"/>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New Products. </w:t>
      </w:r>
      <w:r>
        <w:rPr>
          <w:rFonts w:ascii="Times New Roman" w:cs="Times New Roman" w:eastAsia="Times New Roman" w:hAnsi="Times New Roman"/>
          <w:sz w:val="14"/>
          <w:szCs w:val="14"/>
          <w:color w:val="auto"/>
        </w:rPr>
        <w:t>Our current offerings feature battery products that serve the RV, marine vessel and off-grid markets. Although manufacturing operations were previously capacity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constrained the expansion into our manufacturing facility will allow us to add production capacity and increase product offerings and scale based on demand.</w:t>
      </w:r>
    </w:p>
    <w:p>
      <w:pPr>
        <w:spacing w:after="0" w:line="116" w:lineRule="exact"/>
        <w:rPr>
          <w:rFonts w:ascii="Times New Roman" w:cs="Times New Roman" w:eastAsia="Times New Roman" w:hAnsi="Times New Roman"/>
          <w:sz w:val="14"/>
          <w:szCs w:val="14"/>
          <w:color w:val="auto"/>
        </w:rPr>
      </w:pPr>
    </w:p>
    <w:p>
      <w:pPr>
        <w:jc w:val="both"/>
        <w:ind w:left="740" w:hanging="252"/>
        <w:spacing w:after="0" w:line="243" w:lineRule="auto"/>
        <w:tabs>
          <w:tab w:leader="none" w:pos="74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majority of our current batteries are 12 voltage batteries, which provide 100 amp hours of energy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p>
      <w:pPr>
        <w:spacing w:after="0" w:line="130" w:lineRule="exact"/>
        <w:rPr>
          <w:rFonts w:ascii="Times New Roman" w:cs="Times New Roman" w:eastAsia="Times New Roman" w:hAnsi="Times New Roman"/>
          <w:sz w:val="14"/>
          <w:szCs w:val="14"/>
          <w:color w:val="auto"/>
        </w:rPr>
      </w:pPr>
    </w:p>
    <w:p>
      <w:pPr>
        <w:jc w:val="both"/>
        <w:ind w:left="740" w:hanging="252"/>
        <w:spacing w:after="0" w:line="296" w:lineRule="auto"/>
        <w:tabs>
          <w:tab w:leader="none" w:pos="740"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also offer 24 voltage batteries, which currently deliver 50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p>
      <w:pPr>
        <w:spacing w:after="0" w:line="100" w:lineRule="exact"/>
        <w:rPr>
          <w:rFonts w:ascii="Times New Roman" w:cs="Times New Roman" w:eastAsia="Times New Roman" w:hAnsi="Times New Roman"/>
          <w:sz w:val="12"/>
          <w:szCs w:val="12"/>
          <w:color w:val="auto"/>
        </w:rPr>
      </w:pPr>
    </w:p>
    <w:p>
      <w:pPr>
        <w:jc w:val="both"/>
        <w:ind w:left="740" w:hanging="252"/>
        <w:spacing w:after="0" w:line="243" w:lineRule="auto"/>
        <w:tabs>
          <w:tab w:leader="none" w:pos="74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offer 48 voltage batteries at 100 amp hours that utilize the Dragonfly IntelLigence system to maintain balance and full visibility into the status of all cells..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p>
      <w:pPr>
        <w:spacing w:after="0" w:line="130" w:lineRule="exact"/>
        <w:rPr>
          <w:rFonts w:ascii="Times New Roman" w:cs="Times New Roman" w:eastAsia="Times New Roman" w:hAnsi="Times New Roman"/>
          <w:sz w:val="14"/>
          <w:szCs w:val="14"/>
          <w:color w:val="auto"/>
        </w:rPr>
      </w:pPr>
    </w:p>
    <w:p>
      <w:pPr>
        <w:jc w:val="both"/>
        <w:ind w:left="480" w:hanging="237"/>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System Integrator. </w:t>
      </w:r>
      <w:r>
        <w:rPr>
          <w:rFonts w:ascii="Times New Roman" w:cs="Times New Roman" w:eastAsia="Times New Roman" w:hAnsi="Times New Roman"/>
          <w:sz w:val="14"/>
          <w:szCs w:val="14"/>
          <w:color w:val="auto"/>
        </w:rPr>
        <w:t>A natural evolution of our business is to offer customers a system integration solution providing more efficient power solutions at a cost-effective price point.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currently offer components and accessories necessary to build out complete lithium power systems, including solar panels, chargers and inverters, system monitoring, Wakespeed’s alternator regulators, accessories, and more. We have an in-house expert customer service team that assists customers in fully integrating their applications to our technologies for a seamless transition to lithium-based energy storage systems. Through our evolving technology and the customized architecture and application of our products, we are able to offer customers a seamless transition to creating a centralized coordinated system.</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17145</wp:posOffset>
                </wp:positionV>
                <wp:extent cx="650938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5pt" to="512.25pt,1.35pt" o:allowincell="f" strokecolor="#000000" strokeweight="1.26pt"/>
            </w:pict>
          </mc:Fallback>
        </mc:AlternateContent>
      </w:r>
    </w:p>
    <w:p>
      <w:pPr>
        <w:sectPr>
          <w:pgSz w:w="12240" w:h="15840" w:orient="portrait"/>
          <w:cols w:equalWidth="0" w:num="1">
            <w:col w:w="10240"/>
          </w:cols>
          <w:pgMar w:left="1000" w:top="1212" w:right="100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2"/>
          <w:szCs w:val="12"/>
          <w:color w:val="auto"/>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We believe that solid-state batteries present a significant advantage to all products currently on the market, with the potential to be lighter, smaller, safer and cheaper. Since our founding, our research team, led by our founder and CEO, has been developing solid-state cell manufacturing technology and we aim to be a fully vertically integrated solid-state battery manufacturer. We have successfully tested and are currently in the process of optimizing the composite materials that comprise the cathode, anode and electrolyte of the all-solid-state battery. In addition, we are one of the only companies to focus on a true solid-state chemistry that conducts lithium with sufficiently high conductivity and cycles lithium phosphate against graphite with positive results, and are in the process of testing more complicated layered electrolyte compositions to maximize our cycling and power results. Our aim is to begin producing solid-state pouch cells from a pilot production line by early 2024.</w:t>
      </w:r>
    </w:p>
    <w:p>
      <w:pPr>
        <w:spacing w:after="0" w:line="1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Compared to current lithium-ion technology, where lithium-ions cross a liquid electrolyte barrier between a battery’s anode (negative electrode) and cathode (positive electrode), solid-state batteries aim to use a solid electrolyte to regulate the lithium- ions. Our solid-state batteries are designed to be multilayered pouch cells comprised of highly integrated layers of catholyte, electrolyte and anolyte contained within industry standard aluminum foil at the cathode and industry standard copper or nickel foil at the anode, which are then combined into larger battery packs. An illustrative solid-state cell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2279650</wp:posOffset>
            </wp:positionH>
            <wp:positionV relativeFrom="paragraph">
              <wp:posOffset>94615</wp:posOffset>
            </wp:positionV>
            <wp:extent cx="1942465" cy="13150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extLst>
                    </a:blip>
                    <a:srcRect/>
                    <a:stretch>
                      <a:fillRect/>
                    </a:stretch>
                  </pic:blipFill>
                  <pic:spPr bwMode="auto">
                    <a:xfrm>
                      <a:off x="0" y="0"/>
                      <a:ext cx="1942465" cy="1315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We have developed proprietary processes, systems and materials that are protected by issued patents and pending patent applications that we believe place us at the forefront of solid- state storage-focused battery technology. Our cells utilize a layered electrolyte design, which increases stability by forming a stable solid electrolyte interface at both electrodes. Rather than requiring a solid-state separator, we have designed a patent-pending spray drying process that encapsulates each grain of cathode (LFP) or anode (graphite) with a solid electrolyte, which completely integrates the solid -state component, creating higher interface density and, therefore, more effective connectivity. In addition, our cathodes and anodes do not require any liquid component, making this truly solid-state. In lieu of lithium metal, our cathode component incorporates an intercalation material, such as graphite or silicon. This mitigates the risk of forming lithium dendrites, which degrades cell performance and could potentially cause an internal short circuit.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2052320</wp:posOffset>
            </wp:positionH>
            <wp:positionV relativeFrom="paragraph">
              <wp:posOffset>97155</wp:posOffset>
            </wp:positionV>
            <wp:extent cx="2396490" cy="1722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a:extLst>
                        <a:ext uri="{28A0092B-C50C-407E-A947-70E740481C1C}"/>
                      </a:extLst>
                    </a:blip>
                    <a:srcRect/>
                    <a:stretch>
                      <a:fillRect/>
                    </a:stretch>
                  </pic:blipFill>
                  <pic:spPr bwMode="auto">
                    <a:xfrm>
                      <a:off x="0" y="0"/>
                      <a:ext cx="2396490" cy="172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15240</wp:posOffset>
                </wp:positionV>
                <wp:extent cx="650938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2pt" to="512.25pt,1.2pt" o:allowincell="f" strokecolor="#000000" strokeweight="1.2599pt"/>
            </w:pict>
          </mc:Fallback>
        </mc:AlternateContent>
      </w:r>
    </w:p>
    <w:p>
      <w:pPr>
        <w:sectPr>
          <w:pgSz w:w="12240" w:h="15840" w:orient="portrait"/>
          <w:cols w:equalWidth="0" w:num="1">
            <w:col w:w="10240"/>
          </w:cols>
          <w:pgMar w:left="1000" w:top="1208" w:right="1000" w:bottom="1440" w:gutter="0" w:footer="0" w:header="0"/>
        </w:sectPr>
      </w:pPr>
    </w:p>
    <w:bookmarkStart w:id="15" w:name="page16"/>
    <w:bookmarkEnd w:id="15"/>
    <w:p>
      <w:pPr>
        <w:jc w:val="both"/>
        <w:spacing w:after="0" w:line="243" w:lineRule="auto"/>
        <w:rPr>
          <w:sz w:val="20"/>
          <w:szCs w:val="20"/>
          <w:color w:val="auto"/>
        </w:rPr>
      </w:pPr>
      <w:r>
        <w:rPr>
          <w:rFonts w:ascii="Times New Roman" w:cs="Times New Roman" w:eastAsia="Times New Roman" w:hAnsi="Times New Roman"/>
          <w:sz w:val="14"/>
          <w:szCs w:val="14"/>
          <w:color w:val="auto"/>
        </w:rPr>
        <w:t>The utilization of our innovative, completely dry powder deposition technology in our manufacturing process is expected to result in faster manufacturing times with lower upfront capital costs due to the elimination of expensive dryers and vacuum ovens. We believe this will allow our production process to shift from batch production and convert to continuous production faster than our competitors. Our spray powder coating application is highly automated, allowing us to utilize less space and fix overhead costs while increasing the precision of our products and manufacturing capacity of the facility. Our manufacturing process is modular, allowing us to scale up depending upon demand.</w:t>
      </w:r>
    </w:p>
    <w:p>
      <w:pPr>
        <w:spacing w:after="0" w:line="1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w:t>
      </w:r>
    </w:p>
    <w:p>
      <w:pPr>
        <w:spacing w:after="0" w:line="1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intend to integrate our initial solid-state cells into Dragonfly Energy and Battle Born batteries and eventually scale to mass production of solid-state cells. We aim to be a vertically integrated LFP solid-state cell manufacturer with our technology incorporated into our own-branded products for sale to our own customers (including our OEM customers) but also other battery manufacturers.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Headquarters, Manufacturing and Production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headquarters is located in our 99,000 square foot manufacturing facility in Reno, Nevada. The lease for this building was entered into on March 1, 2021 and expires on April 30, 2026.</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own any real property.</w:t>
      </w:r>
    </w:p>
    <w:p>
      <w:pPr>
        <w:spacing w:after="0" w:line="13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2"/>
          <w:szCs w:val="12"/>
          <w:color w:val="auto"/>
        </w:rPr>
        <w:t>Our facility provides a streamlined, partially autonomous production process for our current batteries, which comprises module assembly and battery assembly. We currently have two production lines,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Our manufacturing process is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110490</wp:posOffset>
            </wp:positionV>
            <wp:extent cx="4274185" cy="807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a:extLst>
                        <a:ext uri="{28A0092B-C50C-407E-A947-70E740481C1C}"/>
                      </a:extLst>
                    </a:blip>
                    <a:srcRect/>
                    <a:stretch>
                      <a:fillRect/>
                    </a:stretch>
                  </pic:blipFill>
                  <pic:spPr bwMode="auto">
                    <a:xfrm>
                      <a:off x="0" y="0"/>
                      <a:ext cx="4274185" cy="807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Our manufacturing process is divided into two aspects: (i) module assembly and (ii)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 -designed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discharged to empty, recharged to full charge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spacing w:after="0" w:line="1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On February 8, 2022, we entered into a 124-month lease for an additional 390,240 square foot warehouse, which, once built, we intend to utilize for the manufacture of our solid-state batteries.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Supplier Relationships</w:t>
      </w:r>
    </w:p>
    <w:p>
      <w:pPr>
        <w:spacing w:after="0" w:line="1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long-standing relationships with these suppliers, we are able to source LFP cells on favorable terms and within reasonable lead-times.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650938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pt" to="512.25pt,1.3pt" o:allowincell="f" strokecolor="#000000" strokeweight="1.2599pt"/>
            </w:pict>
          </mc:Fallback>
        </mc:AlternateContent>
      </w:r>
    </w:p>
    <w:p>
      <w:pPr>
        <w:sectPr>
          <w:pgSz w:w="12240" w:h="15840" w:orient="portrait"/>
          <w:cols w:equalWidth="0" w:num="1">
            <w:col w:w="10240"/>
          </w:cols>
          <w:pgMar w:left="1000" w:top="1210" w:right="1000" w:bottom="1440" w:gutter="0" w:footer="0" w:header="0"/>
        </w:sectPr>
      </w:pPr>
    </w:p>
    <w:bookmarkStart w:id="16" w:name="page17"/>
    <w:bookmarkEnd w:id="16"/>
    <w:p>
      <w:pPr>
        <w:jc w:val="both"/>
        <w:spacing w:after="0" w:line="262" w:lineRule="auto"/>
        <w:rPr>
          <w:sz w:val="20"/>
          <w:szCs w:val="20"/>
          <w:color w:val="auto"/>
        </w:rPr>
      </w:pPr>
      <w:r>
        <w:rPr>
          <w:rFonts w:ascii="Times New Roman" w:cs="Times New Roman" w:eastAsia="Times New Roman" w:hAnsi="Times New Roman"/>
          <w:sz w:val="14"/>
          <w:szCs w:val="14"/>
          <w:color w:val="auto"/>
        </w:rPr>
        <w:t>As we look toward the production of our solid-state cells, we have signed a non-binding Memorandum of Understanding with a lithium mining company and a lithium recycling company, both located in Nevada for the supply of lithium.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 RV OEM Strategic Arrangements</w:t>
      </w:r>
    </w:p>
    <w:p>
      <w:pPr>
        <w:spacing w:after="0" w:line="1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currently serve more than 15,000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years ended December 31, 2022 and 2021, OEM sales represented 39.2% and 10.5% of our total revenues, respectively.</w:t>
      </w:r>
    </w:p>
    <w:p>
      <w:pPr>
        <w:spacing w:after="0" w:line="1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have deep, long-standing relationships with many of our customers. We also have a diverse customer base, with our top 10 customers accounting for 36.3% of our revenue for the year ended December 31, 2022. Our customers primarily utilize our products for RVs, marine vessels and off-grid residences. We work directly with OEMs to ensure compatibility with existing designs and also collaborate on custom designs for new applications.</w:t>
      </w:r>
    </w:p>
    <w:p>
      <w:pPr>
        <w:spacing w:after="0" w:line="12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On November 19, 2021, we entered into a long-term Manufacturing Supply Agreement with Keystone, a member of the THOR group and the largest towable RV OEM in North America (the “Supply Agreement”). Under the Supply Agreement, we will be the exclusive supplier to Keystone for certain of its future LFP battery requirements, solidifying our long-standing relationship with Keystone.</w:t>
      </w:r>
    </w:p>
    <w:p>
      <w:pPr>
        <w:spacing w:after="0" w:line="13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2"/>
          <w:szCs w:val="12"/>
          <w:color w:val="auto"/>
        </w:rPr>
        <w:t>In July 2022, we strengthened our ties with the THOR group of RV OEMs when (i) THOR Industries made a $ 15,000,000 strategic investment in us and (ii) we agreed to enter into a future, mutually agreed distribution arrangement and joint IP development arrangement. This arrangement and the Keystone arrangement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has not been executed and is subject to negotiation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spacing w:after="0" w:line="2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continue to seek to grow our customer base within our existing segments; however, we also believe that our products are well suited to address the needs in additional segments, including residential, commercial and/or industrial standby power,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5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found in our target end markets today. Through informational videos found on our website and social media platforms that educate consumers on the benefits of LFP batteries and various “DIY” videos, we assist consumers on what they need for their battery system and how to install and use batteries and accessories.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17145</wp:posOffset>
                </wp:positionV>
                <wp:extent cx="650938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5pt" to="512.25pt,1.35pt" o:allowincell="f" strokecolor="#000000" strokeweight="1.26pt"/>
            </w:pict>
          </mc:Fallback>
        </mc:AlternateContent>
      </w:r>
    </w:p>
    <w:p>
      <w:pPr>
        <w:sectPr>
          <w:pgSz w:w="12240" w:h="15840" w:orient="portrait"/>
          <w:cols w:equalWidth="0" w:num="1">
            <w:col w:w="10240"/>
          </w:cols>
          <w:pgMar w:left="1000" w:top="1210" w:right="1000" w:bottom="1440" w:gutter="0" w:footer="0" w:header="0"/>
        </w:sectPr>
      </w:pPr>
    </w:p>
    <w:bookmarkStart w:id="17" w:name="page18"/>
    <w:bookmarkEnd w:id="17"/>
    <w:p>
      <w:pPr>
        <w:jc w:val="both"/>
        <w:spacing w:after="0" w:line="243" w:lineRule="auto"/>
        <w:rPr>
          <w:sz w:val="20"/>
          <w:szCs w:val="20"/>
          <w:color w:val="auto"/>
        </w:rPr>
      </w:pPr>
      <w:r>
        <w:rPr>
          <w:rFonts w:ascii="Times New Roman" w:cs="Times New Roman" w:eastAsia="Times New Roman" w:hAnsi="Times New Roman"/>
          <w:sz w:val="14"/>
          <w:szCs w:val="14"/>
          <w:color w:val="auto"/>
        </w:rPr>
        <w:t>We utilize a multi-pronged sales and marketing strategy to ensure that the Dragonfly Energy, Battle Born and Wakespeed brands are at the forefront of their respective end markets. We have established strong relationships, particularly in the RV industry, through participation in trade shows and other sponsored industry events, which have allowed us to reach both OEMs and retail customers and ensure we are aware of evolving customer preferences. We are then able to leverage this customer feedback to collaborate with major OEMs to custom design products for new and existing applications.</w:t>
      </w:r>
    </w:p>
    <w:p>
      <w:pPr>
        <w:spacing w:after="0" w:line="1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addition to traditional print and media advertising, we have leveraged the growing influence of social media (such as YouTube, Instagram and Facebook) and professional influencers to increase market awareness of our brands. We work closely with these influencers to create a lasting relationship that showcases the performance of our products, rather than one-off promotions. Our products have also been featured in television shows and on podcasts that cater specifically to RV enthusiasts.</w:t>
      </w:r>
    </w:p>
    <w:p>
      <w:pPr>
        <w:spacing w:after="0" w:line="1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also value our direct relationships with retail customers. Our website and our customer service are key elements to our sales strategy. Our website enables customers to purchase Wakespeed and Battle Born products directly and provides access to a range of videos covering product information, technological benefits and installation guides. We have a team of experts dedicated to supporting our customers’ sales, technical and service needs.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spacing w:after="0" w:line="1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spacing w:after="0" w:line="1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technology-focused energy storage companies such as EOS Energy, ESS and STEM.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1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As of December 31, 2022 we owned 26 issued patents and 22 pending patent applications. The patents and patent applications cover the United States, China, Europe (with individual patents in Germany, France and the United Kingdom), Australia, Canada and other regions. We periodically review and update our patent portfolio to protect our products and newly developed technologies. Currently, we have a combination of issued patents and pending patent applications covering the ornamental design of our GC2 and GC3 batteries, a device and method for monitoring battery systems, pre-coated solid-state electrolyte and electroactive powders and their methods of manufacture, methods and systems for the dry spray deposition of materials in an electrochemical cell; a thermal fuse; battery systems implementing a mesh network communication protocol; a power charging system for use during towing of a vehicle; and a power charging system with temperature based charging control. These patents are expected to have expired or expire between May 2023 and 2043, absent any patent term adjustments or extensions.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650938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pt" to="512.25pt,1.3pt" o:allowincell="f" strokecolor="#000000" strokeweight="1.2599pt"/>
            </w:pict>
          </mc:Fallback>
        </mc:AlternateContent>
      </w:r>
    </w:p>
    <w:p>
      <w:pPr>
        <w:sectPr>
          <w:pgSz w:w="12240" w:h="15840" w:orient="portrait"/>
          <w:cols w:equalWidth="0" w:num="1">
            <w:col w:w="10240"/>
          </w:cols>
          <w:pgMar w:left="1000" w:top="1210" w:right="1000" w:bottom="1440" w:gutter="0" w:footer="0" w:header="0"/>
        </w:sectPr>
      </w:pPr>
    </w:p>
    <w:bookmarkStart w:id="18" w:name="page19"/>
    <w:bookmarkEnd w:id="18"/>
    <w:p>
      <w:pPr>
        <w:jc w:val="both"/>
        <w:spacing w:after="0" w:line="248" w:lineRule="auto"/>
        <w:rPr>
          <w:sz w:val="20"/>
          <w:szCs w:val="20"/>
          <w:color w:val="auto"/>
        </w:rPr>
      </w:pPr>
      <w:r>
        <w:rPr>
          <w:rFonts w:ascii="Times New Roman" w:cs="Times New Roman" w:eastAsia="Times New Roman" w:hAnsi="Times New Roman"/>
          <w:sz w:val="14"/>
          <w:szCs w:val="14"/>
          <w:color w:val="auto"/>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December 31, 2022, we own four trademark registrations to cover our house marks in the United States and we have seven pending trademark applications relating to our design logos and slogans in the United States.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 and Compliance</w:t>
      </w:r>
    </w:p>
    <w:p>
      <w:pPr>
        <w:spacing w:after="0" w:line="1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currently operate from a dedicated leased manufacturing facility, a leased warehouse and a podcast studio, each located in Reno, Nevada as well as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such as policies relating to workplace safety, fire prevention, hazardous material management and other emergency action plans. We train our employees and conduct audits of our operations to assess our fulfillment of these policies.</w:t>
      </w:r>
    </w:p>
    <w:p>
      <w:pPr>
        <w:spacing w:after="0" w:line="1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 and Human Capital Resources</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As of December 31, 2022, we have 177 employees; 171 full- time, 2 part- time and 4 seasonal.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spacing w:after="0" w:line="128" w:lineRule="exact"/>
        <w:rPr>
          <w:sz w:val="20"/>
          <w:szCs w:val="20"/>
          <w:color w:val="auto"/>
        </w:rPr>
      </w:pPr>
    </w:p>
    <w:p>
      <w:pPr>
        <w:ind w:left="480" w:hanging="237"/>
        <w:spacing w:after="0" w:line="168" w:lineRule="exact"/>
        <w:tabs>
          <w:tab w:leader="none" w:pos="48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4"/>
          <w:szCs w:val="14"/>
          <w:i w:val="1"/>
          <w:iCs w:val="1"/>
          <w:color w:val="auto"/>
        </w:rPr>
        <w:t>Safety</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Employees are regularly educated in safety around their workspaces, and employees participate in volunteer roles on a safety committee, and in emergency readiness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roles. We have a dedicated safety coordinator who tracks and measures our performance, and helps us benchmark our safety programs against our peers.</w:t>
      </w:r>
    </w:p>
    <w:p>
      <w:pPr>
        <w:spacing w:after="0" w:line="133" w:lineRule="exact"/>
        <w:rPr>
          <w:rFonts w:ascii="Arial" w:cs="Arial" w:eastAsia="Arial" w:hAnsi="Arial"/>
          <w:sz w:val="14"/>
          <w:szCs w:val="14"/>
          <w:color w:val="auto"/>
        </w:rPr>
      </w:pPr>
    </w:p>
    <w:p>
      <w:pPr>
        <w:jc w:val="both"/>
        <w:ind w:left="480" w:hanging="237"/>
        <w:spacing w:after="0" w:line="165" w:lineRule="exact"/>
        <w:tabs>
          <w:tab w:leader="none" w:pos="48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4"/>
          <w:szCs w:val="14"/>
          <w:i w:val="1"/>
          <w:iCs w:val="1"/>
          <w:color w:val="auto"/>
        </w:rPr>
        <w:t>Diversity, Equity &amp; Inclusion</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Our culture has benefitted from the diversity of our workforce from the very beginning. Inclusion and equity are “baked into the bricks”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values, which our employees demonstrate every day. Our human resources department and all our corporate officers and directors have an open door policy, and are able to constructively communicate with employees to resolve issues when they arise.</w:t>
      </w:r>
    </w:p>
    <w:p>
      <w:pPr>
        <w:spacing w:after="0" w:line="132" w:lineRule="exact"/>
        <w:rPr>
          <w:rFonts w:ascii="Arial" w:cs="Arial" w:eastAsia="Arial" w:hAnsi="Arial"/>
          <w:sz w:val="14"/>
          <w:szCs w:val="14"/>
          <w:color w:val="auto"/>
        </w:rPr>
      </w:pPr>
    </w:p>
    <w:p>
      <w:pPr>
        <w:ind w:left="480" w:hanging="237"/>
        <w:spacing w:after="0" w:line="168" w:lineRule="exact"/>
        <w:tabs>
          <w:tab w:leader="none" w:pos="48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4"/>
          <w:szCs w:val="14"/>
          <w:i w:val="1"/>
          <w:iCs w:val="1"/>
          <w:color w:val="auto"/>
        </w:rPr>
        <w:t>Collaboration</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As we grow, opportunities for cross-functional collaboration are not as organic as they used to be. We have responded to that change by staying mindful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acting intentionally to gather cross-functional input on new initiatives and continuous improvement efforts.</w:t>
      </w:r>
    </w:p>
    <w:p>
      <w:pPr>
        <w:spacing w:after="0" w:line="133" w:lineRule="exact"/>
        <w:rPr>
          <w:rFonts w:ascii="Arial" w:cs="Arial" w:eastAsia="Arial" w:hAnsi="Arial"/>
          <w:sz w:val="14"/>
          <w:szCs w:val="14"/>
          <w:color w:val="auto"/>
        </w:rPr>
      </w:pPr>
    </w:p>
    <w:p>
      <w:pPr>
        <w:ind w:left="480" w:hanging="237"/>
        <w:spacing w:after="0" w:line="168" w:lineRule="exact"/>
        <w:tabs>
          <w:tab w:leader="none" w:pos="48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4"/>
          <w:szCs w:val="14"/>
          <w:i w:val="1"/>
          <w:iCs w:val="1"/>
          <w:color w:val="auto"/>
        </w:rPr>
        <w:t>Continuous Improvement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We apply continuous improvement measures to processes as well as people. We encourage professional development of our employees, through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ongoing learning, credentialing, and collaboration with their industry peers.</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performance-based compensation that rewards individual and organizational achievements.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Business Combination</w:t>
      </w:r>
    </w:p>
    <w:p>
      <w:pPr>
        <w:spacing w:after="0" w:line="15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On October 7, 2022 (the “</w:t>
      </w:r>
      <w:r>
        <w:rPr>
          <w:rFonts w:ascii="Times New Roman" w:cs="Times New Roman" w:eastAsia="Times New Roman" w:hAnsi="Times New Roman"/>
          <w:sz w:val="14"/>
          <w:szCs w:val="14"/>
          <w:b w:val="1"/>
          <w:bCs w:val="1"/>
          <w:color w:val="auto"/>
        </w:rPr>
        <w:t>Closing Date</w:t>
      </w:r>
      <w:r>
        <w:rPr>
          <w:rFonts w:ascii="Times New Roman" w:cs="Times New Roman" w:eastAsia="Times New Roman" w:hAnsi="Times New Roman"/>
          <w:sz w:val="14"/>
          <w:szCs w:val="14"/>
          <w:color w:val="auto"/>
        </w:rPr>
        <w:t>”), Chardan NexTech 2 Acquisition Corp., a Delaware company (“</w:t>
      </w:r>
      <w:r>
        <w:rPr>
          <w:rFonts w:ascii="Times New Roman" w:cs="Times New Roman" w:eastAsia="Times New Roman" w:hAnsi="Times New Roman"/>
          <w:sz w:val="14"/>
          <w:szCs w:val="14"/>
          <w:b w:val="1"/>
          <w:bCs w:val="1"/>
          <w:color w:val="auto"/>
        </w:rPr>
        <w:t>Chardan</w:t>
      </w:r>
      <w:r>
        <w:rPr>
          <w:rFonts w:ascii="Times New Roman" w:cs="Times New Roman" w:eastAsia="Times New Roman" w:hAnsi="Times New Roman"/>
          <w:sz w:val="14"/>
          <w:szCs w:val="14"/>
          <w:color w:val="auto"/>
        </w:rPr>
        <w:t>”), and Dragonfly Energy Corp, a Nevada corporation (together with its consolidated subsidiaries, “</w:t>
      </w:r>
      <w:r>
        <w:rPr>
          <w:rFonts w:ascii="Times New Roman" w:cs="Times New Roman" w:eastAsia="Times New Roman" w:hAnsi="Times New Roman"/>
          <w:sz w:val="14"/>
          <w:szCs w:val="14"/>
          <w:b w:val="1"/>
          <w:bCs w:val="1"/>
          <w:color w:val="auto"/>
        </w:rPr>
        <w:t>Legacy Dragonfly</w:t>
      </w:r>
      <w:r>
        <w:rPr>
          <w:rFonts w:ascii="Times New Roman" w:cs="Times New Roman" w:eastAsia="Times New Roman" w:hAnsi="Times New Roman"/>
          <w:sz w:val="14"/>
          <w:szCs w:val="14"/>
          <w:color w:val="auto"/>
        </w:rPr>
        <w:t>”), consummated the merger (the “</w:t>
      </w:r>
      <w:r>
        <w:rPr>
          <w:rFonts w:ascii="Times New Roman" w:cs="Times New Roman" w:eastAsia="Times New Roman" w:hAnsi="Times New Roman"/>
          <w:sz w:val="14"/>
          <w:szCs w:val="14"/>
          <w:b w:val="1"/>
          <w:bCs w:val="1"/>
          <w:color w:val="auto"/>
        </w:rPr>
        <w:t>Closing</w:t>
      </w:r>
      <w:r>
        <w:rPr>
          <w:rFonts w:ascii="Times New Roman" w:cs="Times New Roman" w:eastAsia="Times New Roman" w:hAnsi="Times New Roman"/>
          <w:sz w:val="14"/>
          <w:szCs w:val="14"/>
          <w:color w:val="auto"/>
        </w:rPr>
        <w:t>”) pursuant to the Agreement and Plan of Merger, dated as of May 15, 2022 (as amended, the “</w:t>
      </w:r>
      <w:r>
        <w:rPr>
          <w:rFonts w:ascii="Times New Roman" w:cs="Times New Roman" w:eastAsia="Times New Roman" w:hAnsi="Times New Roman"/>
          <w:sz w:val="14"/>
          <w:szCs w:val="14"/>
          <w:b w:val="1"/>
          <w:bCs w:val="1"/>
          <w:color w:val="auto"/>
        </w:rPr>
        <w:t>Business Combination Agreement</w:t>
      </w:r>
      <w:r>
        <w:rPr>
          <w:rFonts w:ascii="Times New Roman" w:cs="Times New Roman" w:eastAsia="Times New Roman" w:hAnsi="Times New Roman"/>
          <w:sz w:val="14"/>
          <w:szCs w:val="14"/>
          <w:color w:val="auto"/>
        </w:rPr>
        <w:t>”), by and among Chardan, Bronco Merger Sub, Inc., a Delaware corporation and wholly-owned subsidiary of Chardan (“</w:t>
      </w:r>
      <w:r>
        <w:rPr>
          <w:rFonts w:ascii="Times New Roman" w:cs="Times New Roman" w:eastAsia="Times New Roman" w:hAnsi="Times New Roman"/>
          <w:sz w:val="14"/>
          <w:szCs w:val="14"/>
          <w:b w:val="1"/>
          <w:bCs w:val="1"/>
          <w:color w:val="auto"/>
        </w:rPr>
        <w:t>Merger Sub</w:t>
      </w:r>
      <w:r>
        <w:rPr>
          <w:rFonts w:ascii="Times New Roman" w:cs="Times New Roman" w:eastAsia="Times New Roman" w:hAnsi="Times New Roman"/>
          <w:sz w:val="14"/>
          <w:szCs w:val="14"/>
          <w:color w:val="auto"/>
        </w:rPr>
        <w:t>”), and Legacy Dragonfly. Pursuant to the Business Combination Agreement, Merger Sub merged with and into Legacy Dragonfly (the “</w:t>
      </w:r>
      <w:r>
        <w:rPr>
          <w:rFonts w:ascii="Times New Roman" w:cs="Times New Roman" w:eastAsia="Times New Roman" w:hAnsi="Times New Roman"/>
          <w:sz w:val="14"/>
          <w:szCs w:val="14"/>
          <w:b w:val="1"/>
          <w:bCs w:val="1"/>
          <w:color w:val="auto"/>
        </w:rPr>
        <w:t>Merger</w:t>
      </w:r>
      <w:r>
        <w:rPr>
          <w:rFonts w:ascii="Times New Roman" w:cs="Times New Roman" w:eastAsia="Times New Roman" w:hAnsi="Times New Roman"/>
          <w:sz w:val="14"/>
          <w:szCs w:val="14"/>
          <w:color w:val="auto"/>
        </w:rPr>
        <w:t>” and, together with the other transactions contemplated by the Business Combination Agreement, the “</w:t>
      </w:r>
      <w:r>
        <w:rPr>
          <w:rFonts w:ascii="Times New Roman" w:cs="Times New Roman" w:eastAsia="Times New Roman" w:hAnsi="Times New Roman"/>
          <w:sz w:val="14"/>
          <w:szCs w:val="14"/>
          <w:b w:val="1"/>
          <w:bCs w:val="1"/>
          <w:color w:val="auto"/>
        </w:rPr>
        <w:t>Business Combination</w:t>
      </w:r>
      <w:r>
        <w:rPr>
          <w:rFonts w:ascii="Times New Roman" w:cs="Times New Roman" w:eastAsia="Times New Roman" w:hAnsi="Times New Roman"/>
          <w:sz w:val="14"/>
          <w:szCs w:val="14"/>
          <w:color w:val="auto"/>
        </w:rPr>
        <w:t>”), with Legacy Dragonfly continuing as the surviving corporation in the Merger and as our wholly owned subsidiary. In connection with the Business Combination, Chardan changed its name to Dragonfly Energy Holdings Corp.</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12700</wp:posOffset>
                </wp:positionV>
                <wp:extent cx="650938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pt" to="512.25pt,1pt" o:allowincell="f" strokecolor="#000000" strokeweight="1.26pt"/>
            </w:pict>
          </mc:Fallback>
        </mc:AlternateContent>
      </w:r>
    </w:p>
    <w:p>
      <w:pPr>
        <w:sectPr>
          <w:pgSz w:w="12240" w:h="15840" w:orient="portrait"/>
          <w:cols w:equalWidth="0" w:num="1">
            <w:col w:w="10240"/>
          </w:cols>
          <w:pgMar w:left="1000" w:top="1210" w:right="1000" w:bottom="1440" w:gutter="0" w:footer="0" w:header="0"/>
        </w:sectPr>
      </w:pPr>
    </w:p>
    <w:bookmarkStart w:id="19" w:name="page20"/>
    <w:bookmarkEnd w:id="19"/>
    <w:p>
      <w:pPr>
        <w:jc w:val="both"/>
        <w:spacing w:after="0" w:line="309" w:lineRule="auto"/>
        <w:rPr>
          <w:sz w:val="20"/>
          <w:szCs w:val="20"/>
          <w:color w:val="auto"/>
        </w:rPr>
      </w:pPr>
      <w:r>
        <w:rPr>
          <w:rFonts w:ascii="Times New Roman" w:cs="Times New Roman" w:eastAsia="Times New Roman" w:hAnsi="Times New Roman"/>
          <w:sz w:val="12"/>
          <w:szCs w:val="12"/>
          <w:color w:val="auto"/>
        </w:rPr>
        <w:t>Prior to the completion of the Business Combination, Chardan was a shell company. Chardan was incorporated in the state of Delaware on June 23, 2020. Chardan consummated its initial public offering at a price of $10 per unit on August 13, 2021 (the “</w:t>
      </w:r>
      <w:r>
        <w:rPr>
          <w:rFonts w:ascii="Times New Roman" w:cs="Times New Roman" w:eastAsia="Times New Roman" w:hAnsi="Times New Roman"/>
          <w:sz w:val="12"/>
          <w:szCs w:val="12"/>
          <w:b w:val="1"/>
          <w:bCs w:val="1"/>
          <w:color w:val="auto"/>
        </w:rPr>
        <w:t>Chardan IPO</w:t>
      </w:r>
      <w:r>
        <w:rPr>
          <w:rFonts w:ascii="Times New Roman" w:cs="Times New Roman" w:eastAsia="Times New Roman" w:hAnsi="Times New Roman"/>
          <w:sz w:val="12"/>
          <w:szCs w:val="12"/>
          <w:color w:val="auto"/>
        </w:rPr>
        <w:t>”). Legacy Dragonfly was incorporated as a limited liability company in the State of Nevada on October 15, 2012 and reorganized as a corporation under the laws of the State of Nevada on April 11, 2016. Following the Business Combination, our business is the business of Legacy Dragonfly.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Merger Consideration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the Closing, by virtue of the Merger and without any action on the part of Chardan, Merger Sub, Legacy Dragonfly or the holders of any of the following securities:</w:t>
      </w:r>
    </w:p>
    <w:p>
      <w:pPr>
        <w:spacing w:after="0" w:line="149" w:lineRule="exact"/>
        <w:rPr>
          <w:sz w:val="20"/>
          <w:szCs w:val="20"/>
          <w:color w:val="auto"/>
        </w:rPr>
      </w:pPr>
    </w:p>
    <w:p>
      <w:pPr>
        <w:jc w:val="both"/>
        <w:ind w:firstLine="488"/>
        <w:spacing w:after="0" w:line="244" w:lineRule="auto"/>
        <w:tabs>
          <w:tab w:leader="none" w:pos="69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outstanding share of Legacy Dragonfly’s common stock, par value $0.001 per share (“</w:t>
      </w:r>
      <w:r>
        <w:rPr>
          <w:rFonts w:ascii="Times New Roman" w:cs="Times New Roman" w:eastAsia="Times New Roman" w:hAnsi="Times New Roman"/>
          <w:sz w:val="14"/>
          <w:szCs w:val="14"/>
          <w:b w:val="1"/>
          <w:bCs w:val="1"/>
          <w:color w:val="auto"/>
        </w:rPr>
        <w:t>Legacy Dragonfly Common Stock</w:t>
      </w:r>
      <w:r>
        <w:rPr>
          <w:rFonts w:ascii="Times New Roman" w:cs="Times New Roman" w:eastAsia="Times New Roman" w:hAnsi="Times New Roman"/>
          <w:sz w:val="14"/>
          <w:szCs w:val="14"/>
          <w:color w:val="auto"/>
        </w:rPr>
        <w:t>”), converted into (i) a certain number of shares of our common stock, totaling 41,500,000 shares (including the conversion and assumption of the options to purchase shares of Legacy Dragonfly Common Stock described below), which is equal to (x) $415,000,000 divided by (y) $10.00 (the “</w:t>
      </w:r>
      <w:r>
        <w:rPr>
          <w:rFonts w:ascii="Times New Roman" w:cs="Times New Roman" w:eastAsia="Times New Roman" w:hAnsi="Times New Roman"/>
          <w:sz w:val="14"/>
          <w:szCs w:val="14"/>
          <w:b w:val="1"/>
          <w:bCs w:val="1"/>
          <w:color w:val="auto"/>
        </w:rPr>
        <w:t>Merger Consideration</w:t>
      </w:r>
      <w:r>
        <w:rPr>
          <w:rFonts w:ascii="Times New Roman" w:cs="Times New Roman" w:eastAsia="Times New Roman" w:hAnsi="Times New Roman"/>
          <w:sz w:val="14"/>
          <w:szCs w:val="14"/>
          <w:color w:val="auto"/>
        </w:rPr>
        <w:t>”) and (ii) the contingent right to receive Earnout Shares (as defined below) (which may be zero) following the Closing.</w:t>
      </w:r>
    </w:p>
    <w:p>
      <w:pPr>
        <w:spacing w:after="0" w:line="129" w:lineRule="exact"/>
        <w:rPr>
          <w:rFonts w:ascii="Times New Roman" w:cs="Times New Roman" w:eastAsia="Times New Roman" w:hAnsi="Times New Roman"/>
          <w:sz w:val="14"/>
          <w:szCs w:val="14"/>
          <w:color w:val="auto"/>
        </w:rPr>
      </w:pPr>
    </w:p>
    <w:p>
      <w:pPr>
        <w:jc w:val="both"/>
        <w:ind w:firstLine="488"/>
        <w:spacing w:after="0"/>
        <w:tabs>
          <w:tab w:leader="none" w:pos="69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option to purchase shares of Legacy Dragonfly Common Stock, was assumed and converted into options to acquire shares of our common stock. The portion of the Merger Consideration reflecting the conversion of the Legacy Dragonfly options was calculated assuming that all of our options are net-settled. With respect to Company options received in respect of Legacy Dragonfly options that are outstanding immediately prior to the Closing and cash exercised after the Closing, up to 627,498 additional shares of our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Earnout Merger Consideration</w:t>
      </w:r>
    </w:p>
    <w:p>
      <w:pPr>
        <w:spacing w:after="0" w:line="14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addition to the Merger Consideration set forth above, additional contingent shares (“</w:t>
      </w:r>
      <w:r>
        <w:rPr>
          <w:rFonts w:ascii="Times New Roman" w:cs="Times New Roman" w:eastAsia="Times New Roman" w:hAnsi="Times New Roman"/>
          <w:sz w:val="14"/>
          <w:szCs w:val="14"/>
          <w:b w:val="1"/>
          <w:bCs w:val="1"/>
          <w:color w:val="auto"/>
        </w:rPr>
        <w:t>Earnout Shares</w:t>
      </w:r>
      <w:r>
        <w:rPr>
          <w:rFonts w:ascii="Times New Roman" w:cs="Times New Roman" w:eastAsia="Times New Roman" w:hAnsi="Times New Roman"/>
          <w:sz w:val="14"/>
          <w:szCs w:val="14"/>
          <w:color w:val="auto"/>
        </w:rPr>
        <w:t>”) may be payable to each holder of shares of Legacy Dragonfly Common Stock in the Merger, subject to achieving specified milestones, up to an aggregate of 40,000,000 additional shares of our common stock in three tranches.</w:t>
      </w:r>
    </w:p>
    <w:p>
      <w:pPr>
        <w:spacing w:after="0" w:line="1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first tranche of 15,000,000 shares is issuable if our 2023 total audited revenue is equal to or greater than $250 million and our 2023 audited operating income is equal to or greater than $35 million. The second tranche of 12,500,000 shares is issuable upon achieving a volume-weighted average trading price threshold of our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PIPE Investment</w:t>
      </w:r>
    </w:p>
    <w:p>
      <w:pPr>
        <w:spacing w:after="0" w:line="1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Pursuant to the subscription agreement, dated as of May 15, 2022 (the “</w:t>
      </w:r>
      <w:r>
        <w:rPr>
          <w:rFonts w:ascii="Times New Roman" w:cs="Times New Roman" w:eastAsia="Times New Roman" w:hAnsi="Times New Roman"/>
          <w:sz w:val="14"/>
          <w:szCs w:val="14"/>
          <w:b w:val="1"/>
          <w:bCs w:val="1"/>
          <w:color w:val="auto"/>
        </w:rPr>
        <w:t>Subscription Agreement</w:t>
      </w:r>
      <w:r>
        <w:rPr>
          <w:rFonts w:ascii="Times New Roman" w:cs="Times New Roman" w:eastAsia="Times New Roman" w:hAnsi="Times New Roman"/>
          <w:sz w:val="14"/>
          <w:szCs w:val="14"/>
          <w:color w:val="auto"/>
        </w:rPr>
        <w:t xml:space="preserve"> ”), by and between Chardan and Chardan NexTech Investments 2 LLC (or an affiliate thereof if assigned pursuant to the Subscription Agreement, the “</w:t>
      </w:r>
      <w:r>
        <w:rPr>
          <w:rFonts w:ascii="Times New Roman" w:cs="Times New Roman" w:eastAsia="Times New Roman" w:hAnsi="Times New Roman"/>
          <w:sz w:val="14"/>
          <w:szCs w:val="14"/>
          <w:b w:val="1"/>
          <w:bCs w:val="1"/>
          <w:color w:val="auto"/>
        </w:rPr>
        <w:t>Sponsor</w:t>
      </w:r>
      <w:r>
        <w:rPr>
          <w:rFonts w:ascii="Times New Roman" w:cs="Times New Roman" w:eastAsia="Times New Roman" w:hAnsi="Times New Roman"/>
          <w:sz w:val="14"/>
          <w:szCs w:val="14"/>
          <w:color w:val="auto"/>
        </w:rPr>
        <w:t>”), the Sponsor agreed to purchase, and Chardan agreed to sell to the Sponsor, an aggregate of 500,000 shares of Chardan common stock (“</w:t>
      </w:r>
      <w:r>
        <w:rPr>
          <w:rFonts w:ascii="Times New Roman" w:cs="Times New Roman" w:eastAsia="Times New Roman" w:hAnsi="Times New Roman"/>
          <w:sz w:val="14"/>
          <w:szCs w:val="14"/>
          <w:b w:val="1"/>
          <w:bCs w:val="1"/>
          <w:color w:val="auto"/>
        </w:rPr>
        <w:t>Chardan Common Stock</w:t>
      </w:r>
      <w:r>
        <w:rPr>
          <w:rFonts w:ascii="Times New Roman" w:cs="Times New Roman" w:eastAsia="Times New Roman" w:hAnsi="Times New Roman"/>
          <w:sz w:val="14"/>
          <w:szCs w:val="14"/>
          <w:color w:val="auto"/>
        </w:rPr>
        <w:t xml:space="preserve"> ”) for gross proceeds to Chardan of $5 million in a private placement. On September 28, 2022, the Sponsor and Chardan Capital Markets LLC, a New York limited liability company (“</w:t>
      </w:r>
      <w:r>
        <w:rPr>
          <w:rFonts w:ascii="Times New Roman" w:cs="Times New Roman" w:eastAsia="Times New Roman" w:hAnsi="Times New Roman"/>
          <w:sz w:val="14"/>
          <w:szCs w:val="14"/>
          <w:b w:val="1"/>
          <w:bCs w:val="1"/>
          <w:color w:val="auto"/>
        </w:rPr>
        <w:t>CCM LLC</w:t>
      </w:r>
      <w:r>
        <w:rPr>
          <w:rFonts w:ascii="Times New Roman" w:cs="Times New Roman" w:eastAsia="Times New Roman" w:hAnsi="Times New Roman"/>
          <w:sz w:val="14"/>
          <w:szCs w:val="14"/>
          <w:color w:val="auto"/>
        </w:rPr>
        <w:t>”), entered into an assignment, assumption and joinder agreement, pursuant to which the Sponsor assigned all of the Sponsor’s rights, benefits and obligations under the Subscription Agreement to CCM LLC.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17145</wp:posOffset>
                </wp:positionV>
                <wp:extent cx="650938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5pt" to="512.25pt,1.35pt" o:allowincell="f" strokecolor="#000000" strokeweight="1.26pt"/>
            </w:pict>
          </mc:Fallback>
        </mc:AlternateContent>
      </w:r>
    </w:p>
    <w:p>
      <w:pPr>
        <w:sectPr>
          <w:pgSz w:w="12240" w:h="15840" w:orient="portrait"/>
          <w:cols w:equalWidth="0" w:num="1">
            <w:col w:w="10240"/>
          </w:cols>
          <w:pgMar w:left="1000" w:top="1210" w:right="1000" w:bottom="1440" w:gutter="0" w:footer="0" w:header="0"/>
        </w:sectPr>
      </w:pPr>
    </w:p>
    <w:bookmarkStart w:id="20" w:name="page21"/>
    <w:bookmarkEnd w:id="20"/>
    <w:p>
      <w:pPr>
        <w:jc w:val="both"/>
        <w:ind w:left="2"/>
        <w:spacing w:after="0" w:line="239" w:lineRule="auto"/>
        <w:rPr>
          <w:sz w:val="20"/>
          <w:szCs w:val="20"/>
          <w:color w:val="auto"/>
        </w:rPr>
      </w:pPr>
      <w:r>
        <w:rPr>
          <w:rFonts w:ascii="Times New Roman" w:cs="Times New Roman" w:eastAsia="Times New Roman" w:hAnsi="Times New Roman"/>
          <w:sz w:val="14"/>
          <w:szCs w:val="14"/>
          <w:color w:val="auto"/>
        </w:rPr>
        <w:t>Under the Subscription Agreement, the number of shares of Chardan Common Stock that CCM LLC was obligated to purchase was to be reduced by the number of shares of Chardan Common Stock that CCM LLC purchased in the open market, provided that such purchased shares were not redeemed, and the aggregate price to be paid under the Subscription Agreement was to be reduced by the amount of proceeds received by us because such shares are not redeemed (the “</w:t>
      </w:r>
      <w:r>
        <w:rPr>
          <w:rFonts w:ascii="Times New Roman" w:cs="Times New Roman" w:eastAsia="Times New Roman" w:hAnsi="Times New Roman"/>
          <w:sz w:val="14"/>
          <w:szCs w:val="14"/>
          <w:b w:val="1"/>
          <w:bCs w:val="1"/>
          <w:color w:val="auto"/>
        </w:rPr>
        <w:t>Offset</w:t>
      </w:r>
      <w:r>
        <w:rPr>
          <w:rFonts w:ascii="Times New Roman" w:cs="Times New Roman" w:eastAsia="Times New Roman" w:hAnsi="Times New Roman"/>
          <w:sz w:val="14"/>
          <w:szCs w:val="14"/>
          <w:color w:val="auto"/>
        </w:rPr>
        <w:t>”). During the week of September 26, 2022 CCM LLC acquired in the open market in total 485,000 shares of our common stock at purchase prices per share ranging from $10.33 to $10.38 (such shares, the “</w:t>
      </w:r>
      <w:r>
        <w:rPr>
          <w:rFonts w:ascii="Times New Roman" w:cs="Times New Roman" w:eastAsia="Times New Roman" w:hAnsi="Times New Roman"/>
          <w:sz w:val="14"/>
          <w:szCs w:val="14"/>
          <w:b w:val="1"/>
          <w:bCs w:val="1"/>
          <w:color w:val="auto"/>
        </w:rPr>
        <w:t>Purchased Shares</w:t>
      </w:r>
      <w:r>
        <w:rPr>
          <w:rFonts w:ascii="Times New Roman" w:cs="Times New Roman" w:eastAsia="Times New Roman" w:hAnsi="Times New Roman"/>
          <w:sz w:val="14"/>
          <w:szCs w:val="14"/>
          <w:color w:val="auto"/>
        </w:rPr>
        <w:t>”). The Purchased Shares were not redeemed, resulting in (i) our receipt of $5,016,547 from the trust account that held the proceeds from the Chardan IPO (based on a per share redemption price of $10.34) and (ii) a reduction in CCM LLC’s purchase commitment under the Subscription Agreement to zero in accordance with the Offset.</w:t>
      </w:r>
    </w:p>
    <w:p>
      <w:pPr>
        <w:spacing w:after="0" w:line="13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i w:val="1"/>
          <w:iCs w:val="1"/>
          <w:color w:val="auto"/>
        </w:rPr>
        <w:t>Debt Financing</w:t>
      </w:r>
    </w:p>
    <w:p>
      <w:pPr>
        <w:spacing w:after="0" w:line="146" w:lineRule="exact"/>
        <w:rPr>
          <w:sz w:val="20"/>
          <w:szCs w:val="20"/>
          <w:color w:val="auto"/>
        </w:rPr>
      </w:pPr>
    </w:p>
    <w:p>
      <w:pPr>
        <w:jc w:val="both"/>
        <w:ind w:left="2"/>
        <w:spacing w:after="0" w:line="238" w:lineRule="auto"/>
        <w:rPr>
          <w:sz w:val="20"/>
          <w:szCs w:val="20"/>
          <w:color w:val="auto"/>
        </w:rPr>
      </w:pPr>
      <w:r>
        <w:rPr>
          <w:rFonts w:ascii="Times New Roman" w:cs="Times New Roman" w:eastAsia="Times New Roman" w:hAnsi="Times New Roman"/>
          <w:sz w:val="14"/>
          <w:szCs w:val="14"/>
          <w:color w:val="auto"/>
        </w:rPr>
        <w:t>Consistent with the commitment letter (the “</w:t>
      </w:r>
      <w:r>
        <w:rPr>
          <w:rFonts w:ascii="Times New Roman" w:cs="Times New Roman" w:eastAsia="Times New Roman" w:hAnsi="Times New Roman"/>
          <w:sz w:val="14"/>
          <w:szCs w:val="14"/>
          <w:b w:val="1"/>
          <w:bCs w:val="1"/>
          <w:color w:val="auto"/>
        </w:rPr>
        <w:t>Debt Commitment Letter</w:t>
      </w:r>
      <w:r>
        <w:rPr>
          <w:rFonts w:ascii="Times New Roman" w:cs="Times New Roman" w:eastAsia="Times New Roman" w:hAnsi="Times New Roman"/>
          <w:sz w:val="14"/>
          <w:szCs w:val="14"/>
          <w:color w:val="auto"/>
        </w:rPr>
        <w:t xml:space="preserve">”) dated May 15, 2022 by and between Chardan and Legacy Dragonfly, CCM Investments 5 LLC, an affiliate of CCM LLC (“ </w:t>
      </w:r>
      <w:r>
        <w:rPr>
          <w:rFonts w:ascii="Times New Roman" w:cs="Times New Roman" w:eastAsia="Times New Roman" w:hAnsi="Times New Roman"/>
          <w:sz w:val="14"/>
          <w:szCs w:val="14"/>
          <w:b w:val="1"/>
          <w:bCs w:val="1"/>
          <w:color w:val="auto"/>
        </w:rPr>
        <w:t>CCM 5</w:t>
      </w:r>
      <w:r>
        <w:rPr>
          <w:rFonts w:ascii="Times New Roman" w:cs="Times New Roman" w:eastAsia="Times New Roman" w:hAnsi="Times New Roman"/>
          <w:sz w:val="14"/>
          <w:szCs w:val="14"/>
          <w:color w:val="auto"/>
        </w:rPr>
        <w:t>”, and in connection with the Term Loan, the “</w:t>
      </w:r>
      <w:r>
        <w:rPr>
          <w:rFonts w:ascii="Times New Roman" w:cs="Times New Roman" w:eastAsia="Times New Roman" w:hAnsi="Times New Roman"/>
          <w:sz w:val="14"/>
          <w:szCs w:val="14"/>
          <w:b w:val="1"/>
          <w:bCs w:val="1"/>
          <w:color w:val="auto"/>
        </w:rPr>
        <w:t>Chardan Lender</w:t>
      </w:r>
      <w:r>
        <w:rPr>
          <w:rFonts w:ascii="Times New Roman" w:cs="Times New Roman" w:eastAsia="Times New Roman" w:hAnsi="Times New Roman"/>
          <w:sz w:val="14"/>
          <w:szCs w:val="14"/>
          <w:color w:val="auto"/>
        </w:rPr>
        <w:t>”), and EICF Agent LLC (“</w:t>
      </w:r>
      <w:r>
        <w:rPr>
          <w:rFonts w:ascii="Times New Roman" w:cs="Times New Roman" w:eastAsia="Times New Roman" w:hAnsi="Times New Roman"/>
          <w:sz w:val="14"/>
          <w:szCs w:val="14"/>
          <w:b w:val="1"/>
          <w:bCs w:val="1"/>
          <w:color w:val="auto"/>
        </w:rPr>
        <w:t>EIP</w:t>
      </w:r>
      <w:r>
        <w:rPr>
          <w:rFonts w:ascii="Times New Roman" w:cs="Times New Roman" w:eastAsia="Times New Roman" w:hAnsi="Times New Roman"/>
          <w:sz w:val="14"/>
          <w:szCs w:val="14"/>
          <w:color w:val="auto"/>
        </w:rPr>
        <w:t>” and, collectively with the Chardan Lender, the “Initial Term Loan Lenders”), in connection with the Closing, Chardan, Legacy Dragonfly and the Initial Term Loan Lenders entered into the Term Loan, Guarantee and Security Agreement (the “</w:t>
      </w: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Loan Agreement</w:t>
      </w:r>
      <w:r>
        <w:rPr>
          <w:rFonts w:ascii="Times New Roman" w:cs="Times New Roman" w:eastAsia="Times New Roman" w:hAnsi="Times New Roman"/>
          <w:sz w:val="14"/>
          <w:szCs w:val="14"/>
          <w:color w:val="auto"/>
        </w:rPr>
        <w:t>”) setting forth the terms of a senior secured term loan facility in an aggregate principal amount of $75 million (the “</w:t>
      </w:r>
      <w:r>
        <w:rPr>
          <w:rFonts w:ascii="Times New Roman" w:cs="Times New Roman" w:eastAsia="Times New Roman" w:hAnsi="Times New Roman"/>
          <w:sz w:val="14"/>
          <w:szCs w:val="14"/>
          <w:b w:val="1"/>
          <w:bCs w:val="1"/>
          <w:color w:val="auto"/>
        </w:rPr>
        <w:t>Term Loan</w:t>
      </w:r>
      <w:r>
        <w:rPr>
          <w:rFonts w:ascii="Times New Roman" w:cs="Times New Roman" w:eastAsia="Times New Roman" w:hAnsi="Times New Roman"/>
          <w:sz w:val="14"/>
          <w:szCs w:val="14"/>
          <w:color w:val="auto"/>
        </w:rPr>
        <w:t>”). The Chardan Lender backstopped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commitment under the Debt Commitment Letter by entering into a backstop commitment letter, dated as of May 20, 2022 (the “</w:t>
      </w:r>
      <w:r>
        <w:rPr>
          <w:rFonts w:ascii="Times New Roman" w:cs="Times New Roman" w:eastAsia="Times New Roman" w:hAnsi="Times New Roman"/>
          <w:sz w:val="14"/>
          <w:szCs w:val="14"/>
          <w:b w:val="1"/>
          <w:bCs w:val="1"/>
          <w:color w:val="auto"/>
        </w:rPr>
        <w:t>Backstop Commitment Letter</w:t>
      </w:r>
      <w:r>
        <w:rPr>
          <w:rFonts w:ascii="Times New Roman" w:cs="Times New Roman" w:eastAsia="Times New Roman" w:hAnsi="Times New Roman"/>
          <w:sz w:val="14"/>
          <w:szCs w:val="14"/>
          <w:color w:val="auto"/>
        </w:rPr>
        <w:t>”), with a certain third-party financing source (the “</w:t>
      </w:r>
      <w:r>
        <w:rPr>
          <w:rFonts w:ascii="Times New Roman" w:cs="Times New Roman" w:eastAsia="Times New Roman" w:hAnsi="Times New Roman"/>
          <w:sz w:val="14"/>
          <w:szCs w:val="14"/>
          <w:b w:val="1"/>
          <w:bCs w:val="1"/>
          <w:color w:val="auto"/>
        </w:rPr>
        <w:t>Backstop Lender</w:t>
      </w:r>
      <w:r>
        <w:rPr>
          <w:rFonts w:ascii="Times New Roman" w:cs="Times New Roman" w:eastAsia="Times New Roman" w:hAnsi="Times New Roman"/>
          <w:sz w:val="14"/>
          <w:szCs w:val="14"/>
          <w:color w:val="auto"/>
        </w:rPr>
        <w:t>” and collectively with EIP, the “</w:t>
      </w:r>
      <w:r>
        <w:rPr>
          <w:rFonts w:ascii="Times New Roman" w:cs="Times New Roman" w:eastAsia="Times New Roman" w:hAnsi="Times New Roman"/>
          <w:sz w:val="14"/>
          <w:szCs w:val="14"/>
          <w:b w:val="1"/>
          <w:bCs w:val="1"/>
          <w:color w:val="auto"/>
        </w:rPr>
        <w:t>Term Loan Lenders</w:t>
      </w:r>
      <w:r>
        <w:rPr>
          <w:rFonts w:ascii="Times New Roman" w:cs="Times New Roman" w:eastAsia="Times New Roman" w:hAnsi="Times New Roman"/>
          <w:sz w:val="14"/>
          <w:szCs w:val="14"/>
          <w:color w:val="auto"/>
        </w:rPr>
        <w:t>”), pursuant to which the Backstop Lender committed to purchase from the Chardan Lender the aggregate amount of the Term Loan held by the Chardan Lender (the “</w:t>
      </w:r>
      <w:r>
        <w:rPr>
          <w:rFonts w:ascii="Times New Roman" w:cs="Times New Roman" w:eastAsia="Times New Roman" w:hAnsi="Times New Roman"/>
          <w:sz w:val="14"/>
          <w:szCs w:val="14"/>
          <w:b w:val="1"/>
          <w:bCs w:val="1"/>
          <w:color w:val="auto"/>
        </w:rPr>
        <w:t>Backstopped Loans</w:t>
      </w:r>
      <w:r>
        <w:rPr>
          <w:rFonts w:ascii="Times New Roman" w:cs="Times New Roman" w:eastAsia="Times New Roman" w:hAnsi="Times New Roman"/>
          <w:sz w:val="14"/>
          <w:szCs w:val="14"/>
          <w:color w:val="auto"/>
        </w:rPr>
        <w:t>”) immediately following the issuance of the Term Loan on the Closing Date. Pursuant to an assignment agreement, the Backstopped Loans were assigned by CCM 5 to the Backstop Lender on the Closing Date.</w:t>
      </w:r>
    </w:p>
    <w:p>
      <w:pPr>
        <w:spacing w:after="0" w:line="131" w:lineRule="exact"/>
        <w:rPr>
          <w:sz w:val="20"/>
          <w:szCs w:val="20"/>
          <w:color w:val="auto"/>
        </w:rPr>
      </w:pPr>
    </w:p>
    <w:p>
      <w:pPr>
        <w:jc w:val="both"/>
        <w:ind w:left="2"/>
        <w:spacing w:after="0" w:line="289" w:lineRule="auto"/>
        <w:rPr>
          <w:sz w:val="20"/>
          <w:szCs w:val="20"/>
          <w:color w:val="auto"/>
        </w:rPr>
      </w:pPr>
      <w:r>
        <w:rPr>
          <w:rFonts w:ascii="Times New Roman" w:cs="Times New Roman" w:eastAsia="Times New Roman" w:hAnsi="Times New Roman"/>
          <w:sz w:val="12"/>
          <w:szCs w:val="12"/>
          <w:color w:val="auto"/>
        </w:rPr>
        <w:t>Pursuant to the terms of the Term Loan Agreement, the Term Loan was advanced in one tranche on the Closing Date. The proceeds of the Term Loan were used (i) to refinance on the Closing Date prior indebtedness, (ii) to support the Business Combination under the Business Combination Agreement, (iii) for working capital purposes and other corporate purposes, and</w:t>
      </w:r>
    </w:p>
    <w:p>
      <w:pPr>
        <w:spacing w:after="0" w:line="1" w:lineRule="exact"/>
        <w:rPr>
          <w:sz w:val="20"/>
          <w:szCs w:val="20"/>
          <w:color w:val="auto"/>
        </w:rPr>
      </w:pPr>
    </w:p>
    <w:p>
      <w:pPr>
        <w:jc w:val="both"/>
        <w:ind w:left="2" w:hanging="2"/>
        <w:spacing w:after="0" w:line="234" w:lineRule="auto"/>
        <w:tabs>
          <w:tab w:leader="none" w:pos="258"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w:t>
      </w:r>
      <w:r>
        <w:rPr>
          <w:rFonts w:ascii="Times New Roman" w:cs="Times New Roman" w:eastAsia="Times New Roman" w:hAnsi="Times New Roman"/>
          <w:sz w:val="14"/>
          <w:szCs w:val="14"/>
          <w:b w:val="1"/>
          <w:bCs w:val="1"/>
          <w:color w:val="auto"/>
        </w:rPr>
        <w:t>Maturity Date</w:t>
      </w:r>
      <w:r>
        <w:rPr>
          <w:rFonts w:ascii="Times New Roman" w:cs="Times New Roman" w:eastAsia="Times New Roman" w:hAnsi="Times New Roman"/>
          <w:sz w:val="14"/>
          <w:szCs w:val="14"/>
          <w:color w:val="auto"/>
        </w:rPr>
        <w:t>”). The Term Loan accrues interest (i) until April 1, 2023, at a per annum rate equal to the adjusted Secured Overnight Financing Rate (“</w:t>
      </w:r>
      <w:r>
        <w:rPr>
          <w:rFonts w:ascii="Times New Roman" w:cs="Times New Roman" w:eastAsia="Times New Roman" w:hAnsi="Times New Roman"/>
          <w:sz w:val="14"/>
          <w:szCs w:val="14"/>
          <w:b w:val="1"/>
          <w:bCs w:val="1"/>
          <w:color w:val="auto"/>
        </w:rPr>
        <w:t>SOFR</w:t>
      </w:r>
      <w:r>
        <w:rPr>
          <w:rFonts w:ascii="Times New Roman" w:cs="Times New Roman" w:eastAsia="Times New Roman" w:hAnsi="Times New Roman"/>
          <w:sz w:val="14"/>
          <w:szCs w:val="14"/>
          <w:color w:val="auto"/>
        </w:rPr>
        <w:t>”)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32" w:lineRule="exact"/>
        <w:rPr>
          <w:sz w:val="20"/>
          <w:szCs w:val="20"/>
          <w:color w:val="auto"/>
        </w:rPr>
      </w:pPr>
    </w:p>
    <w:p>
      <w:pPr>
        <w:jc w:val="both"/>
        <w:ind w:left="2"/>
        <w:spacing w:after="0" w:line="239" w:lineRule="auto"/>
        <w:rPr>
          <w:sz w:val="20"/>
          <w:szCs w:val="20"/>
          <w:color w:val="auto"/>
        </w:rPr>
      </w:pPr>
      <w:r>
        <w:rPr>
          <w:rFonts w:ascii="Times New Roman" w:cs="Times New Roman" w:eastAsia="Times New Roman" w:hAnsi="Times New Roman"/>
          <w:sz w:val="14"/>
          <w:szCs w:val="14"/>
          <w:color w:val="auto"/>
        </w:rPr>
        <w:t>We may elect to prepay all or any portion of the amounts owed prior to the Maturity Date; provided that we provide notice to Alter Domus (US) LLC, as administrative agent for the lenders (the “</w:t>
      </w:r>
      <w:r>
        <w:rPr>
          <w:rFonts w:ascii="Times New Roman" w:cs="Times New Roman" w:eastAsia="Times New Roman" w:hAnsi="Times New Roman"/>
          <w:sz w:val="14"/>
          <w:szCs w:val="14"/>
          <w:b w:val="1"/>
          <w:bCs w:val="1"/>
          <w:color w:val="auto"/>
        </w:rPr>
        <w:t>Administrative Agent</w:t>
      </w:r>
      <w:r>
        <w:rPr>
          <w:rFonts w:ascii="Times New Roman" w:cs="Times New Roman" w:eastAsia="Times New Roman" w:hAnsi="Times New Roman"/>
          <w:sz w:val="14"/>
          <w:szCs w:val="14"/>
          <w:color w:val="auto"/>
        </w:rPr>
        <w: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 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spacing w:after="0" w:line="132" w:lineRule="exact"/>
        <w:rPr>
          <w:sz w:val="20"/>
          <w:szCs w:val="20"/>
          <w:color w:val="auto"/>
        </w:rPr>
      </w:pPr>
    </w:p>
    <w:p>
      <w:pPr>
        <w:jc w:val="both"/>
        <w:ind w:left="2"/>
        <w:spacing w:after="0"/>
        <w:rPr>
          <w:sz w:val="20"/>
          <w:szCs w:val="20"/>
          <w:color w:val="auto"/>
        </w:rPr>
      </w:pPr>
      <w:r>
        <w:rPr>
          <w:rFonts w:ascii="Times New Roman" w:cs="Times New Roman" w:eastAsia="Times New Roman" w:hAnsi="Times New Roman"/>
          <w:sz w:val="14"/>
          <w:szCs w:val="14"/>
          <w:color w:val="auto"/>
        </w:rPr>
        <w:t>In addition to the foregoing, Legacy Dragonfly is required to prepay the Term Loan with the net cash proceeds of certain asset sales and casualty events (subject to certain customary exceptions), with the net cash proceeds of the issuance of indebtedness that is not otherwise permitted to be incurred under the Term Loan Agreement, upon the receipt of net cash proceeds from an equity issuance in an amount equal to 25% of such net cash proceeds, and commencing with the fiscal year ending December 31, 2023, with the excess cash flow for each such fiscal year in an amount equal to either 25% or 50% of such excess cash flow depending on the senior leverage ratio of the consolidated company less the amount of any voluntary prepayments made during such fiscal year.</w:t>
      </w:r>
    </w:p>
    <w:p>
      <w:pPr>
        <w:spacing w:after="0" w:line="133" w:lineRule="exact"/>
        <w:rPr>
          <w:sz w:val="20"/>
          <w:szCs w:val="20"/>
          <w:color w:val="auto"/>
        </w:rPr>
      </w:pPr>
    </w:p>
    <w:p>
      <w:pPr>
        <w:jc w:val="both"/>
        <w:ind w:left="2"/>
        <w:spacing w:after="0" w:line="296" w:lineRule="auto"/>
        <w:rPr>
          <w:sz w:val="20"/>
          <w:szCs w:val="20"/>
          <w:color w:val="auto"/>
        </w:rPr>
      </w:pPr>
      <w:r>
        <w:rPr>
          <w:rFonts w:ascii="Times New Roman" w:cs="Times New Roman" w:eastAsia="Times New Roman" w:hAnsi="Times New Roman"/>
          <w:sz w:val="12"/>
          <w:szCs w:val="12"/>
          <w:color w:val="auto"/>
        </w:rPr>
        <w:t>Pursuant to the Term Loan Agreement, the obligations of Legacy Dragonfly are guaranteed by us and will be guaranteed by any of Legacy Dragonfly’s subsidiaries that are party thereto as guarantors. Pursuant to the Term Loan Agreement, the Administrative Agent was granted a security interest in substantially all of the personal property, rights and assets of us and Legacy Dragonfly to secure the payment of all amounts owed to lenders under the Term Loan Agreement. In addition, we entered into a Pledge Agreement (the “</w:t>
      </w:r>
      <w:r>
        <w:rPr>
          <w:rFonts w:ascii="Times New Roman" w:cs="Times New Roman" w:eastAsia="Times New Roman" w:hAnsi="Times New Roman"/>
          <w:sz w:val="12"/>
          <w:szCs w:val="12"/>
          <w:b w:val="1"/>
          <w:bCs w:val="1"/>
          <w:color w:val="auto"/>
        </w:rPr>
        <w:t>Pledge Agreement</w:t>
      </w:r>
      <w:r>
        <w:rPr>
          <w:rFonts w:ascii="Times New Roman" w:cs="Times New Roman" w:eastAsia="Times New Roman" w:hAnsi="Times New Roman"/>
          <w:sz w:val="12"/>
          <w:szCs w:val="12"/>
          <w:color w:val="auto"/>
        </w:rPr>
        <w:t>”) pursuant to which we pledged to the Administrative Agent our equity interests in Legacy Dragonfly as further collateral security for the obligations under the Term Loan Agreement.</w:t>
      </w:r>
    </w:p>
    <w:p>
      <w:pPr>
        <w:spacing w:after="0" w:line="10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10795</wp:posOffset>
                </wp:positionV>
                <wp:extent cx="650875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8750"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0.85pt" to="512.3pt,0.85pt" o:allowincell="f" strokecolor="#000000" strokeweight="1.2599pt"/>
            </w:pict>
          </mc:Fallback>
        </mc:AlternateContent>
      </w:r>
    </w:p>
    <w:p>
      <w:pPr>
        <w:sectPr>
          <w:pgSz w:w="12240" w:h="15840" w:orient="portrait"/>
          <w:cols w:equalWidth="0" w:num="1">
            <w:col w:w="10242"/>
          </w:cols>
          <w:pgMar w:left="998" w:top="1210" w:right="1000" w:bottom="1440" w:gutter="0" w:footer="0" w:header="0"/>
        </w:sectPr>
      </w:pPr>
    </w:p>
    <w:bookmarkStart w:id="21" w:name="page22"/>
    <w:bookmarkEnd w:id="21"/>
    <w:p>
      <w:pPr>
        <w:jc w:val="both"/>
        <w:spacing w:after="0" w:line="276" w:lineRule="auto"/>
        <w:rPr>
          <w:sz w:val="20"/>
          <w:szCs w:val="20"/>
          <w:color w:val="auto"/>
        </w:rPr>
      </w:pPr>
      <w:r>
        <w:rPr>
          <w:rFonts w:ascii="Times New Roman" w:cs="Times New Roman" w:eastAsia="Times New Roman" w:hAnsi="Times New Roman"/>
          <w:sz w:val="12"/>
          <w:szCs w:val="12"/>
          <w:color w:val="auto"/>
        </w:rPr>
        <w:t>The Term Loan Agreement contains affirmative and restrictive covenants and representations and warranties. We and our subsidiaries are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we, Legacy Dragonfly and each of our subsidiaries that are guarantors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also contains other customary provisions, such as confidentiality obligations and indemnification rights for the benefit of the administrative agent and lenders.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Chardan and its subsidiaries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 Agreements</w:t>
      </w:r>
    </w:p>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 connection with the entry into the Term Loan Agreement, and as a required term and condition thereof, we issued (i) penny warrants to the Term Loan Lenders under the Term Loan exercisable to purchase 2,593,056 shares at an exercise price of $0.01 per share, which was equal to approximately 5.6% of common stock calculated on an agreed fully diluted outstanding basis on the issuance date (the “</w:t>
      </w:r>
      <w:r>
        <w:rPr>
          <w:rFonts w:ascii="Times New Roman" w:cs="Times New Roman" w:eastAsia="Times New Roman" w:hAnsi="Times New Roman"/>
          <w:sz w:val="14"/>
          <w:szCs w:val="14"/>
          <w:b w:val="1"/>
          <w:bCs w:val="1"/>
          <w:color w:val="auto"/>
        </w:rPr>
        <w:t>Penny Warrants</w:t>
      </w:r>
      <w:r>
        <w:rPr>
          <w:rFonts w:ascii="Times New Roman" w:cs="Times New Roman" w:eastAsia="Times New Roman" w:hAnsi="Times New Roman"/>
          <w:sz w:val="14"/>
          <w:szCs w:val="14"/>
          <w:color w:val="auto"/>
        </w:rPr>
        <w:t xml:space="preserve">”) and (ii) warrants to the Term Loan Lenders under the Term Loan exercisable to purchase 1,600,000 shares of our common stock at an exercise price of $10.00 per share (the </w:t>
      </w:r>
      <w:r>
        <w:rPr>
          <w:rFonts w:ascii="Times New Roman" w:cs="Times New Roman" w:eastAsia="Times New Roman" w:hAnsi="Times New Roman"/>
          <w:sz w:val="14"/>
          <w:szCs w:val="14"/>
          <w:b w:val="1"/>
          <w:bCs w:val="1"/>
          <w:color w:val="auto"/>
        </w:rPr>
        <w:t>“$10 Warrants</w:t>
      </w:r>
      <w:r>
        <w:rPr>
          <w:rFonts w:ascii="Times New Roman" w:cs="Times New Roman" w:eastAsia="Times New Roman" w:hAnsi="Times New Roman"/>
          <w:sz w:val="14"/>
          <w:szCs w:val="14"/>
          <w:color w:val="auto"/>
        </w:rPr>
        <w:t>” and, together with the Penny Warrants, the “</w:t>
      </w: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Penny Warrants have an exercise period of 10 years from the date of issuance. As of March 15, 2023, 1,248,294 shares of common stock have been issued upon the exercise of Penny Warrants.</w:t>
      </w:r>
    </w:p>
    <w:p>
      <w:pPr>
        <w:spacing w:after="0" w:line="1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$10 Warrants had an exercise period of five years from the date of issuance and had customary cashless exercise provisions. As of December 31, 2022, the $10 Warrants have been exercised in full and are no longer outstanding.</w:t>
      </w:r>
    </w:p>
    <w:p>
      <w:pPr>
        <w:spacing w:after="0" w:line="1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Penny Warrants have, and the $10 Warrants had, specified anti-dilution protection against subsequent equity sales or distributions,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ChEF Equity Facility (as defined below) (or replacement thereof) sold at a per share price above $5.00.</w:t>
      </w:r>
    </w:p>
    <w:p>
      <w:pPr>
        <w:spacing w:after="0" w:line="1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shares issued or issuable upon exercise of the Warrants have customary registration rights, which are contained in the respective forms of the Warrants, requiring us to file and keep effective a resale registration statement registering the resale of the shares of common stock underlying the Warrants.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14605</wp:posOffset>
                </wp:positionV>
                <wp:extent cx="650938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15pt" to="512.25pt,1.15pt" o:allowincell="f" strokecolor="#000000" strokeweight="1.2599pt"/>
            </w:pict>
          </mc:Fallback>
        </mc:AlternateContent>
      </w:r>
    </w:p>
    <w:p>
      <w:pPr>
        <w:sectPr>
          <w:pgSz w:w="12240" w:h="15840" w:orient="portrait"/>
          <w:cols w:equalWidth="0" w:num="1">
            <w:col w:w="10240"/>
          </w:cols>
          <w:pgMar w:left="1000" w:top="1210" w:right="100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color w:val="auto"/>
        </w:rPr>
        <w:t>ChEF Equity Facility</w:t>
      </w:r>
    </w:p>
    <w:p>
      <w:pPr>
        <w:spacing w:after="0" w:line="1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Consistent with the equity facility letter agreement dated May 15, 2022 between Legacy Dragonfly and CCM 5, we entered into a purchase agreement (the “Purchase Agreement”) and a Registration Rights Agreement (the “</w:t>
      </w:r>
      <w:r>
        <w:rPr>
          <w:rFonts w:ascii="Times New Roman" w:cs="Times New Roman" w:eastAsia="Times New Roman" w:hAnsi="Times New Roman"/>
          <w:sz w:val="14"/>
          <w:szCs w:val="14"/>
          <w:b w:val="1"/>
          <w:bCs w:val="1"/>
          <w:color w:val="auto"/>
        </w:rPr>
        <w:t>ChEF RRA</w:t>
      </w:r>
      <w:r>
        <w:rPr>
          <w:rFonts w:ascii="Times New Roman" w:cs="Times New Roman" w:eastAsia="Times New Roman" w:hAnsi="Times New Roman"/>
          <w:sz w:val="14"/>
          <w:szCs w:val="14"/>
          <w:color w:val="auto"/>
        </w:rPr>
        <w:t>”) with CCM LLC in connection with the Closing. Pursuant to and on the terms of the Purchase Agreement, we have the right to sell and direct CCM to purchase an amount of shares of our common stock, up to a maximum aggregate purchase price of $150 million, from time to time, over the term of the equity facility (the “</w:t>
      </w:r>
      <w:r>
        <w:rPr>
          <w:rFonts w:ascii="Times New Roman" w:cs="Times New Roman" w:eastAsia="Times New Roman" w:hAnsi="Times New Roman"/>
          <w:sz w:val="14"/>
          <w:szCs w:val="14"/>
          <w:b w:val="1"/>
          <w:bCs w:val="1"/>
          <w:color w:val="auto"/>
        </w:rPr>
        <w:t>ChEF Equity Facility</w:t>
      </w:r>
      <w:r>
        <w:rPr>
          <w:rFonts w:ascii="Times New Roman" w:cs="Times New Roman" w:eastAsia="Times New Roman" w:hAnsi="Times New Roman"/>
          <w:sz w:val="14"/>
          <w:szCs w:val="14"/>
          <w:color w:val="auto"/>
        </w:rPr>
        <w:t>”). In addition, we appointed LifeSci Capital, LLC as a “qualified independent underwriter” with respect to the transactions contemplated by the Purchase Agreement.</w:t>
      </w:r>
    </w:p>
    <w:p>
      <w:pPr>
        <w:spacing w:after="0" w:line="1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Under the terms of the Purchase Agreement, CCM LLC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13d- 3 promulgated thereunder) by CCM LLC, together with its affiliates, of more than 9.9%, (ii) which would cause the aggregate purchase price on the applicable VWAP Purchase Date (as defined in the Purchase Agreement) for such purchases to exceed $3 million and (iii) equal to 20% of the total number of shares of common stock that would count towards VWAP on the applicable Purchase Date of such purchase. As of April 17, 2023, 98,500 shares have been issued pursuant to the Purchase Agreement with CCM LLC for aggregate net proceeds to us of $670,593.</w:t>
      </w:r>
    </w:p>
    <w:p>
      <w:pPr>
        <w:spacing w:after="0" w:line="1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net proceeds from any sales under the Purchase Agreement will depend on the frequency with, and prices at, which shares of common stock are sold to CCM LLC. To the extent we sell shares of our common stock under the Purchase Agreement, we currently plan to use any proceeds therefrom for working capital and other general corporate purposes.</w:t>
      </w:r>
    </w:p>
    <w:p>
      <w:pPr>
        <w:spacing w:after="0" w:line="1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CCM LLC is an affiliate of the Sponsor. In light of the beneficial ownership limitation set forth above, the Sponsor has agreed that the private placement warrants held by Chardan NexTech 2 Warrant Holdings LLC (“</w:t>
      </w:r>
      <w:r>
        <w:rPr>
          <w:rFonts w:ascii="Times New Roman" w:cs="Times New Roman" w:eastAsia="Times New Roman" w:hAnsi="Times New Roman"/>
          <w:sz w:val="14"/>
          <w:szCs w:val="14"/>
          <w:b w:val="1"/>
          <w:bCs w:val="1"/>
          <w:color w:val="auto"/>
        </w:rPr>
        <w:t>Warrant Holdings</w:t>
      </w:r>
      <w:r>
        <w:rPr>
          <w:rFonts w:ascii="Times New Roman" w:cs="Times New Roman" w:eastAsia="Times New Roman" w:hAnsi="Times New Roman"/>
          <w:sz w:val="14"/>
          <w:szCs w:val="14"/>
          <w:color w:val="auto"/>
        </w:rPr>
        <w:t>”), also an affiliate of the Sponsor, may not be exercised to the extent an affiliate of the Sponsor (including CCM LLC) is deemed to beneficially own, or it would cause such affiliate to be deemed to beneficially own, more than 7.5% of our common stock.</w:t>
      </w:r>
    </w:p>
    <w:p>
      <w:pPr>
        <w:spacing w:after="0" w:line="1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addition, pursuant to the ChEF RRA, we have agreed to provide CCM LLC with certain registration rights with respect to the shares of common stock issued subject to the Purchase Agreement.</w:t>
      </w:r>
    </w:p>
    <w:p>
      <w:pPr>
        <w:spacing w:after="0" w:line="1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Purchase Agreement will automatically terminate on the earliest to occur of (i) the 36-month anniversary of the later of (x) the closing of the Business Combination and (y) effective date of the Initial Registration Statement (as defined in the Purchase Agreement), (ii) the date on which CCM LLC shall have purchased $150 million of shares of our common stock pursuant to the Purchase Agreement, (iii) the date on which our common stock shall have failed to be listed or quoted on Nasdaq or any successor principal market and (iv) the commencement of certain bankruptcy proceedings or similar transactions with respect to us or all or substantially all of our property.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Related Agreements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Concurrently with the execution of the Business Combination Agreement, Chardan, Legacy Dragonfly and the Sponsor entered into a sponsor support agreement.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Indemnification of Directors and Officers</w:t>
      </w:r>
    </w:p>
    <w:p>
      <w:pPr>
        <w:spacing w:after="0" w:line="14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On the Closing Date, in connection with the consummation of the Business Combination, we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Registration Rights Agreement</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On the Closing Date, in connection with the consummation of the Business Combination Agreement, we entered into the Amended and Restated Registration Rights Agreement (the “</w:t>
      </w:r>
      <w:r>
        <w:rPr>
          <w:rFonts w:ascii="Times New Roman" w:cs="Times New Roman" w:eastAsia="Times New Roman" w:hAnsi="Times New Roman"/>
          <w:sz w:val="14"/>
          <w:szCs w:val="14"/>
          <w:b w:val="1"/>
          <w:bCs w:val="1"/>
          <w:color w:val="auto"/>
        </w:rPr>
        <w:t>Insider Registration Rights Agreement</w:t>
      </w:r>
      <w:r>
        <w:rPr>
          <w:rFonts w:ascii="Times New Roman" w:cs="Times New Roman" w:eastAsia="Times New Roman" w:hAnsi="Times New Roman"/>
          <w:sz w:val="14"/>
          <w:szCs w:val="14"/>
          <w:color w:val="auto"/>
        </w:rPr>
        <w:t>”) with the Sponsor, Chardan’s officers, directors, initial stockholders, CCM LLC and Warrant Holdings, an affiliate of the Sponsor (collectively, the “</w:t>
      </w:r>
      <w:r>
        <w:rPr>
          <w:rFonts w:ascii="Times New Roman" w:cs="Times New Roman" w:eastAsia="Times New Roman" w:hAnsi="Times New Roman"/>
          <w:sz w:val="14"/>
          <w:szCs w:val="14"/>
          <w:b w:val="1"/>
          <w:bCs w:val="1"/>
          <w:color w:val="auto"/>
        </w:rPr>
        <w:t>Insiders</w:t>
      </w:r>
      <w:r>
        <w:rPr>
          <w:rFonts w:ascii="Times New Roman" w:cs="Times New Roman" w:eastAsia="Times New Roman" w:hAnsi="Times New Roman"/>
          <w:sz w:val="14"/>
          <w:szCs w:val="14"/>
          <w:color w:val="auto"/>
        </w:rPr>
        <w:t>”) and certain Legacy Dragonfly stockholders for the registration of certain securities held by the Insiders.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Agreements</w:t>
      </w:r>
    </w:p>
    <w:p>
      <w:pPr>
        <w:spacing w:after="0" w:line="1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On January 1, 2022, we entered into an asset purchase agreement (the “</w:t>
      </w:r>
      <w:r>
        <w:rPr>
          <w:rFonts w:ascii="Times New Roman" w:cs="Times New Roman" w:eastAsia="Times New Roman" w:hAnsi="Times New Roman"/>
          <w:sz w:val="14"/>
          <w:szCs w:val="14"/>
          <w:b w:val="1"/>
          <w:bCs w:val="1"/>
          <w:color w:val="auto"/>
        </w:rPr>
        <w:t>APA</w:t>
      </w:r>
      <w:r>
        <w:rPr>
          <w:rFonts w:ascii="Times New Roman" w:cs="Times New Roman" w:eastAsia="Times New Roman" w:hAnsi="Times New Roman"/>
          <w:sz w:val="14"/>
          <w:szCs w:val="14"/>
          <w:color w:val="auto"/>
        </w:rPr>
        <w:t>”) with Bourns Productions, Inc., a Nevada corporation (“</w:t>
      </w:r>
      <w:r>
        <w:rPr>
          <w:rFonts w:ascii="Times New Roman" w:cs="Times New Roman" w:eastAsia="Times New Roman" w:hAnsi="Times New Roman"/>
          <w:sz w:val="14"/>
          <w:szCs w:val="14"/>
          <w:b w:val="1"/>
          <w:bCs w:val="1"/>
          <w:color w:val="auto"/>
        </w:rPr>
        <w:t>Bourns Production</w:t>
      </w:r>
      <w:r>
        <w:rPr>
          <w:rFonts w:ascii="Times New Roman" w:cs="Times New Roman" w:eastAsia="Times New Roman" w:hAnsi="Times New Roman"/>
          <w:sz w:val="14"/>
          <w:szCs w:val="14"/>
          <w:color w:val="auto"/>
        </w:rPr>
        <w:t>”), pursuant to which we acquired machinery, equipment and a lease for a podcast studio from Bourns Production as set forth in the APA for a purchase price of approximately $197,000, which was the approximated fair market value. Tyler Bourns, our Chief Marketing Officer, is the owner and president of Bourns Productions.</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On April 4, 2022, we entered into an asset purchase agreement (“</w:t>
      </w:r>
      <w:r>
        <w:rPr>
          <w:rFonts w:ascii="Times New Roman" w:cs="Times New Roman" w:eastAsia="Times New Roman" w:hAnsi="Times New Roman"/>
          <w:sz w:val="14"/>
          <w:szCs w:val="14"/>
          <w:b w:val="1"/>
          <w:bCs w:val="1"/>
          <w:color w:val="auto"/>
        </w:rPr>
        <w:t>APA</w:t>
      </w:r>
      <w:r>
        <w:rPr>
          <w:rFonts w:ascii="Times New Roman" w:cs="Times New Roman" w:eastAsia="Times New Roman" w:hAnsi="Times New Roman"/>
          <w:sz w:val="14"/>
          <w:szCs w:val="14"/>
          <w:color w:val="auto"/>
        </w:rPr>
        <w:t>”) with Thomason Jones Company, LLC, a Washington limited liability company (“</w:t>
      </w:r>
      <w:r>
        <w:rPr>
          <w:rFonts w:ascii="Times New Roman" w:cs="Times New Roman" w:eastAsia="Times New Roman" w:hAnsi="Times New Roman"/>
          <w:sz w:val="14"/>
          <w:szCs w:val="14"/>
          <w:b w:val="1"/>
          <w:bCs w:val="1"/>
          <w:color w:val="auto"/>
        </w:rPr>
        <w:t>TJC</w:t>
      </w:r>
      <w:r>
        <w:rPr>
          <w:rFonts w:ascii="Times New Roman" w:cs="Times New Roman" w:eastAsia="Times New Roman" w:hAnsi="Times New Roman"/>
          <w:sz w:val="14"/>
          <w:szCs w:val="14"/>
          <w:color w:val="auto"/>
        </w:rPr>
        <w:t>”), pursuant to which we acquired intellectual property rights and inventory for a purchase price of approximately $444,000 which was the approximated fair market value. William Thomason and Richard Jones, our engineer and sales representative, are the managing members of TJC.</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wp:posOffset>
                </wp:positionV>
                <wp:extent cx="650938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3">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85pt" to="512.25pt,0.85pt" o:allowincell="f" strokecolor="#000000" strokeweight="1.2601pt"/>
            </w:pict>
          </mc:Fallback>
        </mc:AlternateContent>
      </w:r>
    </w:p>
    <w:p>
      <w:pPr>
        <w:sectPr>
          <w:pgSz w:w="12240" w:h="15840" w:orient="portrait"/>
          <w:cols w:equalWidth="0" w:num="1">
            <w:col w:w="10240"/>
          </w:cols>
          <w:pgMar w:left="1000" w:top="1214" w:right="1000" w:bottom="1440" w:gutter="0" w:footer="0" w:header="0"/>
        </w:sectPr>
      </w:pPr>
    </w:p>
    <w:bookmarkStart w:id="23" w:name="page24"/>
    <w:bookmarkEnd w:id="23"/>
    <w:p>
      <w:pPr>
        <w:jc w:val="both"/>
        <w:spacing w:after="0" w:line="237" w:lineRule="auto"/>
        <w:rPr>
          <w:sz w:val="20"/>
          <w:szCs w:val="20"/>
          <w:color w:val="auto"/>
        </w:rPr>
      </w:pPr>
      <w:r>
        <w:rPr>
          <w:rFonts w:ascii="Times New Roman" w:cs="Times New Roman" w:eastAsia="Times New Roman" w:hAnsi="Times New Roman"/>
          <w:sz w:val="14"/>
          <w:szCs w:val="14"/>
          <w:color w:val="auto"/>
        </w:rPr>
        <w:t>On November 4, 2022, we announced that Sean Nichols, our former Chief Operating Officer, would be leaving the Company to pursue other interests. His last day of employment was November 7, 2022 (the “</w:t>
      </w:r>
      <w:r>
        <w:rPr>
          <w:rFonts w:ascii="Times New Roman" w:cs="Times New Roman" w:eastAsia="Times New Roman" w:hAnsi="Times New Roman"/>
          <w:sz w:val="14"/>
          <w:szCs w:val="14"/>
          <w:b w:val="1"/>
          <w:bCs w:val="1"/>
          <w:color w:val="auto"/>
        </w:rPr>
        <w:t>Separation Date</w:t>
      </w:r>
      <w:r>
        <w:rPr>
          <w:rFonts w:ascii="Times New Roman" w:cs="Times New Roman" w:eastAsia="Times New Roman" w:hAnsi="Times New Roman"/>
          <w:sz w:val="14"/>
          <w:szCs w:val="14"/>
          <w:color w:val="auto"/>
        </w:rPr>
        <w:t>”) . On October 25, 2022, we entered into a separation and release agreement with Mr. Nichols that became effective and fully irrevocable on November 2, 2022, which was subsequently amended on November 14, 2022 (as amended, the “</w:t>
      </w:r>
      <w:r>
        <w:rPr>
          <w:rFonts w:ascii="Times New Roman" w:cs="Times New Roman" w:eastAsia="Times New Roman" w:hAnsi="Times New Roman"/>
          <w:sz w:val="14"/>
          <w:szCs w:val="14"/>
          <w:b w:val="1"/>
          <w:bCs w:val="1"/>
          <w:color w:val="auto"/>
        </w:rPr>
        <w:t>Separation Agreement</w:t>
      </w:r>
      <w:r>
        <w:rPr>
          <w:rFonts w:ascii="Times New Roman" w:cs="Times New Roman" w:eastAsia="Times New Roman" w:hAnsi="Times New Roman"/>
          <w:sz w:val="14"/>
          <w:szCs w:val="14"/>
          <w:color w:val="auto"/>
        </w:rPr>
        <w:t>”). Pursuant to the Separation Agreement, Mr. Nichols received a cash payment of $100,000 in one installment in December 2022 and is entitled to receive a cash payment of $1,000,000 in 24 monthly installments commencing in December 2022. Mr. Nichols’ outstanding equity awards granted by us will fully vest and, in the case of options, will be exercisable for 12 months following the Separation Date. The Separation Agreement also provides that we will pay a portion of Mr. Nichols’ premiums to continue participation in our health insurance plans for up to 18 months following the Separation Date. The Separation Agreement includes a general release of claims by Mr. Nichols and certain restrictive covenants in favor of us, including non-competition and non-solicitation covenants for 12 months following the Separation Date.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On February 24, 2023, we entered into the First Amended and Restated Employment Agreement (the “</w:t>
      </w:r>
      <w:r>
        <w:rPr>
          <w:rFonts w:ascii="Times New Roman" w:cs="Times New Roman" w:eastAsia="Times New Roman" w:hAnsi="Times New Roman"/>
          <w:sz w:val="14"/>
          <w:szCs w:val="14"/>
          <w:b w:val="1"/>
          <w:bCs w:val="1"/>
          <w:color w:val="auto"/>
        </w:rPr>
        <w:t>Restated Agreement</w:t>
      </w:r>
      <w:r>
        <w:rPr>
          <w:rFonts w:ascii="Times New Roman" w:cs="Times New Roman" w:eastAsia="Times New Roman" w:hAnsi="Times New Roman"/>
          <w:sz w:val="14"/>
          <w:szCs w:val="14"/>
          <w:color w:val="auto"/>
        </w:rPr>
        <w:t>”) with John Marchetti, our Chief Financial Officer. The Restated Agreement amended and restated the employment agreement, dated October 11, 2022, by and between us and Mr. Marchetti (the “</w:t>
      </w:r>
      <w:r>
        <w:rPr>
          <w:rFonts w:ascii="Times New Roman" w:cs="Times New Roman" w:eastAsia="Times New Roman" w:hAnsi="Times New Roman"/>
          <w:sz w:val="14"/>
          <w:szCs w:val="14"/>
          <w:b w:val="1"/>
          <w:bCs w:val="1"/>
          <w:color w:val="auto"/>
        </w:rPr>
        <w:t>Original Agreement</w:t>
      </w:r>
      <w:r>
        <w:rPr>
          <w:rFonts w:ascii="Times New Roman" w:cs="Times New Roman" w:eastAsia="Times New Roman" w:hAnsi="Times New Roman"/>
          <w:sz w:val="14"/>
          <w:szCs w:val="14"/>
          <w:color w:val="auto"/>
        </w:rPr>
        <w:t>”). The Restated Agreement provides that Mr. Marchetti will receive a minimum annual bonus of $175,000 for the fiscal year ending December 31, 2023. All other terms of the Restated Agreement remain the same as the Original Agreement.</w:t>
      </w:r>
    </w:p>
    <w:p>
      <w:pPr>
        <w:spacing w:after="0" w:line="1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March 5, 2023, we issued an unsecured convertible promissory note in the principal amount of $1.0 million (the “</w:t>
      </w:r>
      <w:r>
        <w:rPr>
          <w:rFonts w:ascii="Times New Roman" w:cs="Times New Roman" w:eastAsia="Times New Roman" w:hAnsi="Times New Roman"/>
          <w:sz w:val="14"/>
          <w:szCs w:val="14"/>
          <w:b w:val="1"/>
          <w:bCs w:val="1"/>
          <w:color w:val="auto"/>
        </w:rPr>
        <w:t>Principal Amount</w:t>
      </w:r>
      <w:r>
        <w:rPr>
          <w:rFonts w:ascii="Times New Roman" w:cs="Times New Roman" w:eastAsia="Times New Roman" w:hAnsi="Times New Roman"/>
          <w:sz w:val="14"/>
          <w:szCs w:val="14"/>
          <w:color w:val="auto"/>
        </w:rPr>
        <w:t>”) to Brian Nelson, one of our directors, in a private placement in exchange for cash in an equal amount. The Note became due and payable in full on April 1, 2023. We were also obligated to pay $100,000 (the “</w:t>
      </w:r>
      <w:r>
        <w:rPr>
          <w:rFonts w:ascii="Times New Roman" w:cs="Times New Roman" w:eastAsia="Times New Roman" w:hAnsi="Times New Roman"/>
          <w:sz w:val="14"/>
          <w:szCs w:val="14"/>
          <w:b w:val="1"/>
          <w:bCs w:val="1"/>
          <w:color w:val="auto"/>
        </w:rPr>
        <w:t>Loan Fee</w:t>
      </w:r>
      <w:r>
        <w:rPr>
          <w:rFonts w:ascii="Times New Roman" w:cs="Times New Roman" w:eastAsia="Times New Roman" w:hAnsi="Times New Roman"/>
          <w:sz w:val="14"/>
          <w:szCs w:val="14"/>
          <w:color w:val="auto"/>
        </w:rPr>
        <w:t>”) to Mr. Nelson on April 4, 2023. We paid the Principal Amount and the Loan Fee in full on April 1, 2023 and April 4, 2023, respectively.</w:t>
      </w:r>
    </w:p>
    <w:p>
      <w:pPr>
        <w:spacing w:after="0" w:line="12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w:t>
      </w:r>
    </w:p>
    <w:p>
      <w:pPr>
        <w:spacing w:after="0" w:line="1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On March 31, 2023 (the “</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we changed our state of incorporation from the State of Delaware to the State of Nevada (the “</w:t>
      </w:r>
      <w:r>
        <w:rPr>
          <w:rFonts w:ascii="Times New Roman" w:cs="Times New Roman" w:eastAsia="Times New Roman" w:hAnsi="Times New Roman"/>
          <w:sz w:val="14"/>
          <w:szCs w:val="14"/>
          <w:b w:val="1"/>
          <w:bCs w:val="1"/>
          <w:color w:val="auto"/>
        </w:rPr>
        <w:t>Reincorporation</w:t>
      </w:r>
      <w:r>
        <w:rPr>
          <w:rFonts w:ascii="Times New Roman" w:cs="Times New Roman" w:eastAsia="Times New Roman" w:hAnsi="Times New Roman"/>
          <w:sz w:val="14"/>
          <w:szCs w:val="14"/>
          <w:color w:val="auto"/>
        </w:rPr>
        <w:t>”) pursuant to a plan of conversion dated March 30, 2023 (the “</w:t>
      </w:r>
      <w:r>
        <w:rPr>
          <w:rFonts w:ascii="Times New Roman" w:cs="Times New Roman" w:eastAsia="Times New Roman" w:hAnsi="Times New Roman"/>
          <w:sz w:val="14"/>
          <w:szCs w:val="14"/>
          <w:b w:val="1"/>
          <w:bCs w:val="1"/>
          <w:color w:val="auto"/>
        </w:rPr>
        <w:t>Plan of Conversion</w:t>
      </w:r>
      <w:r>
        <w:rPr>
          <w:rFonts w:ascii="Times New Roman" w:cs="Times New Roman" w:eastAsia="Times New Roman" w:hAnsi="Times New Roman"/>
          <w:sz w:val="14"/>
          <w:szCs w:val="14"/>
          <w:color w:val="auto"/>
        </w:rPr>
        <w:t>”). The Reincorporation was accomplished by filing: (i) a certificate of conversion with the Secretary of State of the State of Delaware; (ii) articles of conversion with the Secretary of State of the State of Nevada; and (iii) articles of incorporation (the “</w:t>
      </w:r>
      <w:r>
        <w:rPr>
          <w:rFonts w:ascii="Times New Roman" w:cs="Times New Roman" w:eastAsia="Times New Roman" w:hAnsi="Times New Roman"/>
          <w:sz w:val="14"/>
          <w:szCs w:val="14"/>
          <w:b w:val="1"/>
          <w:bCs w:val="1"/>
          <w:color w:val="auto"/>
        </w:rPr>
        <w:t>Articles of Incorporation</w:t>
      </w:r>
      <w:r>
        <w:rPr>
          <w:rFonts w:ascii="Times New Roman" w:cs="Times New Roman" w:eastAsia="Times New Roman" w:hAnsi="Times New Roman"/>
          <w:sz w:val="14"/>
          <w:szCs w:val="14"/>
          <w:color w:val="auto"/>
        </w:rPr>
        <w:t>”) with the Secretary of State of the State of Nevada. In connection with the Reincorporation, our board of directors adopted new bylaws in the form attached to the Plan of Conversion (the “</w:t>
      </w:r>
      <w:r>
        <w:rPr>
          <w:rFonts w:ascii="Times New Roman" w:cs="Times New Roman" w:eastAsia="Times New Roman" w:hAnsi="Times New Roman"/>
          <w:sz w:val="14"/>
          <w:szCs w:val="14"/>
          <w:b w:val="1"/>
          <w:bCs w:val="1"/>
          <w:color w:val="auto"/>
        </w:rPr>
        <w:t>Bylaws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The Reincorporation was previously submitted to a vote of, and approved by, the Company’s stockholders at a special meeting of stockholders held on February 28, 2023 (the “</w:t>
      </w:r>
      <w:r>
        <w:rPr>
          <w:rFonts w:ascii="Times New Roman" w:cs="Times New Roman" w:eastAsia="Times New Roman" w:hAnsi="Times New Roman"/>
          <w:sz w:val="12"/>
          <w:szCs w:val="12"/>
          <w:b w:val="1"/>
          <w:bCs w:val="1"/>
          <w:color w:val="auto"/>
        </w:rPr>
        <w:t>Special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Meeting</w:t>
      </w:r>
      <w:r>
        <w:rPr>
          <w:rFonts w:ascii="Times New Roman" w:cs="Times New Roman" w:eastAsia="Times New Roman" w:hAnsi="Times New Roman"/>
          <w:sz w:val="12"/>
          <w:szCs w:val="12"/>
          <w:color w:val="auto"/>
        </w:rPr>
        <w:t>”). The Reincorporation did not affect any of our material contracts with any third parties, and our rights and obligations under those material contractual arrangements continue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 rights and obligations of us after the Reincorporation. The Reincorporation did not result in any change in our business, jobs, management, number of employees, assets, liabilities or net worth (other than as a result of the costs incident to the Reincorporation). Pursuant to the Plan of Conversion, our issued and outstanding shares of common stock were automatically converted and certificates representing shares of common stock automatically represented shares of common stock of the reincorporated company as of the Effective Date.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mailing address of our principal executive office is 1190 Trademark Dr. #108, Reno, Nevada 89521, and our telephone number is (775) 622-3448. On March 31, 2023, we effected the Reincorporation from the State of Delaware into the State of Nevada.</w:t>
      </w:r>
    </w:p>
    <w:p>
      <w:pPr>
        <w:spacing w:after="0" w:line="1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We file periodic reports, proxy statements and other information with the SEC. Such reports, proxy statements and other information may be obtained, free of charge, by visiting the SEC’s website at www.sec.gov that contains all of the reports, proxy and information statements, and other information that we electronically file or furnish to the SEC. We also maintain a website at www.dragonflyenergy.com where we make available the proxy statements, press releases, registration statements and reports on Forms 3, 4, 8-K, 10-K and 10-Q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wp:posOffset>
                </wp:positionV>
                <wp:extent cx="650938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85pt" to="512.25pt,0.85pt" o:allowincell="f" strokecolor="#000000" strokeweight="1.2599pt"/>
            </w:pict>
          </mc:Fallback>
        </mc:AlternateContent>
      </w:r>
    </w:p>
    <w:p>
      <w:pPr>
        <w:sectPr>
          <w:pgSz w:w="12240" w:h="15840" w:orient="portrait"/>
          <w:cols w:equalWidth="0" w:num="1">
            <w:col w:w="10240"/>
          </w:cols>
          <w:pgMar w:left="1000" w:top="1210" w:right="100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i w:val="1"/>
          <w:iCs w:val="1"/>
          <w:color w:val="auto"/>
        </w:rPr>
        <w:t>An investment in our common stock is speculative and illiquid and involves a high degree of risk including the risk of a loss of your entire investment. You should carefully consider the risks and uncertainties described below and the other information contained in this report and our other reports filed with the Securities and Exchange Commission (the “SEC”) . The risks set forth below are not the only ones facing us. Additional risks and uncertainties may exist that could also adversely affect our business, operations and financial condition. If any of the following risks actually materialize, our business, financial condition and/or operations could suffer. In such event, the value of our common stock could decline, and you could lose all or a substantial portion of the money that you pay for our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Existing Lithium-Ion Battery Operations</w:t>
      </w:r>
    </w:p>
    <w:p>
      <w:pPr>
        <w:spacing w:after="0" w:line="150" w:lineRule="exact"/>
        <w:rPr>
          <w:sz w:val="20"/>
          <w:szCs w:val="20"/>
          <w:color w:val="auto"/>
        </w:rPr>
      </w:pPr>
    </w:p>
    <w:p>
      <w:pPr>
        <w:ind w:left="480" w:hanging="237"/>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and future growth depends on the needs and success of our customers.</w:t>
      </w:r>
    </w:p>
    <w:p>
      <w:pPr>
        <w:spacing w:after="0" w:line="14" w:lineRule="exact"/>
        <w:rPr>
          <w:rFonts w:ascii="Times New Roman" w:cs="Times New Roman" w:eastAsia="Times New Roman" w:hAnsi="Times New Roman"/>
          <w:sz w:val="14"/>
          <w:szCs w:val="14"/>
          <w:color w:val="auto"/>
        </w:rPr>
      </w:pPr>
    </w:p>
    <w:p>
      <w:pPr>
        <w:ind w:left="480" w:hanging="237"/>
        <w:spacing w:after="0" w:line="232" w:lineRule="auto"/>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competitive industry. We expect that the level of competition will increase and the nature of our competitors will change as we develop new LFP battery products for, and enter into, new markets, and as the competitive landscape evolves.</w:t>
      </w:r>
    </w:p>
    <w:p>
      <w:pPr>
        <w:jc w:val="both"/>
        <w:ind w:left="480" w:hanging="237"/>
        <w:spacing w:after="0" w:line="233" w:lineRule="auto"/>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ind w:left="480" w:hanging="237"/>
        <w:spacing w:after="0" w:line="233" w:lineRule="auto"/>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ind w:left="480" w:hanging="237"/>
        <w:spacing w:after="0" w:line="236" w:lineRule="auto"/>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currently, and likely will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Solid-State Technology Development</w:t>
      </w:r>
    </w:p>
    <w:p>
      <w:pPr>
        <w:spacing w:after="0" w:line="149" w:lineRule="exact"/>
        <w:rPr>
          <w:sz w:val="20"/>
          <w:szCs w:val="20"/>
          <w:color w:val="auto"/>
        </w:rPr>
      </w:pPr>
    </w:p>
    <w:p>
      <w:pPr>
        <w:ind w:left="480" w:hanging="237"/>
        <w:spacing w:after="0" w:line="248" w:lineRule="auto"/>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significant engineering challenges in our attempts to develop and manufacture solid-state battery cells and these efforts may be delayed or fail which could negatively impact our business.</w:t>
      </w:r>
    </w:p>
    <w:p>
      <w:pPr>
        <w:ind w:left="480" w:hanging="237"/>
        <w:spacing w:after="0" w:line="232" w:lineRule="auto"/>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ind w:left="480" w:hanging="237"/>
        <w:spacing w:after="0"/>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solid-state batteries fail to perform as expected, our ability to further develop, market and sell our solid-state batteries could be harmed.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Intellectual Property</w:t>
      </w:r>
    </w:p>
    <w:p>
      <w:pPr>
        <w:spacing w:after="0" w:line="150" w:lineRule="exact"/>
        <w:rPr>
          <w:sz w:val="20"/>
          <w:szCs w:val="20"/>
          <w:color w:val="auto"/>
        </w:rPr>
      </w:pPr>
    </w:p>
    <w:p>
      <w:pPr>
        <w:ind w:left="480" w:hanging="237"/>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heavily upon our intellectual property portfolio. If we are unable to protect our intellectual property rights, our business and competitive position would be harmed.</w:t>
      </w:r>
    </w:p>
    <w:p>
      <w:pPr>
        <w:spacing w:after="0" w:line="14"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need to defend ourselves against intellectual property infringement claims, which may be time-consuming and could cause us to incur substantial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Risk Factors</w:t>
      </w:r>
    </w:p>
    <w:p>
      <w:pPr>
        <w:spacing w:after="0" w:line="150" w:lineRule="exact"/>
        <w:rPr>
          <w:sz w:val="20"/>
          <w:szCs w:val="20"/>
          <w:color w:val="auto"/>
        </w:rPr>
      </w:pPr>
    </w:p>
    <w:p>
      <w:pPr>
        <w:ind w:left="480" w:hanging="237"/>
        <w:spacing w:after="0" w:line="248" w:lineRule="auto"/>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uncertainty in global economic conditions, including the Russia-Ukraine conflict, could reduce consumer spending and disrupt our supply chain which could negatively affect our results of operations.</w:t>
      </w:r>
    </w:p>
    <w:p>
      <w:pPr>
        <w:ind w:left="480" w:hanging="237"/>
        <w:spacing w:after="0" w:line="232" w:lineRule="auto"/>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one or more members of our senior management team, other key personnel or our failure to attract additional qualified personnel may adversely affect our business and our ability to achieve our anticipated level of growth.</w:t>
      </w:r>
    </w:p>
    <w:p>
      <w:pPr>
        <w:ind w:left="480" w:hanging="237"/>
        <w:spacing w:after="0" w:line="236" w:lineRule="auto"/>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manage our growth effectively, we may be unable to execute our business plan, maintain high levels of customer service, or adequately address competitive challenges.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12700</wp:posOffset>
                </wp:positionV>
                <wp:extent cx="650938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pt" to="512.25pt,1pt" o:allowincell="f" strokecolor="#000000" strokeweight="1.2598pt"/>
            </w:pict>
          </mc:Fallback>
        </mc:AlternateContent>
      </w:r>
    </w:p>
    <w:p>
      <w:pPr>
        <w:sectPr>
          <w:pgSz w:w="12240" w:h="15840" w:orient="portrait"/>
          <w:cols w:equalWidth="0" w:num="1">
            <w:col w:w="10240"/>
          </w:cols>
          <w:pgMar w:left="1000" w:top="1208" w:right="100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Financial Position and Capital Requirements</w:t>
      </w:r>
    </w:p>
    <w:p>
      <w:pPr>
        <w:spacing w:after="0" w:line="150" w:lineRule="exact"/>
        <w:rPr>
          <w:sz w:val="20"/>
          <w:szCs w:val="20"/>
          <w:color w:val="auto"/>
        </w:rPr>
      </w:pPr>
    </w:p>
    <w:p>
      <w:pPr>
        <w:ind w:left="480" w:hanging="237"/>
        <w:spacing w:after="0" w:line="247" w:lineRule="auto"/>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capital intensive, and we may not be able to raise additional capital on attractive terms, if at all. Any further indebtedness we incur may limit our operational flexibility in the future.</w:t>
      </w:r>
    </w:p>
    <w:p>
      <w:pPr>
        <w:ind w:left="480" w:hanging="237"/>
        <w:spacing w:after="0" w:line="233" w:lineRule="auto"/>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ind w:left="480" w:hanging="237"/>
        <w:spacing w:after="0" w:line="236" w:lineRule="auto"/>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Ownership of Our Common Stock</w:t>
      </w:r>
    </w:p>
    <w:p>
      <w:pPr>
        <w:spacing w:after="0" w:line="149" w:lineRule="exact"/>
        <w:rPr>
          <w:sz w:val="20"/>
          <w:szCs w:val="20"/>
          <w:color w:val="auto"/>
        </w:rPr>
      </w:pPr>
    </w:p>
    <w:p>
      <w:pPr>
        <w:ind w:left="480" w:hanging="237"/>
        <w:spacing w:after="0"/>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issuances of debt securities and equity securities may adversely affect us and may be dilutive to existing stockholders.</w:t>
      </w:r>
    </w:p>
    <w:p>
      <w:pPr>
        <w:spacing w:after="0" w:line="16" w:lineRule="exact"/>
        <w:rPr>
          <w:rFonts w:ascii="Times New Roman" w:cs="Times New Roman" w:eastAsia="Times New Roman" w:hAnsi="Times New Roman"/>
          <w:sz w:val="14"/>
          <w:szCs w:val="14"/>
          <w:color w:val="auto"/>
        </w:rPr>
      </w:pPr>
    </w:p>
    <w:p>
      <w:pPr>
        <w:ind w:left="480" w:hanging="237"/>
        <w:spacing w:after="0" w:line="236" w:lineRule="auto"/>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issue additional shares of our common stock or other equity securities without your approval, which would dilute your ownership interests and may depress the market price of your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Existing Lithium-Ion Battery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and future growth depends on the needs and success of our OEM’s and similar customers.</w:t>
      </w:r>
    </w:p>
    <w:p>
      <w:pPr>
        <w:spacing w:after="0" w:line="1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demand for our products, including sales to OEM</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4"/>
          <w:szCs w:val="14"/>
          <w:color w:val="auto"/>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pacing w:after="0" w:line="1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Agreement with Keystone RV Company, or Keystone, the largest manufacturer of towable RVs in North America, Keystone has agreed to fulfill certain of its LFP battery requirements exclusively through us for at least one year, with automatic annual renewals. However, although in time we expect Keystone to be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or THOR,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Increased overall RV OEM sales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spacing w:after="0" w:line="1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engage target customers successfully and convert these customers into meaningful orders in the future.</w:t>
      </w:r>
    </w:p>
    <w:p>
      <w:pPr>
        <w:spacing w:after="0" w:line="1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15875</wp:posOffset>
                </wp:positionV>
                <wp:extent cx="650938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25pt" to="512.25pt,1.25pt" o:allowincell="f" strokecolor="#000000" strokeweight="1.26pt"/>
            </w:pict>
          </mc:Fallback>
        </mc:AlternateContent>
      </w:r>
    </w:p>
    <w:p>
      <w:pPr>
        <w:sectPr>
          <w:pgSz w:w="12240" w:h="15840" w:orient="portrait"/>
          <w:cols w:equalWidth="0" w:num="1">
            <w:col w:w="10240"/>
          </w:cols>
          <w:pgMar w:left="1000" w:top="1212" w:right="1000" w:bottom="1440" w:gutter="0" w:footer="0" w:header="0"/>
        </w:sectPr>
      </w:pPr>
    </w:p>
    <w:bookmarkStart w:id="26" w:name="page27"/>
    <w:bookmarkEnd w:id="26"/>
    <w:p>
      <w:pPr>
        <w:jc w:val="both"/>
        <w:spacing w:after="0" w:line="243" w:lineRule="auto"/>
        <w:rPr>
          <w:sz w:val="20"/>
          <w:szCs w:val="20"/>
          <w:color w:val="auto"/>
        </w:rPr>
      </w:pPr>
      <w:r>
        <w:rPr>
          <w:rFonts w:ascii="Times New Roman" w:cs="Times New Roman" w:eastAsia="Times New Roman" w:hAnsi="Times New Roman"/>
          <w:sz w:val="14"/>
          <w:szCs w:val="14"/>
          <w:color w:val="auto"/>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spacing w:after="0" w:line="1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b w:val="1"/>
          <w:bCs w:val="1"/>
          <w:i w:val="1"/>
          <w:iCs w:val="1"/>
          <w:color w:val="auto"/>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spacing w:after="0" w:line="1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 -to-market strategy, established brands,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spacing w:after="0" w:line="13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solid-state battery technologies better suited for other applications such as EV’s to our target markets.</w:t>
      </w:r>
    </w:p>
    <w:p>
      <w:pPr>
        <w:spacing w:after="0" w:line="1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spacing w:after="0" w:line="13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b w:val="1"/>
          <w:bCs w:val="1"/>
          <w:i w:val="1"/>
          <w:iCs w:val="1"/>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Our future success depends, in part, upon our ability to expand into additional end markets identified by us as opportunities for our LFP batteries. These markets include solar integration industrial,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 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12700</wp:posOffset>
                </wp:positionV>
                <wp:extent cx="650938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pt" to="512.25pt,1pt" o:allowincell="f" strokecolor="#000000" strokeweight="1.2598pt"/>
            </w:pict>
          </mc:Fallback>
        </mc:AlternateContent>
      </w:r>
    </w:p>
    <w:p>
      <w:pPr>
        <w:sectPr>
          <w:pgSz w:w="12240" w:h="15840" w:orient="portrait"/>
          <w:cols w:equalWidth="0" w:num="1">
            <w:col w:w="10240"/>
          </w:cols>
          <w:pgMar w:left="1000" w:top="1210" w:right="1000" w:bottom="1440" w:gutter="0" w:footer="0" w:header="0"/>
        </w:sectPr>
      </w:pPr>
    </w:p>
    <w:bookmarkStart w:id="27" w:name="page28"/>
    <w:bookmarkEnd w:id="27"/>
    <w:p>
      <w:pPr>
        <w:jc w:val="both"/>
        <w:spacing w:after="0" w:line="280" w:lineRule="auto"/>
        <w:rPr>
          <w:sz w:val="20"/>
          <w:szCs w:val="20"/>
          <w:color w:val="auto"/>
        </w:rPr>
      </w:pPr>
      <w:r>
        <w:rPr>
          <w:rFonts w:ascii="Times New Roman" w:cs="Times New Roman" w:eastAsia="Times New Roman" w:hAnsi="Times New Roman"/>
          <w:sz w:val="12"/>
          <w:szCs w:val="12"/>
          <w:color w:val="auto"/>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spacing w:after="0" w:line="2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currently rely on two carefully selected cell manufacturers located in China, and a single supplier, also located in China, to manufacture our proprietary battery management system, and we intend to continue to rely on these suppliers going forward.</w:t>
      </w:r>
    </w:p>
    <w:p>
      <w:pPr>
        <w:spacing w:after="0" w:line="11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2"/>
          <w:szCs w:val="12"/>
          <w:color w:val="auto"/>
        </w:rPr>
        <w:t>Our dependence on a limited number of key third -party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spacing w:after="0" w:line="2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Further, our dependence on these third-party suppliers entails additional risks, including:</w:t>
      </w:r>
    </w:p>
    <w:p>
      <w:pPr>
        <w:spacing w:after="0" w:line="151" w:lineRule="exact"/>
        <w:rPr>
          <w:sz w:val="20"/>
          <w:szCs w:val="20"/>
          <w:color w:val="auto"/>
        </w:rPr>
      </w:pPr>
    </w:p>
    <w:p>
      <w:pPr>
        <w:ind w:left="480" w:hanging="237"/>
        <w:spacing w:after="0"/>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failure or unwillingness of third-party suppliers to comply with regulatory requirements;</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breach of supply agreements by the third-party suppliers;</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misappropriation or disclosure of our proprietary information, including our trade secrets and know-how;</w:t>
      </w:r>
    </w:p>
    <w:p>
      <w:pPr>
        <w:spacing w:after="0" w:line="151" w:lineRule="exact"/>
        <w:rPr>
          <w:rFonts w:ascii="Times New Roman" w:cs="Times New Roman" w:eastAsia="Times New Roman" w:hAnsi="Times New Roman"/>
          <w:sz w:val="14"/>
          <w:szCs w:val="14"/>
          <w:color w:val="auto"/>
        </w:rPr>
      </w:pPr>
    </w:p>
    <w:p>
      <w:pPr>
        <w:ind w:left="480" w:hanging="237"/>
        <w:spacing w:after="0" w:line="262" w:lineRule="auto"/>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spacing w:after="0" w:line="117"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or nonrenewal of agreements by third-party suppliers at times that are costly or inconvenient for us.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14605</wp:posOffset>
                </wp:positionV>
                <wp:extent cx="650938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15pt" to="512.25pt,1.15pt" o:allowincell="f" strokecolor="#000000" strokeweight="1.2599pt"/>
            </w:pict>
          </mc:Fallback>
        </mc:AlternateContent>
      </w:r>
    </w:p>
    <w:p>
      <w:pPr>
        <w:sectPr>
          <w:pgSz w:w="12240" w:h="15840" w:orient="portrait"/>
          <w:cols w:equalWidth="0" w:num="1">
            <w:col w:w="10240"/>
          </w:cols>
          <w:pgMar w:left="1000" w:top="1210" w:right="1000" w:bottom="1440" w:gutter="0" w:footer="0" w:header="0"/>
        </w:sectPr>
      </w:pPr>
    </w:p>
    <w:bookmarkStart w:id="28" w:name="page29"/>
    <w:bookmarkEnd w:id="28"/>
    <w:p>
      <w:pPr>
        <w:jc w:val="both"/>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accurately estimate future demand for our LFP batteries, and our failure to accurately predict our production requirements could result in additional costs or delays.</w:t>
      </w:r>
    </w:p>
    <w:p>
      <w:pPr>
        <w:spacing w:after="0" w:line="12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seek to maintain an approximately nine-month supply of LFP cells and six-month supply of all other critical components by pre-ordering components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which would harm our business, financial condition and results of operations.</w:t>
      </w:r>
    </w:p>
    <w:p>
      <w:pPr>
        <w:spacing w:after="0" w:line="1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spacing w:after="0" w:line="1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 driven downward pricing pressures in the future, which may run counter to the cost of the components required to produce our products. During 2022 in particular, we experienced rising materials costs due to inflation, which we partially mitigated through increases in our product prices, where we thought it to be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We are currently, and will likely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All of our battery assembly currently takes place at our 99,000 square foot headquarters and manufacturing facility located in Reno, Nevada. We currently operate three LFP battery production lines, which has been sufficient to meet customer demand. If one or both production lines were to be inoperable for any period of time, we would face delays in meeting orders, which could prevent us from meeting demand or require us to incur unplanned costs, including capital expenditures.</w:t>
      </w:r>
    </w:p>
    <w:p>
      <w:pPr>
        <w:spacing w:after="0" w:line="12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Our facility may be harmed or rendered inoperable by natural or man-made disasters, including earthquakes, flooding, fire and power outages, utility and transportation infrastructure disruptions, acts of war or terrorism, or by public health crises,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 this insurance may not be sufficient to cover all of our potential losses and may not continue to be available to us on acceptable terms, if at all.</w:t>
      </w:r>
    </w:p>
    <w:p>
      <w:pPr>
        <w:spacing w:after="0" w:line="13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Lithium-ion battery cells have been observed to catch fire or release smoke and flame, which may have a negative impact on our reputation and business.</w:t>
      </w:r>
    </w:p>
    <w:p>
      <w:pPr>
        <w:spacing w:after="0" w:line="15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2"/>
          <w:szCs w:val="12"/>
          <w:color w:val="auto"/>
        </w:rPr>
        <w:t>Our LFP batteries use lithium iron phosphate (LiFePO4)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 -ion cells can rapidly release the energy they contain by releasing smoke and flames in a manner that can ignite nearby materials and other lithium -ion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12065</wp:posOffset>
                </wp:positionV>
                <wp:extent cx="650938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95pt" to="512.25pt,0.95pt" o:allowincell="f" strokecolor="#000000" strokeweight="1.32pt"/>
            </w:pict>
          </mc:Fallback>
        </mc:AlternateContent>
      </w:r>
    </w:p>
    <w:p>
      <w:pPr>
        <w:sectPr>
          <w:pgSz w:w="12240" w:h="15840" w:orient="portrait"/>
          <w:cols w:equalWidth="0" w:num="1">
            <w:col w:w="10240"/>
          </w:cols>
          <w:pgMar w:left="1000" w:top="1212" w:right="1000" w:bottom="1440" w:gutter="0" w:footer="0" w:header="0"/>
        </w:sectPr>
      </w:pPr>
    </w:p>
    <w:bookmarkStart w:id="29" w:name="page30"/>
    <w:bookmarkEnd w:id="29"/>
    <w:p>
      <w:pPr>
        <w:jc w:val="both"/>
        <w:spacing w:after="0"/>
        <w:rPr>
          <w:sz w:val="20"/>
          <w:szCs w:val="20"/>
          <w:color w:val="auto"/>
        </w:rPr>
      </w:pPr>
      <w:r>
        <w:rPr>
          <w:rFonts w:ascii="Times New Roman" w:cs="Times New Roman" w:eastAsia="Times New Roman" w:hAnsi="Times New Roman"/>
          <w:sz w:val="14"/>
          <w:szCs w:val="14"/>
          <w:color w:val="auto"/>
        </w:rPr>
        <w:t>To facilitate an uninterrupted supply of battery cells, we store a significant number of lithium- 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product liability claims, which could harm our financial condition and liquidity if we are not able to successfully defend or insure against such claims.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2"/>
          <w:szCs w:val="12"/>
          <w:color w:val="auto"/>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spacing w:after="0" w:line="10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spacing w:after="0" w:line="1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spacing w:after="0" w:line="13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b w:val="1"/>
          <w:bCs w:val="1"/>
          <w:i w:val="1"/>
          <w:iCs w:val="1"/>
          <w:color w:val="auto"/>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Each of our batteries include our proprietary battery management system, which relies on software and hardware manufactured by third parties that is complex and technical. In addition, Dragonfly IntelLigence, our battery communications system which we recently launched in the first quarter of 2023, utilizes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Solid-State Technology Development</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We face significant engineering challenges in our attempts to develop and manufacture solid-state battery cells and these efforts may be delayed or fail which could reduce consumer spending which could negatively impact our business.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solid-state battery development efforts are still ongoing, and we may fail to meet our goal of commercially selling LFP batteries incorporating our manufactured solid-state cells, or at all. We may encounter delays in the design, manufacture and launch of our solid-state battery cells, and in increasing production to scale.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wp:posOffset>
                </wp:positionV>
                <wp:extent cx="650938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85pt" to="512.25pt,0.85pt" o:allowincell="f" strokecolor="#000000" strokeweight="1.26pt"/>
            </w:pict>
          </mc:Fallback>
        </mc:AlternateContent>
      </w:r>
    </w:p>
    <w:p>
      <w:pPr>
        <w:sectPr>
          <w:pgSz w:w="12240" w:h="15840" w:orient="portrait"/>
          <w:cols w:equalWidth="0" w:num="1">
            <w:col w:w="10240"/>
          </w:cols>
          <w:pgMar w:left="1000" w:top="1210" w:right="1000" w:bottom="1440" w:gutter="0" w:footer="0" w:header="0"/>
        </w:sectPr>
      </w:pPr>
    </w:p>
    <w:bookmarkStart w:id="30" w:name="page31"/>
    <w:bookmarkEnd w:id="30"/>
    <w:p>
      <w:pPr>
        <w:jc w:val="both"/>
        <w:spacing w:after="0" w:line="309" w:lineRule="auto"/>
        <w:rPr>
          <w:sz w:val="20"/>
          <w:szCs w:val="20"/>
          <w:color w:val="auto"/>
        </w:rPr>
      </w:pPr>
      <w:r>
        <w:rPr>
          <w:rFonts w:ascii="Times New Roman" w:cs="Times New Roman" w:eastAsia="Times New Roman" w:hAnsi="Times New Roman"/>
          <w:sz w:val="12"/>
          <w:szCs w:val="12"/>
          <w:color w:val="auto"/>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spacing w:after="0" w:line="9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We currently purchase the battery cells incorporated into our LFP batteries and have no experience in manufacturing battery cells.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spacing w:after="0" w:line="1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We will require significant capital to fund our solid- state cell research and development activities, pilot line construction and expansion of our manufacturing capabilities to accommodate large-scale production of solid-state cells. We have not yet produced any solid- 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solid-state batteries fail to perform as expected, our ability to further develop, market and sell our solid-state batteries could be harmed.</w:t>
      </w:r>
    </w:p>
    <w:p>
      <w:pPr>
        <w:spacing w:after="0" w:line="15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2"/>
          <w:szCs w:val="12"/>
          <w:color w:val="auto"/>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 -state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spacing w:after="0" w:line="1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We expect to rely on machinery used in other large -scale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spacing w:after="0" w:line="1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spacing w:after="0" w:line="13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2"/>
          <w:szCs w:val="12"/>
          <w:color w:val="auto"/>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 -state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17145</wp:posOffset>
                </wp:positionV>
                <wp:extent cx="650938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5pt" to="512.25pt,1.35pt" o:allowincell="f" strokecolor="#000000" strokeweight="1.26pt"/>
            </w:pict>
          </mc:Fallback>
        </mc:AlternateContent>
      </w:r>
    </w:p>
    <w:p>
      <w:pPr>
        <w:sectPr>
          <w:pgSz w:w="12240" w:h="15840" w:orient="portrait"/>
          <w:cols w:equalWidth="0" w:num="1">
            <w:col w:w="10240"/>
          </w:cols>
          <w:pgMar w:left="1000" w:top="1210" w:right="1000" w:bottom="1440" w:gutter="0" w:footer="0" w:header="0"/>
        </w:sectPr>
      </w:pPr>
    </w:p>
    <w:bookmarkStart w:id="31" w:name="page32"/>
    <w:bookmarkEnd w:id="31"/>
    <w:p>
      <w:pPr>
        <w:jc w:val="both"/>
        <w:spacing w:after="0" w:line="248" w:lineRule="auto"/>
        <w:rPr>
          <w:sz w:val="20"/>
          <w:szCs w:val="20"/>
          <w:color w:val="auto"/>
        </w:rPr>
      </w:pPr>
      <w:r>
        <w:rPr>
          <w:rFonts w:ascii="Times New Roman" w:cs="Times New Roman" w:eastAsia="Times New Roman" w:hAnsi="Times New Roman"/>
          <w:sz w:val="14"/>
          <w:szCs w:val="14"/>
          <w:color w:val="auto"/>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Supply Chain and Third-Party Vendors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associated with vendors from whom our products are sourced.</w:t>
      </w:r>
    </w:p>
    <w:p>
      <w:pPr>
        <w:spacing w:after="0" w:line="1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products we sell rely on components and other inputs that are sourced from a variety of domestic and international vendors. We rely on long-term relationships with our suppliers but have no significant long -term contracts with such suppliers. Our future success will depend in large measure upon our ability to maintain our existing supplier relationships and/or to develop new ones. This reliance exposes us to the risk of inadequate and untimely supplies of various products due to political, economic, social, health, or environmental conditions, transportation delays, or changes in laws and regulations affecting distribution. Our vendors may be forced to reduce their production, shut down their operations or file for bankruptcy protection, which could make it difficult for us to serve the market needs and could have a material adverse effect on our business.</w:t>
      </w:r>
    </w:p>
    <w:p>
      <w:pPr>
        <w:spacing w:after="0" w:line="1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While we select these third-party vendors carefully, we do not control their actions or the manufacture of their products. Any problems caused by these third-parties, or issues associated with their products or workforce, including customer or governmental complaints, breakdowns or other disruptions in communication services provided by a vendor, failure of a vendor to handle current or higher volumes, and cyber -attacks or security breaches at a vendor could subject us to litigation and adversely affect our ability to deliver products and services to its customers and have a material adverse effect on our results of operations and financial condition.</w:t>
      </w:r>
    </w:p>
    <w:p>
      <w:pPr>
        <w:spacing w:after="0" w:line="13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We rely on foreign manufacturers for various products that are incorporated into the products we sell. In addition, many of our domestic suppliers purchase a portion of their products from foreign sources. As an importer, our business is subject to the risks generally associated with doing business internationally, such as domestic and foreign governmental regulations, economic disruptions, global or regional health epidemics, delays in shipments, transportation capacity and costs, currency exchange rates, and changes in political or economic conditions in countries from which we purchase products. If any such factors were to render the conduct of business in particular countries undesirable or impractical or if additional U.S. quotas, duties, tariffs, taxes, or other charges or restrictions were imposed upon the importation of our products in the future, our financial condition and results of operations could be materially adversely affected.</w:t>
      </w:r>
    </w:p>
    <w:p>
      <w:pPr>
        <w:spacing w:after="0" w:line="133"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2"/>
          <w:szCs w:val="12"/>
          <w:color w:val="auto"/>
        </w:rPr>
        <w:t>The political landscape in the U.S. contains uncertainty with respect to tax and trade policies, tariffs and regulations affecting trade between the U.S. and other countries. We source a portion of our merchandise from manufacturers located outside the U.S., primarily in Asia. Major developments in tax policy or trade relations, such as the disallowance of tax deductions for imported merchandise or the imposition of tariffs on imported products, could have a material adverse effect on our business, results of operations, and financial condition.</w:t>
      </w:r>
    </w:p>
    <w:p>
      <w:pPr>
        <w:spacing w:after="0" w:line="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b w:val="1"/>
          <w:bCs w:val="1"/>
          <w:i w:val="1"/>
          <w:iCs w:val="1"/>
          <w:color w:val="auto"/>
        </w:rPr>
        <w:t>We rely on manufacturers located in foreign countries, including China, for merchandise. Additionally, a portion of our domestically purchased merchandise is manufactured abroad. Our business may be materially adversely affected by risks associated with international trade, including the impact of current or potential tariffs by the U.S. with respect to certain consumer goods imported from China.</w:t>
      </w:r>
    </w:p>
    <w:p>
      <w:pPr>
        <w:spacing w:after="0" w:line="13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source a portion of our merchandise from manufacturers located outside the U.S., primarily in Asia, and many of our domestic vendors have a global supply chain. The U.S. has imposed tariffs on certain products imported into the U.S. from China and could propose additional tariffs. The imposition of tariffs on imported products could result in reduced sales and profits. It remains unclear how tax or trade policies, tariffs or trade relations may change under the current U.S. administration, which could adversely affect our business, results of operations, effective income tax rate, liquidity, and net income.</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addition, the imposition of tariffs by the U.S. has resulted in the adoption of tariffs by China on U.S. exports and could result in the adoption of tariffs by other countries as well. A resulting trade war could have a significant adverse effect on world trade and the global economy.</w:t>
      </w:r>
    </w:p>
    <w:p>
      <w:pPr>
        <w:spacing w:after="0" w:line="1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We continue to evaluate the impact of the effective and potential tariffs on our supply chain, costs, sales, and profitability as well as our strategies to mitigate any negative impact, including negotiating with our vendors, and seeking alternative sourcing options. Given the uncertainty regarding the scope and duration of the current and potential tariffs, as well as the potential for additional trade actions by the U.S. or other countries, the impact on our business, results of operations, and financial condition is uncertain but could be significant. Thus, we can provide no assurance that any strategies we implement to mitigate the impact of such tariffs or other trade actions will be successful in whole or in part. To the extent that our supply chain, costs, sales, or profitability are negatively affected by the tariffs or other trade actions, our business, financial condition, and results of operations may be materially adversely affected.</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12700</wp:posOffset>
                </wp:positionV>
                <wp:extent cx="650938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pt" to="512.25pt,1pt" o:allowincell="f" strokecolor="#000000" strokeweight="1.26pt"/>
            </w:pict>
          </mc:Fallback>
        </mc:AlternateContent>
      </w:r>
    </w:p>
    <w:p>
      <w:pPr>
        <w:sectPr>
          <w:pgSz w:w="12240" w:h="15840" w:orient="portrait"/>
          <w:cols w:equalWidth="0" w:num="1">
            <w:col w:w="10240"/>
          </w:cols>
          <w:pgMar w:left="1000" w:top="1210" w:right="100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i w:val="1"/>
          <w:iCs w:val="1"/>
          <w:color w:val="auto"/>
        </w:rPr>
        <w:t>A significant disruption to the timely receipt of inventory could adversely impact sales or increase our transportation costs, which would decrease our profits.</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We rely on our distribution and transportation network, including third -party logistics providers, to provide goods in a timely and cost-effective manner through deliveries to our distribution facilities from vendors and then from the distribution facilities or direct ship vendors to our stores or customers by various means of transportation, including shipments by sea, air, rail, and truck. Any disruption, unanticipated expense, or operational failure related to this process could negatively affect our operations. For example, unexpected delivery delays (including delays due to weather, fuel shortages, work stoppages, global or regional health epidemics, product shortages from vendors, or other reasons) or increases in transportation costs (including increased fuel costs or a decrease in transportation capacity for overseas shipments) could significantly decrease our ability to provide adequate products to meet increased customer demand. In addition, labor shortages or work stoppages in the transportation industry or long -term disruptions to the national and international transportation infrastructure that lead to delays or interruptions of deliveries could negatively affect our business. Also, a fire, tornado, or other disaster at one of our distribution facilities could disrupt our timely receiving, processing, and shipment of merchandise to our stores which could adversely affect our business. While we believe there are adequate reserve quantities and alternative suppliers available, shortages or interruptions in the receipt or supply of products caused by unanticipated demand, problems in production or distribution, financial or other difficulties of supplies, inclement weather or other economic conditions, including the availability of qualified drivers and distribution center team members, could adversely affect the availability, quality and cost of products, and our operating results.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heavily upon our intellectual property portfolio. If we are unable to protect our intellectual property rights, our business and competitive position would be harmed.</w:t>
      </w:r>
    </w:p>
    <w:p>
      <w:pPr>
        <w:spacing w:after="0" w:line="14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 -disclosure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spacing w:after="0" w:line="13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17780</wp:posOffset>
                </wp:positionV>
                <wp:extent cx="650938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4pt" to="512.25pt,1.4pt" o:allowincell="f" strokecolor="#000000" strokeweight="1.2599pt"/>
            </w:pict>
          </mc:Fallback>
        </mc:AlternateContent>
      </w:r>
    </w:p>
    <w:p>
      <w:pPr>
        <w:sectPr>
          <w:pgSz w:w="12240" w:h="15840" w:orient="portrait"/>
          <w:cols w:equalWidth="0" w:num="1">
            <w:col w:w="10240"/>
          </w:cols>
          <w:pgMar w:left="1000" w:top="1212" w:right="100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need to defend ourselves against intellectual property infringement claims, which may be time-consuming and could cause us to incur substantial costs.</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w:t>
      </w:r>
      <w:r>
        <w:rPr>
          <w:rFonts w:ascii="Times New Roman" w:cs="Times New Roman" w:eastAsia="Times New Roman" w:hAnsi="Times New Roman"/>
          <w:sz w:val="14"/>
          <w:szCs w:val="14"/>
          <w:b w:val="1"/>
          <w:bCs w:val="1"/>
          <w:color w:val="auto"/>
        </w:rPr>
        <w:t>FTO</w:t>
      </w:r>
      <w:r>
        <w:rPr>
          <w:rFonts w:ascii="Times New Roman" w:cs="Times New Roman" w:eastAsia="Times New Roman" w:hAnsi="Times New Roman"/>
          <w:sz w:val="14"/>
          <w:szCs w:val="14"/>
          <w:color w:val="auto"/>
        </w:rPr>
        <w:t>”) questions with regards to the precoated feedstock materials for the spray deposition process depending on the final material selections that are used, although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spacing w:after="0" w:line="137" w:lineRule="exact"/>
        <w:rPr>
          <w:sz w:val="20"/>
          <w:szCs w:val="20"/>
          <w:color w:val="auto"/>
        </w:rPr>
      </w:pPr>
    </w:p>
    <w:p>
      <w:pPr>
        <w:ind w:left="480" w:hanging="237"/>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cease using, making, having made, selling, having sold, developing, having developed or importing products that incorporate the infringed intellectual property rights;</w:t>
      </w:r>
    </w:p>
    <w:p>
      <w:pPr>
        <w:spacing w:after="0" w:line="151"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substantial damages;</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 license from the holder of the infringed intellectual property rights, which license may not be available on reasonable terms or at all; or</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 our processes or products, which may result in inferior products or processes.</w:t>
      </w:r>
    </w:p>
    <w:p>
      <w:pPr>
        <w:spacing w:after="0" w:line="1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spacing w:after="0" w:line="1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color w:val="auto"/>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26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The uncertainty in global economic conditions, including the Russia-Ukraine conflict, could reduce consumer spending and disrupt our supply chain which could negatively affect our results of operations.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13970</wp:posOffset>
                </wp:positionV>
                <wp:extent cx="650938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1pt" to="512.25pt,1.1pt" o:allowincell="f" strokecolor="#000000" strokeweight="1.2599pt"/>
            </w:pict>
          </mc:Fallback>
        </mc:AlternateContent>
      </w:r>
    </w:p>
    <w:p>
      <w:pPr>
        <w:sectPr>
          <w:pgSz w:w="12240" w:h="15840" w:orient="portrait"/>
          <w:cols w:equalWidth="0" w:num="1">
            <w:col w:w="10240"/>
          </w:cols>
          <w:pgMar w:left="1000" w:top="1212" w:right="1000" w:bottom="1440" w:gutter="0" w:footer="0" w:header="0"/>
        </w:sectPr>
      </w:pPr>
    </w:p>
    <w:bookmarkStart w:id="34" w:name="page35"/>
    <w:bookmarkEnd w:id="34"/>
    <w:p>
      <w:pPr>
        <w:jc w:val="both"/>
        <w:spacing w:after="0" w:line="243" w:lineRule="auto"/>
        <w:rPr>
          <w:sz w:val="20"/>
          <w:szCs w:val="20"/>
          <w:color w:val="auto"/>
        </w:rPr>
      </w:pPr>
      <w:r>
        <w:rPr>
          <w:rFonts w:ascii="Times New Roman" w:cs="Times New Roman" w:eastAsia="Times New Roman" w:hAnsi="Times New Roman"/>
          <w:sz w:val="14"/>
          <w:szCs w:val="14"/>
          <w:color w:val="auto"/>
        </w:rPr>
        <w:t>The global macroeconomic environment could be negatively affected by, among other things, the resurgence of COVID-19 or other pandemics or epidemics, instability in global economic markets, increased U.S. trade tariffs and trade disputes with other countries, instability in the global credit markets, supply chain weaknesses, instability in the geopolitical environment as a result of the withdrawal of the United Kingdom from the European Union, the Russian invasion of Ukraine and other political tensions, and foreign governmental debt concerns. Such challenges have caused, and may continue to cause, uncertainty and instability in local economies and in global financial markets.</w:t>
      </w:r>
    </w:p>
    <w:p>
      <w:pPr>
        <w:spacing w:after="0" w:line="1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As a result of sanctions imposed in relation to the Russia-Ukraine conflict, gas prices in the United States have become much more volatile and, in some cases,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spacing w:after="0" w:line="13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More recently, the closures of Silicon Valley Bank, or SVB, and Signature Bank and their placement into receivership with the Federal Deposit Insurance Corporation, or FDIC created bank-specific and broader financial institution liquidity risk and concerns. Although the Department of the Treasury, the Federal Reserve, and the FDIC jointly released a statement that depositors at SVB and Signature Bank would have access to their funds, even those in excess of the standard FDIC insurance limits, under a systemic risk exception, future adverse developments with respect to specific financial institutions or the broader financial services industry may lead to market- 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w:t>
      </w:r>
    </w:p>
    <w:p>
      <w:pPr>
        <w:spacing w:after="0" w:line="1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Furthermore, 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are highly dependent on the talent and services of Denis Phares, our Chief Executive Officer, and other senior technical and management personnel, including our executive officers, who would be difficult to replace. The loss of Dr. Phares or other key personnel could disrupt our business and harm our results of operations, and we may not be able to successfully attract and retain senior leadership necessary to grow our business.</w:t>
      </w:r>
    </w:p>
    <w:p>
      <w:pPr>
        <w:spacing w:after="0" w:line="1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12700</wp:posOffset>
                </wp:positionV>
                <wp:extent cx="650938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pt" to="512.25pt,1pt" o:allowincell="f" strokecolor="#000000" strokeweight="1.2598pt"/>
            </w:pict>
          </mc:Fallback>
        </mc:AlternateContent>
      </w:r>
    </w:p>
    <w:p>
      <w:pPr>
        <w:sectPr>
          <w:pgSz w:w="12240" w:h="15840" w:orient="portrait"/>
          <w:cols w:equalWidth="0" w:num="1">
            <w:col w:w="10240"/>
          </w:cols>
          <w:pgMar w:left="1000" w:top="1210" w:right="1000" w:bottom="1440" w:gutter="0" w:footer="0" w:header="0"/>
        </w:sectPr>
      </w:pPr>
    </w:p>
    <w:bookmarkStart w:id="35" w:name="page36"/>
    <w:bookmarkEnd w:id="35"/>
    <w:p>
      <w:pPr>
        <w:jc w:val="both"/>
        <w:spacing w:after="0" w:line="239" w:lineRule="auto"/>
        <w:rPr>
          <w:sz w:val="20"/>
          <w:szCs w:val="20"/>
          <w:color w:val="auto"/>
        </w:rPr>
      </w:pPr>
      <w:r>
        <w:rPr>
          <w:rFonts w:ascii="Times New Roman" w:cs="Times New Roman" w:eastAsia="Times New Roman" w:hAnsi="Times New Roman"/>
          <w:sz w:val="14"/>
          <w:szCs w:val="14"/>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fail to manage our growth effectively, we may be unable to execute our business plan, maintain high levels of customer service, or adequately address competitive challenges.</w:t>
      </w:r>
    </w:p>
    <w:p>
      <w:pPr>
        <w:spacing w:after="0" w:line="17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growth in our business may cause damage to our brand or otherwise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expand our business through acquisitions in the future, and any future acquisition may not be accretive and may negatively affect our business.</w:t>
      </w:r>
    </w:p>
    <w:p>
      <w:pPr>
        <w:spacing w:after="0" w:line="1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operations are subject to a variety of environmental, health and safety rules that can bring scrutiny from regulatory agencies and increase our costs.</w:t>
      </w:r>
    </w:p>
    <w:p>
      <w:pPr>
        <w:spacing w:after="0" w:line="1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spacing w:after="0" w:line="1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anti-corruption, anti- 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2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w:t>
      </w:r>
      <w:r>
        <w:rPr>
          <w:rFonts w:ascii="Times New Roman" w:cs="Times New Roman" w:eastAsia="Times New Roman" w:hAnsi="Times New Roman"/>
          <w:sz w:val="14"/>
          <w:szCs w:val="14"/>
          <w:b w:val="1"/>
          <w:bCs w:val="1"/>
          <w:color w:val="auto"/>
        </w:rPr>
        <w:t>FCPA</w:t>
      </w:r>
      <w:r>
        <w:rPr>
          <w:rFonts w:ascii="Times New Roman" w:cs="Times New Roman" w:eastAsia="Times New Roman" w:hAnsi="Times New Roman"/>
          <w:sz w:val="14"/>
          <w:szCs w:val="14"/>
          <w:color w:val="auto"/>
        </w:rPr>
        <w:t>”).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14605</wp:posOffset>
                </wp:positionV>
                <wp:extent cx="650938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15pt" to="512.25pt,1.15pt" o:allowincell="f" strokecolor="#000000" strokeweight="1.26pt"/>
            </w:pict>
          </mc:Fallback>
        </mc:AlternateContent>
      </w:r>
    </w:p>
    <w:p>
      <w:pPr>
        <w:sectPr>
          <w:pgSz w:w="12240" w:h="15840" w:orient="portrait"/>
          <w:cols w:equalWidth="0" w:num="1">
            <w:col w:w="10240"/>
          </w:cols>
          <w:pgMar w:left="1000" w:top="1210" w:right="1000" w:bottom="1440" w:gutter="0" w:footer="0" w:header="0"/>
        </w:sectPr>
      </w:pPr>
    </w:p>
    <w:bookmarkStart w:id="36" w:name="page37"/>
    <w:bookmarkEnd w:id="36"/>
    <w:p>
      <w:pPr>
        <w:jc w:val="both"/>
        <w:spacing w:after="0" w:line="248" w:lineRule="auto"/>
        <w:rPr>
          <w:sz w:val="20"/>
          <w:szCs w:val="20"/>
          <w:color w:val="auto"/>
        </w:rPr>
      </w:pPr>
      <w:r>
        <w:rPr>
          <w:rFonts w:ascii="Times New Roman" w:cs="Times New Roman" w:eastAsia="Times New Roman" w:hAnsi="Times New Roman"/>
          <w:sz w:val="14"/>
          <w:szCs w:val="14"/>
          <w:color w:val="auto"/>
        </w:rPr>
        <w:t>Non-compliance with anti-corruption, anti -bribery,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From time to time, we may be involved in legal proceedings and commercial or contractual disputes, which could have an adverse impact on our profitability and consolidated financial position.</w:t>
      </w:r>
    </w:p>
    <w:p>
      <w:pPr>
        <w:spacing w:after="0" w:line="12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Environmental, social and governance matters may cause us to incur additional costs.</w:t>
      </w:r>
    </w:p>
    <w:p>
      <w:pPr>
        <w:spacing w:after="0" w:line="1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Some legislatures, government agencies and listing exchanges have mandated or proposed, and others may in the future further mandate, certain environmental, social and governance (“</w:t>
      </w:r>
      <w:r>
        <w:rPr>
          <w:rFonts w:ascii="Times New Roman" w:cs="Times New Roman" w:eastAsia="Times New Roman" w:hAnsi="Times New Roman"/>
          <w:sz w:val="14"/>
          <w:szCs w:val="14"/>
          <w:b w:val="1"/>
          <w:bCs w:val="1"/>
          <w:color w:val="auto"/>
        </w:rPr>
        <w:t>ESG</w:t>
      </w:r>
      <w:r>
        <w:rPr>
          <w:rFonts w:ascii="Times New Roman" w:cs="Times New Roman" w:eastAsia="Times New Roman" w:hAnsi="Times New Roman"/>
          <w:sz w:val="14"/>
          <w:szCs w:val="14"/>
          <w:color w:val="auto"/>
        </w:rPr>
        <w:t>”) disclosure or performance. For example, the Securities and Exchange Commission has proposed rules that would mandate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Being a Public Company</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We will incur significant increased expenses and administrative burdens as a public company, which could have an adverse effect on our business, financial condition and operating results.</w:t>
      </w:r>
    </w:p>
    <w:p>
      <w:pPr>
        <w:spacing w:after="0" w:line="12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We will face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and the listing standards of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we will create new board committees, enter into new insurance policies and adopt new internal controls and disclosure controls and procedures. In addition, expenses associated with SEC reporting requirements will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Annual Report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12700</wp:posOffset>
                </wp:positionV>
                <wp:extent cx="650938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pt" to="512.25pt,1pt" o:allowincell="f" strokecolor="#000000" strokeweight="1.2598pt"/>
            </w:pict>
          </mc:Fallback>
        </mc:AlternateContent>
      </w:r>
    </w:p>
    <w:p>
      <w:pPr>
        <w:sectPr>
          <w:pgSz w:w="12240" w:h="15840" w:orient="portrait"/>
          <w:cols w:equalWidth="0" w:num="1">
            <w:col w:w="10240"/>
          </w:cols>
          <w:pgMar w:left="1000" w:top="1210" w:right="100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i w:val="1"/>
          <w:iCs w:val="1"/>
          <w:color w:val="auto"/>
        </w:rPr>
        <w:t>Our management team has limited experience managing a public company.</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Most of the members of our management team have limited to no experience managing a publicly traded company, interacting with public company investors and complying with the increasingly complex laws pertaining to public companies. Our management team has limited experience operating a public company. Our management team may not successfully or efficiently manage their new roles and responsibilities.</w:t>
      </w:r>
    </w:p>
    <w:p>
      <w:pPr>
        <w:spacing w:after="0" w:line="1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Our transition to a public company subjects us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Financial Position and Capital Requirements</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Our business is capital intensive, and we may not be able to raise additional capital on attractive terms, if at all. Any further indebtedness we incur may limit our operational flexibility in the future.</w:t>
      </w:r>
    </w:p>
    <w:p>
      <w:pPr>
        <w:spacing w:after="0" w:line="11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color w:val="auto"/>
        </w:rPr>
        <w:t>As of December 31, 2022, we had cash totaling $17.8 million. Our net loss for the year ended December 31, 2022 was $ 39.6 million and our net income for the year ended December 31, 2021 was $4.3 million.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We intend to use the ChEF Equity Facility and Term Loan to provide additional capital to us. However, market conditions and certain restrictions contained in the agreements governing the ChEF Equity Facility and the Term Loan may limit our ability to access capital under such agreements.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incurrence of additional debt could adversely impact our business, including limiting our operational flexibility by:</w:t>
      </w:r>
    </w:p>
    <w:p>
      <w:pPr>
        <w:spacing w:after="0" w:line="152" w:lineRule="exact"/>
        <w:rPr>
          <w:sz w:val="20"/>
          <w:szCs w:val="20"/>
          <w:color w:val="auto"/>
        </w:rPr>
      </w:pPr>
    </w:p>
    <w:p>
      <w:pPr>
        <w:ind w:left="480" w:hanging="237"/>
        <w:spacing w:after="0"/>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it difficult for us to pay other obligations;</w:t>
      </w:r>
    </w:p>
    <w:p>
      <w:pPr>
        <w:spacing w:after="0" w:line="14" w:lineRule="exact"/>
        <w:rPr>
          <w:rFonts w:ascii="Times New Roman" w:cs="Times New Roman" w:eastAsia="Times New Roman" w:hAnsi="Times New Roman"/>
          <w:sz w:val="14"/>
          <w:szCs w:val="14"/>
          <w:color w:val="auto"/>
        </w:rPr>
      </w:pPr>
    </w:p>
    <w:p>
      <w:pPr>
        <w:ind w:left="480" w:hanging="237"/>
        <w:spacing w:after="0" w:line="232" w:lineRule="auto"/>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cost of borrowing from other sources;</w:t>
      </w:r>
    </w:p>
    <w:p>
      <w:pPr>
        <w:ind w:left="480" w:hanging="237"/>
        <w:spacing w:after="0" w:line="233" w:lineRule="auto"/>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it difficult to obtain favorable terms for any necessary future financing for working capital, capital expenditures, investments, acquisitions, debt service requirements, or other purposes;</w:t>
      </w:r>
    </w:p>
    <w:p>
      <w:pPr>
        <w:ind w:left="480" w:hanging="237"/>
        <w:spacing w:after="0" w:line="232" w:lineRule="auto"/>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restricting us from making acquisitions or causing us to make divestitures or similar transactions;</w:t>
      </w:r>
    </w:p>
    <w:p>
      <w:pPr>
        <w:ind w:left="480" w:hanging="237"/>
        <w:spacing w:after="0" w:line="233" w:lineRule="auto"/>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dedicate a substantial portion of our cash flow from operations to service and repay our indebtedness, reducing the amount of cash flow available for other purposes;</w:t>
      </w:r>
    </w:p>
    <w:p>
      <w:pPr>
        <w:ind w:left="480" w:hanging="237"/>
        <w:spacing w:after="0" w:line="232" w:lineRule="auto"/>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a competitive disadvantage compared to our less leveraged competitors; and</w:t>
      </w:r>
    </w:p>
    <w:p>
      <w:pPr>
        <w:ind w:left="480" w:hanging="237"/>
        <w:spacing w:after="0"/>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planning for and reacting to changes in our business.</w:t>
      </w:r>
    </w:p>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spacing w:after="0" w:line="1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For the year ended December 31, 2022, we incurred losses and had a negative cash flow from operations. As of December 31, 2022, we had approximately $17.8 million in cash and cash equivalents and working capital of $32.9 million. Our ability to achieve profitability and positive cash flow depends on our ability to increase revenue, contain our expenses and maintain compliance with the financial covenants in our outstanding indebtedness agreements.</w:t>
      </w:r>
    </w:p>
    <w:p>
      <w:pPr>
        <w:spacing w:after="0" w:line="12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2"/>
          <w:szCs w:val="12"/>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2022 consolidated financial statements, with respect to this uncertainty.</w:t>
      </w:r>
    </w:p>
    <w:p>
      <w:pPr>
        <w:spacing w:after="0" w:line="1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adversely affect us, including the market price of our common stock and may be dilutive to our current stockholders. Additionally, any convertible or exchangeable securities as well as preferred stock that we issue in the future may have rights, preferences and privileges more favorable than those of our common stock. Absent additional financing, if we are unable to meet these covenants, we plan to work with the Term Loan Lenders to cure any future breaches. However, there can be no guarantee that we will be able to do so.</w:t>
      </w:r>
    </w:p>
    <w:p>
      <w:pPr>
        <w:spacing w:after="0" w:line="1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Substantial doubt about our ability to continue as a going concern may materially and adversely affect the price per share of our common stock and warrants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agreements governing our indebtedness restrict us from engaging in specified types of transactions. These restrictive covenants restrict our ability to, among other things:</w:t>
      </w:r>
    </w:p>
    <w:p>
      <w:pPr>
        <w:spacing w:after="0" w:line="151" w:lineRule="exact"/>
        <w:rPr>
          <w:sz w:val="20"/>
          <w:szCs w:val="20"/>
          <w:color w:val="auto"/>
        </w:rPr>
      </w:pPr>
    </w:p>
    <w:p>
      <w:pPr>
        <w:ind w:left="480" w:hanging="237"/>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w:t>
      </w:r>
    </w:p>
    <w:p>
      <w:pPr>
        <w:spacing w:after="0" w:line="16" w:lineRule="exact"/>
        <w:rPr>
          <w:rFonts w:ascii="Times New Roman" w:cs="Times New Roman" w:eastAsia="Times New Roman" w:hAnsi="Times New Roman"/>
          <w:sz w:val="14"/>
          <w:szCs w:val="14"/>
          <w:color w:val="auto"/>
        </w:rPr>
      </w:pPr>
    </w:p>
    <w:p>
      <w:pPr>
        <w:ind w:left="480" w:hanging="237"/>
        <w:spacing w:after="0" w:line="232" w:lineRule="auto"/>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or incur encumbrances or liens;</w:t>
      </w:r>
    </w:p>
    <w:p>
      <w:pPr>
        <w:ind w:left="480" w:hanging="237"/>
        <w:spacing w:after="0" w:line="232" w:lineRule="auto"/>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consolidations, amalgamations, mergers, acquisitions, liquidations, dissolutions or dispositions;</w:t>
      </w:r>
    </w:p>
    <w:p>
      <w:pPr>
        <w:ind w:left="480" w:hanging="237"/>
        <w:spacing w:after="0" w:line="232" w:lineRule="auto"/>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transfer or otherwise dispose of assets; and</w:t>
      </w:r>
    </w:p>
    <w:p>
      <w:pPr>
        <w:ind w:left="480" w:hanging="237"/>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and distributions on, or purchase, redeem, defease, or otherwise acquire or retire for value, our stock.</w:t>
      </w:r>
    </w:p>
    <w:p>
      <w:pPr>
        <w:sectPr>
          <w:pgSz w:w="12240" w:h="15840" w:orient="portrait"/>
          <w:cols w:equalWidth="0" w:num="1">
            <w:col w:w="10240"/>
          </w:cols>
          <w:pgMar w:left="1000" w:top="1212" w:right="100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26035</wp:posOffset>
                </wp:positionV>
                <wp:extent cx="650938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05pt" to="512.25pt,2.05pt" o:allowincell="f" strokecolor="#000000" strokeweight="1.26pt"/>
            </w:pict>
          </mc:Fallback>
        </mc:AlternateContent>
      </w:r>
    </w:p>
    <w:p>
      <w:pPr>
        <w:sectPr>
          <w:pgSz w:w="12240" w:h="15840" w:orient="portrait"/>
          <w:cols w:equalWidth="0" w:num="1">
            <w:col w:w="10240"/>
          </w:cols>
          <w:pgMar w:left="1000" w:top="1212" w:right="1000" w:bottom="1440" w:gutter="0" w:footer="0" w:header="0"/>
          <w:type w:val="continuous"/>
        </w:sectPr>
      </w:pPr>
    </w:p>
    <w:bookmarkStart w:id="38" w:name="page39"/>
    <w:bookmarkEnd w:id="38"/>
    <w:p>
      <w:pPr>
        <w:jc w:val="both"/>
        <w:spacing w:after="0"/>
        <w:rPr>
          <w:sz w:val="20"/>
          <w:szCs w:val="20"/>
          <w:color w:val="auto"/>
        </w:rPr>
      </w:pPr>
      <w:r>
        <w:rPr>
          <w:rFonts w:ascii="Times New Roman" w:cs="Times New Roman" w:eastAsia="Times New Roman" w:hAnsi="Times New Roman"/>
          <w:sz w:val="14"/>
          <w:szCs w:val="14"/>
          <w:color w:val="auto"/>
        </w:rPr>
        <w:t>Under the agreements governing our indebtedness, we are also subject to certain financial covenants, including maintaining minimum levels of Adjusted EBITDA, minimum liquidity, maximum capital expenditure levels and a minimum fixed charge coverage ratio.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We have identified material weaknesses in our internal control over financial reporting. These material weaknesses could continue to adversely affect our ability to report our results of operations and financial condition accurately and in a timely manner.</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2"/>
          <w:szCs w:val="12"/>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the generally accepted accounting principles generally accepted in the United States of America (“</w:t>
      </w:r>
      <w:r>
        <w:rPr>
          <w:rFonts w:ascii="Times New Roman" w:cs="Times New Roman" w:eastAsia="Times New Roman" w:hAnsi="Times New Roman"/>
          <w:sz w:val="12"/>
          <w:szCs w:val="12"/>
          <w:b w:val="1"/>
          <w:bCs w:val="1"/>
          <w:color w:val="auto"/>
        </w:rPr>
        <w:t>U.S. GAAP</w:t>
      </w:r>
      <w:r>
        <w:rPr>
          <w:rFonts w:ascii="Times New Roman" w:cs="Times New Roman" w:eastAsia="Times New Roman" w:hAnsi="Times New Roman"/>
          <w:sz w:val="12"/>
          <w:szCs w:val="12"/>
          <w:color w:val="auto"/>
        </w:rPr>
        <w:t>”)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0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As described elsewhere in this Annual Report, our management identified material weaknesses in our internal control over financial reporting relating to (i) an insufficient number of accounting and financial reporting resources with 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 As a result of these material weaknesses, our management concluded that our internal control over financial reporting was not effective as of December 31, 2022.</w:t>
      </w:r>
    </w:p>
    <w:p>
      <w:pPr>
        <w:spacing w:after="0" w:line="1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2"/>
          <w:szCs w:val="12"/>
          <w:color w:val="auto"/>
        </w:rPr>
        <w:t>We are in the process of developing a plan to remediate these material weaknesses. In 2021, we implemented an enterprise resource planning system and hired a new Chief Financial Officer. In 2022, we began to implement a comprehensive Sarbanes-Oxley Act compliance program, and we will continue to identify additional appropriate remediation measures. However, the material weaknesses will not be considered remediated until the remediation plan has been fully implemented, the applicable controls are fully operational for a sufficient period of time, and we have concluded, through testing, that the newly implemented and enhanced controls are operating effectively. At this time, we cannot predict the success of such efforts or the outcome of future assessments of the remediation efforts. Our efforts may not remediate these material weaknesses in internal controls over financial reporting,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Nasdaq, or to other regulatory investigations and civil or criminal sanctions.</w:t>
      </w:r>
    </w:p>
    <w:p>
      <w:pPr>
        <w:spacing w:after="0" w:line="27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As a public company, we are required pursuant to Section 404(a) of the Sarbanes-Oxley Act to furnish a report by management on, among other things, the effectiveness of our internal control over financial reporting for each annual report on Form 10- K to be filed with the SEC. This assessment will need to include disclosure of any material weaknesses identified by our management in internal control over financial reporting. If in the future we are no longer classified under the definition of an “emerging growth company,”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wp:posOffset>
                </wp:positionV>
                <wp:extent cx="650938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85pt" to="512.25pt,0.85pt" o:allowincell="f" strokecolor="#000000" strokeweight="1.2599pt"/>
            </w:pict>
          </mc:Fallback>
        </mc:AlternateContent>
      </w:r>
    </w:p>
    <w:p>
      <w:pPr>
        <w:sectPr>
          <w:pgSz w:w="12240" w:h="15840" w:orient="portrait"/>
          <w:cols w:equalWidth="0" w:num="1">
            <w:col w:w="10240"/>
          </w:cols>
          <w:pgMar w:left="1000" w:top="1210" w:right="100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i w:val="1"/>
          <w:iCs w:val="1"/>
          <w:color w:val="auto"/>
        </w:rPr>
        <w:t>There can be no assurance that we will be able to comply with the continued listing standards of Nasdaq.</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Our common stock and Public Warrants are currently listed on the Nasdaq Global Market and the Nasdaq Capital Market, respectively. There can be no assurance that we will be able to comply with the continued listing standards of Nasdaq. If Nasdaq delists our common stock from trading on its exchange for failure to meet the listing standards, our stockholders could face significant material adverse consequences including:</w:t>
      </w:r>
    </w:p>
    <w:p>
      <w:pPr>
        <w:spacing w:after="0" w:line="128" w:lineRule="exact"/>
        <w:rPr>
          <w:sz w:val="20"/>
          <w:szCs w:val="20"/>
          <w:color w:val="auto"/>
        </w:rPr>
      </w:pPr>
    </w:p>
    <w:p>
      <w:pPr>
        <w:ind w:left="480" w:hanging="237"/>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availability of market quotations for our securities;</w:t>
      </w:r>
    </w:p>
    <w:p>
      <w:pPr>
        <w:spacing w:after="0" w:line="15" w:lineRule="exact"/>
        <w:rPr>
          <w:rFonts w:ascii="Times New Roman" w:cs="Times New Roman" w:eastAsia="Times New Roman" w:hAnsi="Times New Roman"/>
          <w:sz w:val="14"/>
          <w:szCs w:val="14"/>
          <w:color w:val="auto"/>
        </w:rPr>
      </w:pPr>
    </w:p>
    <w:p>
      <w:pPr>
        <w:ind w:left="480" w:hanging="237"/>
        <w:spacing w:after="0" w:line="232" w:lineRule="auto"/>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liquidity for our securities;</w:t>
      </w:r>
    </w:p>
    <w:p>
      <w:pPr>
        <w:ind w:left="480" w:hanging="237"/>
        <w:spacing w:after="0" w:line="233" w:lineRule="auto"/>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determination that our common stock is a “penny stock,” which would require brokers trading in such securities to adhere to more stringent rules, could adversely impact the value of our securities and/or possibly result in a reduced level of trading activity in the secondary trading market for our securities;</w:t>
      </w:r>
    </w:p>
    <w:p>
      <w:pPr>
        <w:ind w:left="480" w:hanging="237"/>
        <w:spacing w:after="0" w:line="232" w:lineRule="auto"/>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amount of news and analyst coverage; and</w:t>
      </w:r>
    </w:p>
    <w:p>
      <w:pPr>
        <w:ind w:left="480" w:hanging="237"/>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decreased ability to issue additional securities or obtain additional financing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resales of our outstanding securities may cause the market price of our securities to drop significantly, even if our business is doing well.</w:t>
      </w:r>
    </w:p>
    <w:p>
      <w:pPr>
        <w:spacing w:after="0" w:line="14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We have filed registration statements registering the resale of up to 55,298,545 shares that may be sold and/or issued into the public markets by certain securityholders. The shares being registered for resale into the public markets represent a substantial majority of our outstanding common stock as of December 31, 2022. The securityholders selling pursuant to the registration statements will determine the timing, pricing and rate at which they sell such shares into the public market and such sales could have a significant negative impact on the trading price of our common stock. Certain of the investors/lenders who have resale rights under such registration statements may have an incentive to sell because they purchased shares and/or warrants at prices below the Chardan IPO offering price. As such, while sales by the securityholders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securityholders selling pursuant to such registration statements, the sale of shares by such securityholders, or the perception in the market that the securityholders of a large number of shares intend to sell shares, may increase the volatility of the market price of our common stock, may prevent the trading price of our securities from exceeding the Chardan IPO offering price and may cause the trading prices of our securities to experience a further decline.</w:t>
      </w:r>
    </w:p>
    <w:p>
      <w:pPr>
        <w:spacing w:after="0" w:line="13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Further, we have registered 21,512,027 shares of common stock to be issued and sold to CCM LLC in connection with the ChEF Equity Facility. The 21,512,027 shares that may be resold and/or issued into the public markets pursuant to the ChEF Equity Facility represent approximately 50% of the shares of our common stock outstanding as of December 31, 2022. Any sales of such shares into the public market could have a significant negative impact on the trading price of our common stock. This impact may be heightened by the fact that sales to CCM LLC will generally be at prices below the then current trading price of our common stock. If the trading price of our common stock does not recover or experiences a further decline, sales of shares of common stock to CCM LLC pursuant to the Purchase Agreement may be a less attractive source of capital and/or may not allow us to raise capital at rates that would be possible if the trading price of our common stock were higher.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reports about us, or publish negative reports, our stock price and trading volume could decline.</w:t>
      </w:r>
    </w:p>
    <w:p>
      <w:pPr>
        <w:spacing w:after="0" w:line="1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wp:posOffset>
                </wp:positionV>
                <wp:extent cx="650938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85pt" to="512.25pt,0.85pt" o:allowincell="f" strokecolor="#000000" strokeweight="1.26pt"/>
            </w:pict>
          </mc:Fallback>
        </mc:AlternateContent>
      </w:r>
    </w:p>
    <w:p>
      <w:pPr>
        <w:sectPr>
          <w:pgSz w:w="12240" w:h="15840" w:orient="portrait"/>
          <w:cols w:equalWidth="0" w:num="1">
            <w:col w:w="10240"/>
          </w:cols>
          <w:pgMar w:left="1000" w:top="1212" w:right="1000" w:bottom="1440" w:gutter="0" w:footer="0" w:header="0"/>
        </w:sectPr>
      </w:pPr>
    </w:p>
    <w:bookmarkStart w:id="40" w:name="page41"/>
    <w:bookmarkEnd w:id="40"/>
    <w:p>
      <w:pPr>
        <w:jc w:val="both"/>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If we do not meet the expectations of investors, stockholders or securities analysts, the market price of our securities may decline. In addition, fluctuations in the price of our securities could contribute to the loss of all or part of your investment.</w:t>
      </w:r>
    </w:p>
    <w:p>
      <w:pPr>
        <w:spacing w:after="0" w:line="1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depends on many factors, including those described in this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many of which are beyond our control and may not be related to our operating performance. These fluctuations could cause you to lose all or part of your investment in our common stock.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Factors affecting the trading price of our securities may include:</w:t>
      </w:r>
    </w:p>
    <w:p>
      <w:pPr>
        <w:spacing w:after="0" w:line="152" w:lineRule="exact"/>
        <w:rPr>
          <w:sz w:val="20"/>
          <w:szCs w:val="20"/>
          <w:color w:val="auto"/>
        </w:rPr>
      </w:pPr>
    </w:p>
    <w:p>
      <w:pPr>
        <w:ind w:left="480" w:hanging="237"/>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quarterly financial results or the quarterly financial results of companies perceived to be similar to ours;</w:t>
      </w:r>
    </w:p>
    <w:p>
      <w:pPr>
        <w:spacing w:after="0" w:line="151"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market’s expectations about our operating results;</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other public announcements and filings with the SEC;</w:t>
      </w:r>
    </w:p>
    <w:p>
      <w:pPr>
        <w:spacing w:after="0" w:line="151"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developments in our business, competitors’ businesses or the competitive landscape generally;</w:t>
      </w:r>
    </w:p>
    <w:p>
      <w:pPr>
        <w:spacing w:after="0" w:line="151"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innovations or new products developed by us or our competitors;</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supply or distribution delays or shortages;</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changes to our relationship with any manufacturers, suppliers, licensors, future collaborators, or other strategic partners;</w:t>
      </w:r>
    </w:p>
    <w:p>
      <w:pPr>
        <w:spacing w:after="0" w:line="151"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results failing to meet the expectation of securities analysts or investors in a particular period;</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and recommendations by securities analysts concerning us or the market in general;</w:t>
      </w:r>
    </w:p>
    <w:p>
      <w:pPr>
        <w:spacing w:after="0" w:line="151"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stock price performance of other companies that investors deem comparable to ours;</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affecting our business;</w:t>
      </w:r>
    </w:p>
    <w:p>
      <w:pPr>
        <w:spacing w:after="0" w:line="151"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of, or involvement in, litigation involving us;</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such as future issuances of securities or the incurrence of additional debt;</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our common stock available for public sale;</w:t>
      </w:r>
    </w:p>
    <w:p>
      <w:pPr>
        <w:spacing w:after="0" w:line="151"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major change in our board of directors or management;</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substantial amounts of our common stock by our directors, officers or significant stockholders or the perception that such sales could occur; and</w:t>
      </w:r>
    </w:p>
    <w:p>
      <w:pPr>
        <w:spacing w:after="0" w:line="151" w:lineRule="exact"/>
        <w:rPr>
          <w:rFonts w:ascii="Times New Roman" w:cs="Times New Roman" w:eastAsia="Times New Roman" w:hAnsi="Times New Roman"/>
          <w:sz w:val="14"/>
          <w:szCs w:val="14"/>
          <w:color w:val="auto"/>
        </w:rPr>
      </w:pPr>
    </w:p>
    <w:p>
      <w:pPr>
        <w:ind w:left="480" w:hanging="237"/>
        <w:spacing w:after="0" w:line="263" w:lineRule="auto"/>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political conditions such as recessions, interest rates, “trade wars,” pandemics (such as COVID-19) and acts of war or terrorism (including the Russia-Ukraine conflict).</w:t>
      </w:r>
    </w:p>
    <w:p>
      <w:pPr>
        <w:spacing w:after="0" w:line="1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the impact of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spacing w:after="0" w:line="1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wp:posOffset>
                </wp:positionV>
                <wp:extent cx="650938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85pt" to="512.25pt,0.85pt" o:allowincell="f" strokecolor="#000000" strokeweight="1.26pt"/>
            </w:pict>
          </mc:Fallback>
        </mc:AlternateContent>
      </w:r>
    </w:p>
    <w:p>
      <w:pPr>
        <w:sectPr>
          <w:pgSz w:w="12240" w:h="15840" w:orient="portrait"/>
          <w:cols w:equalWidth="0" w:num="1">
            <w:col w:w="10240"/>
          </w:cols>
          <w:pgMar w:left="1000" w:top="1212" w:right="100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i w:val="1"/>
          <w:iCs w:val="1"/>
          <w:color w:val="auto"/>
        </w:rPr>
        <w:t>An active trading market for our securities may not be available on a consistent basis to provide stockholders with adequate liquidity.</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The exercise of outstanding warrants to acquire our common stock would increase the number of shares eligible for future resale in the public market and result in dilution to our stockholders.</w:t>
      </w:r>
    </w:p>
    <w:p>
      <w:pPr>
        <w:spacing w:after="0" w:line="1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exercise of outstanding warrants to acquire our common stock will increase the number of shares eligible for future resale in the public market and result in dilution to our stockholders. As of March 15, 2023, there are currently (i) 9,487,500 shares of common stock issuable upon the exercise of outstanding public warrants at an exercise price of $11.50 per share (the “Public Warrants”); (ii) 4,627,858 shares of common stock issuable upon the exercise of outstanding private warrants at an exercise price of $11.50 per share (the “Private Warrants”); and (iii) 2,593,056 shares of common stock issuable upon exercise of outstanding Penny Warrants at an exercise price of $0.01 per share. The $10 Warrants have been exercised in full and are no longer outstanding.</w:t>
      </w:r>
    </w:p>
    <w:p>
      <w:pPr>
        <w:spacing w:after="0" w:line="1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In addition, the Penny Warrants have price-based anti-dilution protection against subsequent equity sales or distributions at below $10.00 per share of common stock, subject to exclusions including for issuances upon conversion exercise or exchange of securities outstanding as of October 7, 2022, the closing date of the Business Combination, issuances pursuant to agreements in effect as of the closing date of the Business Combination, issuances pursuant to employee benefit plans and similar arrangements, issuances in joint ventures, strategic arrangements or other non-financing type transactions and issuances pursuant to any public equity offerings. Depending on the nature and price of any equity issuances by us, the number of shares issuable upon the exercise of such Penny Warrants could be increased and the exercise price of the Penny Warrants could be adjusted down. Under the terms of the Penny Warrants, no adjustment will be made in connection with any sale of shares of up to $150.0 million in gross proceeds under the Purchase Agreement (or any replacement thereof) if the sales price is higher than $5.00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18" w:lineRule="exact"/>
        <w:rPr>
          <w:sz w:val="20"/>
          <w:szCs w:val="20"/>
          <w:color w:val="auto"/>
        </w:rPr>
      </w:pPr>
    </w:p>
    <w:p>
      <w:pPr>
        <w:ind w:left="480" w:hanging="237"/>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engage target customers and successfully convert these customers into meaningful orders in the future;</w:t>
      </w:r>
    </w:p>
    <w:p>
      <w:pPr>
        <w:spacing w:after="0" w:line="151"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two suppliers for LFP cells and a single supplier for the manufacture of our battery management system;</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of the potential markets for our batteries and its ability to serve those markets;</w:t>
      </w:r>
    </w:p>
    <w:p>
      <w:pPr>
        <w:spacing w:after="0" w:line="151"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 our attempts to develop and produce solid state battery cells;</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demand for any products, which may vary significantly;</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accounting pronouncements or changes in our accounting policies;</w:t>
      </w:r>
    </w:p>
    <w:p>
      <w:pPr>
        <w:spacing w:after="0" w:line="151"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macroeconomic conditions, both nationally and locally; and</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change in the competitive landscape of our industry, including consolidation among our competitors or partners.</w:t>
      </w:r>
    </w:p>
    <w:p>
      <w:pPr>
        <w:spacing w:after="0" w:line="1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its past results as an indication of our future performance.</w:t>
      </w:r>
    </w:p>
    <w:p>
      <w:pPr>
        <w:spacing w:after="0" w:line="1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17145</wp:posOffset>
                </wp:positionV>
                <wp:extent cx="650938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5pt" to="512.25pt,1.35pt" o:allowincell="f" strokecolor="#000000" strokeweight="1.32pt"/>
            </w:pict>
          </mc:Fallback>
        </mc:AlternateContent>
      </w:r>
    </w:p>
    <w:p>
      <w:pPr>
        <w:sectPr>
          <w:pgSz w:w="12240" w:h="15840" w:orient="portrait"/>
          <w:cols w:equalWidth="0" w:num="1">
            <w:col w:w="10240"/>
          </w:cols>
          <w:pgMar w:left="1000" w:top="1212" w:right="100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laws, regulations or rules, or a failure to comply with any laws, regulations or rules, may adversely affect our business, investments and results of operations.</w:t>
      </w:r>
    </w:p>
    <w:p>
      <w:pPr>
        <w:spacing w:after="0" w:line="15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2"/>
          <w:szCs w:val="12"/>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Our Articles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1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Our Articles of Incorporation provide that, unless we consent in writing to the selection of an alternative forum, to the fullest extent permitted by applicable law the Second Judicial District Court of Washoe County, Nevada is the sole and exclusive forum for any or all actions, suits or proceedings, whether civil, administrative or investigative or that asserts any claim or counterclaim: (a) brought in our name or right or on our behalf; (b) asserting a claim for breach of any fiduciary duty owed by any of our directors, officers, employees or agents to us or our stockholders; (c) arising or asserting a claim arising pursuant to any provision of the Nevada Revised Statutes (the “</w:t>
      </w:r>
      <w:r>
        <w:rPr>
          <w:rFonts w:ascii="Times New Roman" w:cs="Times New Roman" w:eastAsia="Times New Roman" w:hAnsi="Times New Roman"/>
          <w:sz w:val="14"/>
          <w:szCs w:val="14"/>
          <w:b w:val="1"/>
          <w:bCs w:val="1"/>
          <w:color w:val="auto"/>
        </w:rPr>
        <w:t>NRS</w:t>
      </w:r>
      <w:r>
        <w:rPr>
          <w:rFonts w:ascii="Times New Roman" w:cs="Times New Roman" w:eastAsia="Times New Roman" w:hAnsi="Times New Roman"/>
          <w:sz w:val="14"/>
          <w:szCs w:val="14"/>
          <w:color w:val="auto"/>
        </w:rPr>
        <w:t xml:space="preserve"> ”) Chapters 78 or 92A or any provision of our Articles of Incorporation or our Bylaws; (d) to interpret, apply, enforce or determine the validity of our Articles of Incorporation or our Bylaws; or (e)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1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Our Articles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Articles of Incorporation could discourage another company from acquiring us and may prevent attempts by our stockholders to replace or remove our management.</w:t>
      </w:r>
    </w:p>
    <w:p>
      <w:pPr>
        <w:spacing w:after="0" w:line="1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Provisions in our Articles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132" w:lineRule="exact"/>
        <w:rPr>
          <w:sz w:val="20"/>
          <w:szCs w:val="20"/>
          <w:color w:val="auto"/>
        </w:rPr>
      </w:pPr>
    </w:p>
    <w:p>
      <w:pPr>
        <w:ind w:left="480" w:hanging="237"/>
        <w:spacing w:after="0" w:line="262" w:lineRule="auto"/>
        <w:tabs>
          <w:tab w:leader="none" w:pos="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will be divided into three classes, with each class serving staggered three-year terms, which may delay the ability of stockholders to change the membership of a majority of our board of directors;</w:t>
      </w:r>
    </w:p>
    <w:p>
      <w:pPr>
        <w:spacing w:after="0" w:line="117" w:lineRule="exact"/>
        <w:rPr>
          <w:rFonts w:ascii="Times New Roman" w:cs="Times New Roman" w:eastAsia="Times New Roman" w:hAnsi="Times New Roman"/>
          <w:sz w:val="14"/>
          <w:szCs w:val="14"/>
          <w:color w:val="auto"/>
        </w:rPr>
      </w:pPr>
    </w:p>
    <w:p>
      <w:pPr>
        <w:ind w:left="480" w:hanging="237"/>
        <w:spacing w:after="0" w:line="262" w:lineRule="auto"/>
        <w:tabs>
          <w:tab w:leader="none" w:pos="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has the exclusive right to expand the size of its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17"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stockholders may not act by written consent, which forces stockholder action to be taken at an annual or special meeting of stockholders;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17145</wp:posOffset>
                </wp:positionV>
                <wp:extent cx="650938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5pt" to="512.25pt,1.35pt" o:allowincell="f" strokecolor="#000000" strokeweight="1.26pt"/>
            </w:pict>
          </mc:Fallback>
        </mc:AlternateContent>
      </w:r>
    </w:p>
    <w:p>
      <w:pPr>
        <w:sectPr>
          <w:pgSz w:w="12240" w:h="15840" w:orient="portrait"/>
          <w:cols w:equalWidth="0" w:num="1">
            <w:col w:w="10240"/>
          </w:cols>
          <w:pgMar w:left="1000" w:top="1212" w:right="1000" w:bottom="1440" w:gutter="0" w:footer="0" w:header="0"/>
        </w:sectPr>
      </w:pPr>
    </w:p>
    <w:bookmarkStart w:id="43" w:name="page44"/>
    <w:bookmarkEnd w:id="43"/>
    <w:p>
      <w:pPr>
        <w:ind w:left="480" w:hanging="237"/>
        <w:spacing w:after="0" w:line="262" w:lineRule="auto"/>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special meeting of stockholders may be called only by a majority of our board of directors, which may delay the ability of our stockholders to force consideration of a proposal or to take action, including the removal of directors;</w:t>
      </w:r>
    </w:p>
    <w:p>
      <w:pPr>
        <w:spacing w:after="0" w:line="117"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Articles of Incorporation prohibits cumulative voting in the election of directors, which limits the ability of minority stockholders to elect director candidates;</w:t>
      </w:r>
    </w:p>
    <w:p>
      <w:pPr>
        <w:spacing w:after="0" w:line="151"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may alter certain provisions of our Bylaws without obtaining stockholder approval;</w:t>
      </w:r>
    </w:p>
    <w:p>
      <w:pPr>
        <w:spacing w:after="0" w:line="152" w:lineRule="exact"/>
        <w:rPr>
          <w:rFonts w:ascii="Times New Roman" w:cs="Times New Roman" w:eastAsia="Times New Roman" w:hAnsi="Times New Roman"/>
          <w:sz w:val="14"/>
          <w:szCs w:val="14"/>
          <w:color w:val="auto"/>
        </w:rPr>
      </w:pPr>
    </w:p>
    <w:p>
      <w:pPr>
        <w:jc w:val="both"/>
        <w:ind w:left="480" w:hanging="237"/>
        <w:spacing w:after="0" w:line="248" w:lineRule="auto"/>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of the holders of at least sixty-six and two-thirds percent (662»3%) of our common shares entitled to vote at an election of our board of directors is required to adopt, amend, alter or repeal our Bylaws or amend, alter, change or repeal or adopt any provision of our Articles of Incorporation inconsistent with the provisions of our Articles of Incorporation regarding the election and removal of directors;</w:t>
      </w:r>
    </w:p>
    <w:p>
      <w:pPr>
        <w:spacing w:after="0" w:line="126" w:lineRule="exact"/>
        <w:rPr>
          <w:rFonts w:ascii="Times New Roman" w:cs="Times New Roman" w:eastAsia="Times New Roman" w:hAnsi="Times New Roman"/>
          <w:sz w:val="14"/>
          <w:szCs w:val="14"/>
          <w:color w:val="auto"/>
        </w:rPr>
      </w:pPr>
    </w:p>
    <w:p>
      <w:pPr>
        <w:jc w:val="both"/>
        <w:ind w:left="480" w:hanging="237"/>
        <w:spacing w:after="0" w:line="248" w:lineRule="auto"/>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p>
      <w:pPr>
        <w:spacing w:after="0" w:line="126" w:lineRule="exact"/>
        <w:rPr>
          <w:rFonts w:ascii="Times New Roman" w:cs="Times New Roman" w:eastAsia="Times New Roman" w:hAnsi="Times New Roman"/>
          <w:sz w:val="14"/>
          <w:szCs w:val="14"/>
          <w:color w:val="auto"/>
        </w:rPr>
      </w:pPr>
    </w:p>
    <w:p>
      <w:pPr>
        <w:ind w:left="480" w:hanging="237"/>
        <w:spacing w:after="0" w:line="263" w:lineRule="auto"/>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1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1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118" w:lineRule="exact"/>
        <w:rPr>
          <w:sz w:val="20"/>
          <w:szCs w:val="20"/>
          <w:color w:val="auto"/>
        </w:rPr>
      </w:pPr>
    </w:p>
    <w:p>
      <w:pPr>
        <w:ind w:left="480" w:hanging="237"/>
        <w:spacing w:after="0"/>
        <w:tabs>
          <w:tab w:leader="none" w:pos="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have an independent registered public accounting firm audit our internal control over financial reporting under Section 404 of the Sarbanes-Oxley Act;</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 in our periodic reports and annual report on Form 10-K; and</w:t>
      </w:r>
    </w:p>
    <w:p>
      <w:pPr>
        <w:spacing w:after="0" w:line="151" w:lineRule="exact"/>
        <w:rPr>
          <w:rFonts w:ascii="Times New Roman" w:cs="Times New Roman" w:eastAsia="Times New Roman" w:hAnsi="Times New Roman"/>
          <w:sz w:val="14"/>
          <w:szCs w:val="14"/>
          <w:color w:val="auto"/>
        </w:rPr>
      </w:pPr>
    </w:p>
    <w:p>
      <w:pPr>
        <w:ind w:left="480" w:hanging="237"/>
        <w:spacing w:after="0" w:line="262" w:lineRule="auto"/>
        <w:tabs>
          <w:tab w:leader="none" w:pos="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non-binding advisory votes on executive compensation and stockholder approval of any golden parachute payments not previously approved.</w:t>
      </w:r>
    </w:p>
    <w:p>
      <w:pPr>
        <w:spacing w:after="0" w:line="11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As a result, the stockholders may not have access to certain information that they may deem important. Our status as an emerging growth company will end as soon as any of the following takes place:</w:t>
      </w:r>
    </w:p>
    <w:p>
      <w:pPr>
        <w:spacing w:after="0" w:line="118" w:lineRule="exact"/>
        <w:rPr>
          <w:sz w:val="20"/>
          <w:szCs w:val="20"/>
          <w:color w:val="auto"/>
        </w:rPr>
      </w:pPr>
    </w:p>
    <w:p>
      <w:pPr>
        <w:ind w:left="480" w:hanging="237"/>
        <w:spacing w:after="0"/>
        <w:tabs>
          <w:tab w:leader="none" w:pos="4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last day of the fiscal year in which we have at least $1.235 billion in annual revenue;</w:t>
      </w:r>
    </w:p>
    <w:p>
      <w:pPr>
        <w:spacing w:after="0" w:line="151"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we qualify as a “large accelerated filer,” with at least $700.0 million of equity securities held by non-affiliates;</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we have issued, in any three-year period, more than $1.0 billion in non-convertible debt securities; or</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last day of the fiscal year ending after the fifth anniversary of our IPO.</w:t>
      </w:r>
    </w:p>
    <w:p>
      <w:pPr>
        <w:spacing w:after="0" w:line="1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spacing w:after="0" w:line="1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12700</wp:posOffset>
                </wp:positionV>
                <wp:extent cx="650938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pt" to="512.25pt,1pt" o:allowincell="f" strokecolor="#000000" strokeweight="1.26pt"/>
            </w:pict>
          </mc:Fallback>
        </mc:AlternateContent>
      </w:r>
    </w:p>
    <w:p>
      <w:pPr>
        <w:sectPr>
          <w:pgSz w:w="12240" w:h="15840" w:orient="portrait"/>
          <w:cols w:equalWidth="0" w:num="1">
            <w:col w:w="10240"/>
          </w:cols>
          <w:pgMar w:left="1000" w:top="1210" w:right="1000" w:bottom="1440" w:gutter="0" w:footer="0" w:header="0"/>
        </w:sectPr>
      </w:pPr>
    </w:p>
    <w:bookmarkStart w:id="44" w:name="page45"/>
    <w:bookmarkEnd w:id="44"/>
    <w:p>
      <w:pPr>
        <w:jc w:val="both"/>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spacing w:after="0" w:line="1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As a public company, we will be required to comply with the requirements of the Sarbanes-Oxley Act, including, among other things, that we maintain effective disclosure controls and procedures and internal control over financial reporting. See “</w:t>
      </w:r>
      <w:r>
        <w:rPr>
          <w:rFonts w:ascii="Times New Roman" w:cs="Times New Roman" w:eastAsia="Times New Roman" w:hAnsi="Times New Roman"/>
          <w:sz w:val="14"/>
          <w:szCs w:val="14"/>
          <w:i w:val="1"/>
          <w:iCs w:val="1"/>
          <w:color w:val="auto"/>
        </w:rPr>
        <w:t>We have identified material weaknesses in our internal control over financial reporting. These material weaknesses could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continue to adversely affect our ability to report our results of operations and financial condition accurately and in a timely manner</w:t>
      </w:r>
      <w:r>
        <w:rPr>
          <w:rFonts w:ascii="Times New Roman" w:cs="Times New Roman" w:eastAsia="Times New Roman" w:hAnsi="Times New Roman"/>
          <w:sz w:val="14"/>
          <w:szCs w:val="14"/>
          <w:color w:val="auto"/>
        </w:rPr>
        <w:t>.” We are continuing to develop and refine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3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color w:val="auto"/>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spacing w:after="0" w:line="2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117" w:lineRule="exact"/>
        <w:rPr>
          <w:sz w:val="20"/>
          <w:szCs w:val="20"/>
          <w:color w:val="auto"/>
        </w:rPr>
      </w:pPr>
    </w:p>
    <w:p>
      <w:pPr>
        <w:ind w:left="480" w:hanging="237"/>
        <w:spacing w:after="0"/>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valuation of our deferred tax assets and liabilities;</w:t>
      </w:r>
    </w:p>
    <w:p>
      <w:pPr>
        <w:spacing w:after="0" w:line="16" w:lineRule="exact"/>
        <w:rPr>
          <w:rFonts w:ascii="Times New Roman" w:cs="Times New Roman" w:eastAsia="Times New Roman" w:hAnsi="Times New Roman"/>
          <w:sz w:val="14"/>
          <w:szCs w:val="14"/>
          <w:color w:val="auto"/>
        </w:rPr>
      </w:pPr>
    </w:p>
    <w:p>
      <w:pPr>
        <w:ind w:left="480" w:hanging="237"/>
        <w:spacing w:after="0" w:line="232" w:lineRule="auto"/>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timing and amount of the release of any tax valuation allowances;</w:t>
      </w:r>
    </w:p>
    <w:p>
      <w:pPr>
        <w:ind w:left="480" w:hanging="237"/>
        <w:spacing w:after="0" w:line="232" w:lineRule="auto"/>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effects of stock-based compensation;</w:t>
      </w:r>
    </w:p>
    <w:p>
      <w:pPr>
        <w:ind w:left="480" w:hanging="237"/>
        <w:spacing w:after="0" w:line="234" w:lineRule="auto"/>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intercompany restructurings;</w:t>
      </w:r>
    </w:p>
    <w:p>
      <w:pPr>
        <w:ind w:left="480" w:hanging="237"/>
        <w:spacing w:after="0" w:line="232" w:lineRule="auto"/>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regulations or interpretations thereof; or</w:t>
      </w:r>
    </w:p>
    <w:p>
      <w:pPr>
        <w:ind w:left="480" w:hanging="237"/>
        <w:spacing w:after="0" w:line="236" w:lineRule="auto"/>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than anticipated future earnings in jurisdictions where we have lower statutory tax rates and higher than anticipated future earnings in jurisdictions where we have higher statutory tax rates.</w:t>
      </w:r>
    </w:p>
    <w:p>
      <w:pPr>
        <w:spacing w:after="0" w:line="1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headquarters is located at 1190 Trademark Drive #108, Reno, Nevada 89521 in a 99,000 square foot manufacturing facility. The lease for this building was entered into on March 1, 2021 and expires on April 30, 2026. The current rent is $58,009 payable monthly.</w:t>
      </w:r>
    </w:p>
    <w:p>
      <w:pPr>
        <w:spacing w:after="0" w:line="1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On February 8, 2022, we entered into a 124-month lease for an additional 390,240 square foot warehouse that is under construction in Reno, Nevada. The rent under the lease will be $230,000 payable monthly upon substantial completion of construction as provided for in the lease.</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maintain a warehouse facility at 12815 Old Virginia Road in Reno, Nevada. This is a 59,500 square foot facility that we use to store and stage materials in preparation for production work. The lease for this space was entered into on December 1, 2021, and expires December 31, 2026; the current monthly rent is $40,222.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Research &amp; Development lab is a 9,600 square foot facility located in Sparks, Nevada. The lease for these premises was entered into on July 27, 2020 and expires on July 31, 2025.</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current monthly rent is $4,736.</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Our podcast studio is a 1,772 square foot facility located in Sparks, Nevada. The lease for this space was assumed by us pursuant to the Asset Purchase Agreement by and between the Company and Bourns Production on January 1, 2022, and expires September 30, 2023. The current monthly rent is $1,333 We do not own any real property.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13970</wp:posOffset>
                </wp:positionV>
                <wp:extent cx="650938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1pt" to="512.25pt,1.1pt" o:allowincell="f" strokecolor="#000000" strokeweight="1.32pt"/>
            </w:pict>
          </mc:Fallback>
        </mc:AlternateContent>
      </w:r>
    </w:p>
    <w:p>
      <w:pPr>
        <w:sectPr>
          <w:pgSz w:w="12240" w:h="15840" w:orient="portrait"/>
          <w:cols w:equalWidth="0" w:num="1">
            <w:col w:w="10240"/>
          </w:cols>
          <w:pgMar w:left="1000" w:top="1212" w:right="100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Our common stock is currently listed on the Nasdaq Global Market under the symbol “DFLI” and our Public Warrants are currently listed on the Nasdaq Capital Market under the symbol “DFLIW”. As of March 21, 2023, the closing price of our common stock and warrants was $4.71 and $0.2465, respectively. As of March 21, 2023, there were 105 holders of record of our common stock and 37 holders of record of our Public Warrants.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currently intend to retain all available funds and any future earnings to fund the growth and development of our business. We have never declared or paid any cash dividends on our common stock. We do not intend to pay cash dividends to our stockholders in the foreseeable future. Investors should not purchase our common stock with the expectation of receiving cash dividends.</w:t>
      </w:r>
    </w:p>
    <w:p>
      <w:pPr>
        <w:spacing w:after="0" w:line="1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1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October 7, 2022, we granted each of our non-employee directors (i.e. Jonathan Bellows, Perry Boyle, Karina Edmonds, Luisa Ingargiola, Brian Nelson, and Rick Parod) an award of 30,000 restricted stock units (“</w:t>
      </w:r>
      <w:r>
        <w:rPr>
          <w:rFonts w:ascii="Times New Roman" w:cs="Times New Roman" w:eastAsia="Times New Roman" w:hAnsi="Times New Roman"/>
          <w:sz w:val="14"/>
          <w:szCs w:val="14"/>
          <w:b w:val="1"/>
          <w:bCs w:val="1"/>
          <w:color w:val="auto"/>
        </w:rPr>
        <w:t>RSUs</w:t>
      </w:r>
      <w:r>
        <w:rPr>
          <w:rFonts w:ascii="Times New Roman" w:cs="Times New Roman" w:eastAsia="Times New Roman" w:hAnsi="Times New Roman"/>
          <w:sz w:val="14"/>
          <w:szCs w:val="14"/>
          <w:color w:val="auto"/>
        </w:rPr>
        <w:t>”) under the Dragonfly Energy Holdings Corp. 2022 Equity Incentive Plan. The RSUs are eligible to vest on the first anniversary of the grant date, subject to each director’s continued service on our board through the vesting date.</w:t>
      </w:r>
    </w:p>
    <w:p>
      <w:pPr>
        <w:spacing w:after="0" w:line="126"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2"/>
          <w:szCs w:val="12"/>
          <w:color w:val="auto"/>
        </w:rPr>
        <w:t>The foregoing transactions did not involve any underwriters, underwriting discounts or commissions, or any public offering. We believe these transactions were exempt from registration under the Securities Act in reliance on Section 4(a)(2) of the Securities Act (and Regulation D promulgated thereunder) as transactions by an issuer not involving any public offering.</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All certificates representing the securities issued in the transactions described above included appropriate legends setting forth that the securities had not been offered or sold pursuant to a registration statement and describing the applicable restrictions on transfer of the securities.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5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i w:val="1"/>
          <w:iCs w:val="1"/>
          <w:color w:val="auto"/>
        </w:rPr>
        <w:t>As a result of the completion of the Business Combination,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spacing w:after="0" w:line="13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i w:val="1"/>
          <w:iCs w:val="1"/>
          <w:color w:val="auto"/>
        </w:rPr>
        <w:t>All statements other than statements of historical fact included in this section regarding our financial position, business strategy and the plans and objectives of management for future operations, are forward- looking statements. When used in this section, words such as “anticipate,” “believe,” “estimate,” “expect,” “intend” and similar expressions, as they relate to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 looking statements as a result of certain factors detailed herein. All subsequent written or oral forward-looking statements attributable to us or persons acting on our behalf are qualified in their entirety by this paragraph.</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wp:posOffset>
                </wp:positionV>
                <wp:extent cx="650938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85pt" to="512.25pt,0.85pt" o:allowincell="f" strokecolor="#000000" strokeweight="1.2599pt"/>
            </w:pict>
          </mc:Fallback>
        </mc:AlternateContent>
      </w:r>
    </w:p>
    <w:p>
      <w:pPr>
        <w:sectPr>
          <w:pgSz w:w="12240" w:h="15840" w:orient="portrait"/>
          <w:cols w:equalWidth="0" w:num="1">
            <w:col w:w="10240"/>
          </w:cols>
          <w:pgMar w:left="1000" w:top="1208" w:right="1000" w:bottom="1440" w:gutter="0" w:footer="0" w:header="0"/>
        </w:sectPr>
      </w:pPr>
    </w:p>
    <w:bookmarkStart w:id="46" w:name="page47"/>
    <w:bookmarkEnd w:id="46"/>
    <w:p>
      <w:pPr>
        <w:jc w:val="both"/>
        <w:spacing w:after="0" w:line="241" w:lineRule="auto"/>
        <w:rPr>
          <w:sz w:val="20"/>
          <w:szCs w:val="20"/>
          <w:color w:val="auto"/>
        </w:rPr>
      </w:pPr>
      <w:r>
        <w:rPr>
          <w:rFonts w:ascii="Times New Roman" w:cs="Times New Roman" w:eastAsia="Times New Roman" w:hAnsi="Times New Roman"/>
          <w:sz w:val="14"/>
          <w:szCs w:val="14"/>
          <w:i w:val="1"/>
          <w:iCs w:val="1"/>
          <w:color w:val="auto"/>
        </w:rPr>
        <w:t>Some of the information contained in this discussion and analysis or set forth elsewhere, including information with respect to our plans and strategy for our business include forward-looking statements that involve risks, uncertainties and assumptions. You should read the sections titled “Cautionary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are a manufacturer of non-toxic deep cycle lithium-ion batteries that are designed to displace lead acid batteries in a number of different storage applications and end markets including RV, marine vessel, and solar and off-grid industries, with disruptive solid-state cell technology currently under development.</w:t>
      </w:r>
    </w:p>
    <w:p>
      <w:pPr>
        <w:spacing w:after="0" w:line="11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2"/>
          <w:szCs w:val="12"/>
          <w:color w:val="auto"/>
        </w:rPr>
        <w:t>Since 2020, we have sold over 226,000 batteries. For the years ended December 31, 2022 and 2021, we sold 96,034 and 74,652 batteries, respectively, and had $ 86.3 million and $78.0 million in net sales, respectively.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OEMs.</w:t>
      </w:r>
    </w:p>
    <w:p>
      <w:pPr>
        <w:spacing w:after="0" w:line="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Our increased total sales are a reflection of strong growth in OEM sales and Wakespeed products, partially offset by a decline in DTC sales.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addition to our conventional LFP batteries, we have been developing proprietary LFP solid-state cell technology and manufacturing processes. Our solid-state technology design allows for a much safer, more efficient cell that we believe will be a key differentiator in the energy storage market.</w:t>
      </w:r>
    </w:p>
    <w:p>
      <w:pPr>
        <w:spacing w:after="0" w:line="1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On October 7, 2022, or the Closing Date, we consummated the Business Combination. Pursuant to the Business Combination Agreement, Merger Sub merged with and into Legacy Dragonfly, with Legacy Dragonfly surviving the merger and becoming a wholly-owned direct subsidiary of Chardan. Thereafter, Merger Sub ceased to exist and Chardan was renamed Dragonfly Energy Holdings Corp. Legacy Dragonfly is deemed the accounting acquirer, which means that Legacy Dragonfly’s financial statements for previous periods will be disclosed in our future periodic reports filed with the SEC. Following the Business Combination, our business is the business of Legacy Dragonfly.</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Business Combination was accounted for as a reverse recapitalization. Under this method of accounting, Chardan was treated as the acquired company for financial statement reporting purposes.</w:t>
      </w:r>
    </w:p>
    <w:p>
      <w:pPr>
        <w:spacing w:after="0" w:line="1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have the ChEF Equity Facility. We have chosen to be conservative because of the performance of our common stock in February and March 2023. Much of this was due to the low public float, low institutional interest (since we are pre-lockup expiration), and low visibility of the Company in general. Moving forward, after the lockup expiration, we intend to market more heavily to institutions and expect the trading volume to increase and the stock price to stabilize. Under these conditions, we intend to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as the lock-up on shares expires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14605</wp:posOffset>
                </wp:positionV>
                <wp:extent cx="650938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15pt" to="512.25pt,1.15pt" o:allowincell="f" strokecolor="#000000" strokeweight="1.26pt"/>
            </w:pict>
          </mc:Fallback>
        </mc:AlternateContent>
      </w:r>
    </w:p>
    <w:p>
      <w:pPr>
        <w:sectPr>
          <w:pgSz w:w="12240" w:h="15840" w:orient="portrait"/>
          <w:cols w:equalWidth="0" w:num="1">
            <w:col w:w="10240"/>
          </w:cols>
          <w:pgMar w:left="1000" w:top="1214" w:right="1000" w:bottom="1440" w:gutter="0" w:footer="0" w:header="0"/>
        </w:sectPr>
      </w:pPr>
    </w:p>
    <w:bookmarkStart w:id="47" w:name="page48"/>
    <w:bookmarkEnd w:id="47"/>
    <w:p>
      <w:pPr>
        <w:jc w:val="both"/>
        <w:spacing w:after="0" w:line="237" w:lineRule="auto"/>
        <w:rPr>
          <w:sz w:val="20"/>
          <w:szCs w:val="20"/>
          <w:color w:val="auto"/>
        </w:rPr>
      </w:pPr>
      <w:r>
        <w:rPr>
          <w:rFonts w:ascii="Times New Roman" w:cs="Times New Roman" w:eastAsia="Times New Roman" w:hAnsi="Times New Roman"/>
          <w:sz w:val="14"/>
          <w:szCs w:val="14"/>
          <w:color w:val="auto"/>
        </w:rPr>
        <w:t>As of December 31, 2022, we had cash totaling $17.8 million. Our net loss for the year ended December 31, 2022 was $39.6 million and our net income for the year ended December 31, 2021 was $4.3 million. As a result of becoming a publicly traded company, we continue to need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Times New Roman" w:cs="Times New Roman" w:eastAsia="Times New Roman" w:hAnsi="Times New Roman"/>
          <w:sz w:val="14"/>
          <w:szCs w:val="14"/>
          <w:i w:val="1"/>
          <w:iCs w:val="1"/>
          <w:color w:val="auto"/>
        </w:rPr>
        <w:t>—Liquidity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Capital Resources</w:t>
      </w:r>
      <w:r>
        <w:rPr>
          <w:rFonts w:ascii="Times New Roman" w:cs="Times New Roman" w:eastAsia="Times New Roman" w:hAnsi="Times New Roman"/>
          <w:sz w:val="14"/>
          <w:szCs w:val="14"/>
          <w:color w:val="auto"/>
        </w:rPr>
        <w:t>” below we expect that we will need to raise additional funds, including through the use of the ChEF Equity Facility and the issuance of equity, equity-related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Factors Affecting Our Operating Results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financial position and results of operations depend to a significant extent on the following factors: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End Market Consumers</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demand for our products ultimately depends on demand from consumers in our current end markets. We generate sales through (1) DTC and (2) through OEMs, particularly in the RV market.</w:t>
      </w:r>
    </w:p>
    <w:p>
      <w:pPr>
        <w:spacing w:after="0" w:line="1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Demand from end market consumers is impacted by a number of factors, including travel restrictions, fuel costs and energy demands (including an increasing trend towards the use of green energy), as well as overall macro-economic conditions. Sales of our batteries have benefited from the increased adoption of the RV lifestyle, the demand for and inclusion of additional appliances and electronics in RVs, and the accelerating trend of solar power adoption among RV customers. However, in recent months rising fuel costs and other macro-economic conditions have caused a downward shift in decisions taken by end market consumers around spending.</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14605</wp:posOffset>
                </wp:positionV>
                <wp:extent cx="650938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15pt" to="512.25pt,1.15pt" o:allowincell="f" strokecolor="#000000" strokeweight="1.26pt"/>
            </w:pict>
          </mc:Fallback>
        </mc:AlternateContent>
      </w:r>
    </w:p>
    <w:p>
      <w:pPr>
        <w:sectPr>
          <w:pgSz w:w="12240" w:h="15840" w:orient="portrait"/>
          <w:cols w:equalWidth="0" w:num="1">
            <w:col w:w="10240"/>
          </w:cols>
          <w:pgMar w:left="1000" w:top="1210" w:right="1000" w:bottom="1440" w:gutter="0" w:footer="0" w:header="0"/>
        </w:sectPr>
      </w:pPr>
    </w:p>
    <w:bookmarkStart w:id="48" w:name="page49"/>
    <w:bookmarkEnd w:id="48"/>
    <w:p>
      <w:pPr>
        <w:jc w:val="both"/>
        <w:spacing w:after="0" w:line="238" w:lineRule="auto"/>
        <w:rPr>
          <w:sz w:val="20"/>
          <w:szCs w:val="20"/>
          <w:color w:val="auto"/>
        </w:rPr>
      </w:pPr>
      <w:r>
        <w:rPr>
          <w:rFonts w:ascii="Times New Roman" w:cs="Times New Roman" w:eastAsia="Times New Roman" w:hAnsi="Times New Roman"/>
          <w:sz w:val="14"/>
          <w:szCs w:val="14"/>
          <w:color w:val="auto"/>
        </w:rPr>
        <w:t>Our strategy includes plans to expand into new end markets that we have identified as opportunities for our LFP batteries, including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 -suited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Supply</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 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In connection with these stockpiling activities, we experienced a significant increase in prepaid inventory compared to prior periods as suppliers required upfront deposits in response to global supply chain disruptions.</w:t>
      </w:r>
    </w:p>
    <w:p>
      <w:pPr>
        <w:spacing w:after="0" w:line="10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non-binding Memorandum of Understanding with a lithium mining company located in Nevada for the supply of lithium, which we expect will enable us to further manage our cost of goods.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and Customer Mix</w:t>
      </w:r>
    </w:p>
    <w:p>
      <w:pPr>
        <w:spacing w:after="0" w:line="1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2"/>
          <w:szCs w:val="12"/>
          <w:color w:val="auto"/>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Production Capacity</w:t>
      </w:r>
    </w:p>
    <w:p>
      <w:pPr>
        <w:spacing w:after="0" w:line="1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All of our battery assembly currently takes place at our 99,000 square foot headquarters and manufacturing facility located in Reno, Nevada.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1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In addition, we have entered into a lease for an additional 390,240 square foot warehouse in Reno, Nevada, which is expected to be completed in early 2024. This facility, combined with our existing facility, will allow further scaling of our increasingly automated battery pack assembly capabilities, expand our warehousing space, and allow for deployment of our solid-state cell manufacturing.</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12700</wp:posOffset>
                </wp:positionV>
                <wp:extent cx="650938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pt" to="512.25pt,1pt" o:allowincell="f" strokecolor="#000000" strokeweight="1.2598pt"/>
            </w:pict>
          </mc:Fallback>
        </mc:AlternateContent>
      </w:r>
    </w:p>
    <w:p>
      <w:pPr>
        <w:sectPr>
          <w:pgSz w:w="12240" w:h="15840" w:orient="portrait"/>
          <w:cols w:equalWidth="0" w:num="1">
            <w:col w:w="10240"/>
          </w:cols>
          <w:pgMar w:left="1000" w:top="1210" w:right="100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Competition</w:t>
      </w:r>
    </w:p>
    <w:p>
      <w:pPr>
        <w:spacing w:after="0" w:line="1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sales is primarily generated from the sale of our LFP batteries to OEMs and consumers, as well as chargers and other accessories, either individually or bundled.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 of goods sold includes the cost of cells and other components of our LFP batteries, labor and overhead, logistics and freight costs, and depreciation of manufacturing equipment.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Gross profit, calculated as net sales less cost of goods sold, may vary between periods and is primarily affected by various factors including average selling prices, product costs, product mix and customer mix.</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4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Selling and marketing</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Selling and marketing costs include outbound freight, personnel- 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Total Other Income (Expense)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(expense) consists primarily of interest expense, the change in fair value of the warrant liability and amortization of debt issuance costs.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17780</wp:posOffset>
                </wp:positionV>
                <wp:extent cx="650938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4pt" to="512.25pt,1.4pt" o:allowincell="f" strokecolor="#000000" strokeweight="1.32pt"/>
            </w:pict>
          </mc:Fallback>
        </mc:AlternateContent>
      </w:r>
    </w:p>
    <w:p>
      <w:pPr>
        <w:sectPr>
          <w:pgSz w:w="12240" w:h="15840" w:orient="portrait"/>
          <w:cols w:equalWidth="0" w:num="1">
            <w:col w:w="10240"/>
          </w:cols>
          <w:pgMar w:left="1000" w:top="1212" w:right="100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Comparisons for the Years Ended December 31, 2022 and 2021</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following table sets forth our results of operations for the years ended December 31, 2022 and 2021. This data should be read together with our financial statements and related notes included elsewhere in this Annual Report, and is qualified in its entirety by reference to such financial statements and related notes.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3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w w:val="93"/>
              </w:rPr>
              <w:t>% Net Sales</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100" w:type="dxa"/>
            <w:vAlign w:val="bottom"/>
          </w:tcPr>
          <w:p>
            <w:pPr>
              <w:spacing w:after="0"/>
              <w:rPr>
                <w:sz w:val="14"/>
                <w:szCs w:val="14"/>
                <w:color w:val="auto"/>
              </w:rPr>
            </w:pPr>
          </w:p>
        </w:tc>
      </w:tr>
      <w:tr>
        <w:trPr>
          <w:trHeight w:val="142"/>
        </w:trPr>
        <w:tc>
          <w:tcPr>
            <w:tcW w:w="3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330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Sales</w:t>
            </w:r>
          </w:p>
        </w:tc>
        <w:tc>
          <w:tcPr>
            <w:tcW w:w="1440" w:type="dxa"/>
            <w:vAlign w:val="bottom"/>
            <w:gridSpan w:val="2"/>
            <w:shd w:val="clear" w:color="auto" w:fill="D1EEF5"/>
          </w:tcPr>
          <w:p>
            <w:pPr>
              <w:jc w:val="right"/>
              <w:ind w:right="718"/>
              <w:spacing w:after="0" w:line="157"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86,251</w:t>
            </w:r>
          </w:p>
        </w:tc>
        <w:tc>
          <w:tcPr>
            <w:tcW w:w="300" w:type="dxa"/>
            <w:vAlign w:val="bottom"/>
            <w:shd w:val="clear" w:color="auto" w:fill="D1EEF5"/>
          </w:tcPr>
          <w:p>
            <w:pPr>
              <w:spacing w:after="0"/>
              <w:rPr>
                <w:sz w:val="13"/>
                <w:szCs w:val="13"/>
                <w:color w:val="auto"/>
              </w:rPr>
            </w:pPr>
          </w:p>
        </w:tc>
        <w:tc>
          <w:tcPr>
            <w:tcW w:w="1020" w:type="dxa"/>
            <w:vAlign w:val="bottom"/>
            <w:shd w:val="clear" w:color="auto" w:fill="D1EEF5"/>
          </w:tcPr>
          <w:p>
            <w:pPr>
              <w:spacing w:after="0"/>
              <w:rPr>
                <w:sz w:val="13"/>
                <w:szCs w:val="13"/>
                <w:color w:val="auto"/>
              </w:rPr>
            </w:pPr>
          </w:p>
        </w:tc>
        <w:tc>
          <w:tcPr>
            <w:tcW w:w="32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w w:val="95"/>
              </w:rPr>
              <w:t>100.0</w:t>
            </w:r>
          </w:p>
        </w:tc>
        <w:tc>
          <w:tcPr>
            <w:tcW w:w="180" w:type="dxa"/>
            <w:vAlign w:val="bottom"/>
            <w:shd w:val="clear" w:color="auto" w:fill="D1EEF5"/>
          </w:tcPr>
          <w:p>
            <w:pPr>
              <w:spacing w:after="0"/>
              <w:rPr>
                <w:sz w:val="13"/>
                <w:szCs w:val="13"/>
                <w:color w:val="auto"/>
              </w:rPr>
            </w:pPr>
          </w:p>
        </w:tc>
        <w:tc>
          <w:tcPr>
            <w:tcW w:w="1000" w:type="dxa"/>
            <w:vAlign w:val="bottom"/>
            <w:gridSpan w:val="2"/>
            <w:shd w:val="clear" w:color="auto" w:fill="D1EEF5"/>
          </w:tcPr>
          <w:p>
            <w:pPr>
              <w:jc w:val="right"/>
              <w:ind w:right="738"/>
              <w:spacing w:after="0" w:line="15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D1EEF5"/>
          </w:tcPr>
          <w:p>
            <w:pPr>
              <w:jc w:val="right"/>
              <w:ind w:right="260"/>
              <w:spacing w:after="0" w:line="157" w:lineRule="exact"/>
              <w:rPr>
                <w:sz w:val="20"/>
                <w:szCs w:val="20"/>
                <w:color w:val="auto"/>
              </w:rPr>
            </w:pPr>
            <w:r>
              <w:rPr>
                <w:rFonts w:ascii="Times New Roman" w:cs="Times New Roman" w:eastAsia="Times New Roman" w:hAnsi="Times New Roman"/>
                <w:sz w:val="14"/>
                <w:szCs w:val="14"/>
                <w:color w:val="auto"/>
              </w:rPr>
              <w:t>78,000</w:t>
            </w:r>
          </w:p>
        </w:tc>
        <w:tc>
          <w:tcPr>
            <w:tcW w:w="134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D1EEF5"/>
          </w:tcPr>
          <w:p>
            <w:pPr>
              <w:spacing w:after="0"/>
              <w:rPr>
                <w:sz w:val="13"/>
                <w:szCs w:val="13"/>
                <w:color w:val="auto"/>
              </w:rPr>
            </w:pPr>
          </w:p>
        </w:tc>
      </w:tr>
      <w:tr>
        <w:trPr>
          <w:trHeight w:val="166"/>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62,247</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48,375</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Pr>
          <w:p>
            <w:pPr>
              <w:spacing w:after="0"/>
              <w:rPr>
                <w:sz w:val="14"/>
                <w:szCs w:val="14"/>
                <w:color w:val="auto"/>
              </w:rPr>
            </w:pPr>
          </w:p>
        </w:tc>
      </w:tr>
      <w:tr>
        <w:trPr>
          <w:trHeight w:val="157"/>
        </w:trPr>
        <w:tc>
          <w:tcPr>
            <w:tcW w:w="3300" w:type="dxa"/>
            <w:vAlign w:val="bottom"/>
            <w:tcBorders>
              <w:top w:val="single" w:sz="8" w:color="D1EEF5"/>
            </w:tcBorders>
            <w:shd w:val="clear" w:color="auto" w:fill="D1EEF5"/>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600" w:type="dxa"/>
            <w:vAlign w:val="bottom"/>
            <w:tcBorders>
              <w:top w:val="single" w:sz="8" w:color="D1EEF5"/>
            </w:tcBorders>
            <w:shd w:val="clear" w:color="auto" w:fill="D1EEF5"/>
          </w:tcPr>
          <w:p>
            <w:pPr>
              <w:spacing w:after="0"/>
              <w:rPr>
                <w:sz w:val="13"/>
                <w:szCs w:val="13"/>
                <w:color w:val="auto"/>
              </w:rPr>
            </w:pPr>
          </w:p>
        </w:tc>
        <w:tc>
          <w:tcPr>
            <w:tcW w:w="840" w:type="dxa"/>
            <w:vAlign w:val="bottom"/>
            <w:tcBorders>
              <w:top w:val="single" w:sz="8" w:color="auto"/>
            </w:tcBorders>
            <w:shd w:val="clear" w:color="auto" w:fill="D1EEF5"/>
          </w:tcPr>
          <w:p>
            <w:pPr>
              <w:spacing w:after="0"/>
              <w:rPr>
                <w:sz w:val="13"/>
                <w:szCs w:val="13"/>
                <w:color w:val="auto"/>
              </w:rPr>
            </w:pPr>
          </w:p>
        </w:tc>
        <w:tc>
          <w:tcPr>
            <w:tcW w:w="480" w:type="dxa"/>
            <w:vAlign w:val="bottom"/>
            <w:tcBorders>
              <w:top w:val="single" w:sz="8" w:color="auto"/>
            </w:tcBorders>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24,004</w:t>
            </w:r>
          </w:p>
        </w:tc>
        <w:tc>
          <w:tcPr>
            <w:tcW w:w="300" w:type="dxa"/>
            <w:vAlign w:val="bottom"/>
            <w:tcBorders>
              <w:top w:val="single" w:sz="8" w:color="D1EEF5"/>
            </w:tcBorders>
            <w:shd w:val="clear" w:color="auto" w:fill="D1EEF5"/>
          </w:tcPr>
          <w:p>
            <w:pPr>
              <w:spacing w:after="0"/>
              <w:rPr>
                <w:sz w:val="13"/>
                <w:szCs w:val="13"/>
                <w:color w:val="auto"/>
              </w:rPr>
            </w:pPr>
          </w:p>
        </w:tc>
        <w:tc>
          <w:tcPr>
            <w:tcW w:w="1020" w:type="dxa"/>
            <w:vAlign w:val="bottom"/>
            <w:tcBorders>
              <w:top w:val="single" w:sz="8" w:color="auto"/>
            </w:tcBorders>
            <w:shd w:val="clear" w:color="auto" w:fill="D1EEF5"/>
          </w:tcPr>
          <w:p>
            <w:pPr>
              <w:spacing w:after="0"/>
              <w:rPr>
                <w:sz w:val="13"/>
                <w:szCs w:val="13"/>
                <w:color w:val="auto"/>
              </w:rPr>
            </w:pPr>
          </w:p>
        </w:tc>
        <w:tc>
          <w:tcPr>
            <w:tcW w:w="320" w:type="dxa"/>
            <w:vAlign w:val="bottom"/>
            <w:tcBorders>
              <w:top w:val="single" w:sz="8" w:color="auto"/>
            </w:tcBorders>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27.8</w:t>
            </w:r>
          </w:p>
        </w:tc>
        <w:tc>
          <w:tcPr>
            <w:tcW w:w="180" w:type="dxa"/>
            <w:vAlign w:val="bottom"/>
            <w:tcBorders>
              <w:top w:val="single" w:sz="8" w:color="D1EEF5"/>
            </w:tcBorders>
            <w:shd w:val="clear" w:color="auto" w:fill="D1EEF5"/>
          </w:tcPr>
          <w:p>
            <w:pPr>
              <w:spacing w:after="0"/>
              <w:rPr>
                <w:sz w:val="13"/>
                <w:szCs w:val="13"/>
                <w:color w:val="auto"/>
              </w:rPr>
            </w:pPr>
          </w:p>
        </w:tc>
        <w:tc>
          <w:tcPr>
            <w:tcW w:w="140" w:type="dxa"/>
            <w:vAlign w:val="bottom"/>
            <w:tcBorders>
              <w:top w:val="single" w:sz="8" w:color="D1EEF5"/>
            </w:tcBorders>
            <w:shd w:val="clear" w:color="auto" w:fill="D1EEF5"/>
          </w:tcPr>
          <w:p>
            <w:pPr>
              <w:spacing w:after="0"/>
              <w:rPr>
                <w:sz w:val="13"/>
                <w:szCs w:val="13"/>
                <w:color w:val="auto"/>
              </w:rPr>
            </w:pPr>
          </w:p>
        </w:tc>
        <w:tc>
          <w:tcPr>
            <w:tcW w:w="860" w:type="dxa"/>
            <w:vAlign w:val="bottom"/>
            <w:tcBorders>
              <w:top w:val="single" w:sz="8" w:color="auto"/>
            </w:tcBorders>
            <w:shd w:val="clear" w:color="auto" w:fill="D1EEF5"/>
          </w:tcPr>
          <w:p>
            <w:pPr>
              <w:spacing w:after="0"/>
              <w:rPr>
                <w:sz w:val="13"/>
                <w:szCs w:val="13"/>
                <w:color w:val="auto"/>
              </w:rPr>
            </w:pPr>
          </w:p>
        </w:tc>
        <w:tc>
          <w:tcPr>
            <w:tcW w:w="460" w:type="dxa"/>
            <w:vAlign w:val="bottom"/>
            <w:tcBorders>
              <w:top w:val="single" w:sz="8" w:color="auto"/>
            </w:tcBorders>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29,625</w:t>
            </w:r>
          </w:p>
        </w:tc>
        <w:tc>
          <w:tcPr>
            <w:tcW w:w="300" w:type="dxa"/>
            <w:vAlign w:val="bottom"/>
            <w:tcBorders>
              <w:top w:val="single" w:sz="8" w:color="D1EEF5"/>
            </w:tcBorders>
            <w:shd w:val="clear" w:color="auto" w:fill="D1EEF5"/>
          </w:tcPr>
          <w:p>
            <w:pPr>
              <w:spacing w:after="0"/>
              <w:rPr>
                <w:sz w:val="13"/>
                <w:szCs w:val="13"/>
                <w:color w:val="auto"/>
              </w:rPr>
            </w:pPr>
          </w:p>
        </w:tc>
        <w:tc>
          <w:tcPr>
            <w:tcW w:w="1340" w:type="dxa"/>
            <w:vAlign w:val="bottom"/>
            <w:tcBorders>
              <w:top w:val="single" w:sz="8" w:color="auto"/>
            </w:tcBorders>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38.0</w:t>
            </w:r>
          </w:p>
        </w:tc>
        <w:tc>
          <w:tcPr>
            <w:tcW w:w="100" w:type="dxa"/>
            <w:vAlign w:val="bottom"/>
            <w:tcBorders>
              <w:top w:val="single" w:sz="8" w:color="D1EEF5"/>
            </w:tcBorders>
            <w:shd w:val="clear" w:color="auto" w:fill="D1EEF5"/>
          </w:tcPr>
          <w:p>
            <w:pPr>
              <w:spacing w:after="0"/>
              <w:rPr>
                <w:sz w:val="13"/>
                <w:szCs w:val="13"/>
                <w:color w:val="auto"/>
              </w:rPr>
            </w:pPr>
          </w:p>
        </w:tc>
      </w:tr>
      <w:tr>
        <w:trPr>
          <w:trHeight w:val="156"/>
        </w:trPr>
        <w:tc>
          <w:tcPr>
            <w:tcW w:w="33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Operating expenses</w:t>
            </w: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300" w:type="dxa"/>
            <w:vAlign w:val="bottom"/>
            <w:shd w:val="clear" w:color="auto" w:fill="D1EEF5"/>
          </w:tcPr>
          <w:p>
            <w:pPr>
              <w:ind w:left="140"/>
              <w:spacing w:after="0" w:line="156" w:lineRule="exact"/>
              <w:rPr>
                <w:sz w:val="20"/>
                <w:szCs w:val="20"/>
                <w:color w:val="auto"/>
              </w:rPr>
            </w:pPr>
            <w:r>
              <w:rPr>
                <w:rFonts w:ascii="Times New Roman" w:cs="Times New Roman" w:eastAsia="Times New Roman" w:hAnsi="Times New Roman"/>
                <w:sz w:val="14"/>
                <w:szCs w:val="14"/>
                <w:color w:val="auto"/>
              </w:rPr>
              <w:t>Research and development</w:t>
            </w:r>
          </w:p>
        </w:tc>
        <w:tc>
          <w:tcPr>
            <w:tcW w:w="600" w:type="dxa"/>
            <w:vAlign w:val="bottom"/>
            <w:shd w:val="clear" w:color="auto" w:fill="D1EEF5"/>
          </w:tcPr>
          <w:p>
            <w:pPr>
              <w:spacing w:after="0"/>
              <w:rPr>
                <w:sz w:val="13"/>
                <w:szCs w:val="13"/>
                <w:color w:val="auto"/>
              </w:rPr>
            </w:pPr>
          </w:p>
        </w:tc>
        <w:tc>
          <w:tcPr>
            <w:tcW w:w="840" w:type="dxa"/>
            <w:vAlign w:val="bottom"/>
            <w:shd w:val="clear" w:color="auto" w:fill="D1EEF5"/>
          </w:tcPr>
          <w:p>
            <w:pPr>
              <w:spacing w:after="0"/>
              <w:rPr>
                <w:sz w:val="13"/>
                <w:szCs w:val="13"/>
                <w:color w:val="auto"/>
              </w:rPr>
            </w:pPr>
          </w:p>
        </w:tc>
        <w:tc>
          <w:tcPr>
            <w:tcW w:w="780" w:type="dxa"/>
            <w:vAlign w:val="bottom"/>
            <w:gridSpan w:val="2"/>
            <w:shd w:val="clear" w:color="auto" w:fill="D1EEF5"/>
          </w:tcPr>
          <w:p>
            <w:pPr>
              <w:jc w:val="right"/>
              <w:ind w:right="260"/>
              <w:spacing w:after="0" w:line="156" w:lineRule="exact"/>
              <w:rPr>
                <w:sz w:val="20"/>
                <w:szCs w:val="20"/>
                <w:color w:val="auto"/>
              </w:rPr>
            </w:pPr>
            <w:r>
              <w:rPr>
                <w:rFonts w:ascii="Times New Roman" w:cs="Times New Roman" w:eastAsia="Times New Roman" w:hAnsi="Times New Roman"/>
                <w:sz w:val="14"/>
                <w:szCs w:val="14"/>
                <w:color w:val="auto"/>
              </w:rPr>
              <w:t>2,764</w:t>
            </w:r>
          </w:p>
        </w:tc>
        <w:tc>
          <w:tcPr>
            <w:tcW w:w="1020" w:type="dxa"/>
            <w:vAlign w:val="bottom"/>
            <w:shd w:val="clear" w:color="auto" w:fill="D1EEF5"/>
          </w:tcPr>
          <w:p>
            <w:pPr>
              <w:spacing w:after="0"/>
              <w:rPr>
                <w:sz w:val="13"/>
                <w:szCs w:val="13"/>
                <w:color w:val="auto"/>
              </w:rPr>
            </w:pPr>
          </w:p>
        </w:tc>
        <w:tc>
          <w:tcPr>
            <w:tcW w:w="32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3.2</w:t>
            </w:r>
          </w:p>
        </w:tc>
        <w:tc>
          <w:tcPr>
            <w:tcW w:w="180" w:type="dxa"/>
            <w:vAlign w:val="bottom"/>
            <w:shd w:val="clear" w:color="auto" w:fill="D1EEF5"/>
          </w:tcPr>
          <w:p>
            <w:pPr>
              <w:spacing w:after="0"/>
              <w:rPr>
                <w:sz w:val="13"/>
                <w:szCs w:val="13"/>
                <w:color w:val="auto"/>
              </w:rPr>
            </w:pPr>
          </w:p>
        </w:tc>
        <w:tc>
          <w:tcPr>
            <w:tcW w:w="140" w:type="dxa"/>
            <w:vAlign w:val="bottom"/>
            <w:shd w:val="clear" w:color="auto" w:fill="D1EEF5"/>
          </w:tcPr>
          <w:p>
            <w:pPr>
              <w:spacing w:after="0"/>
              <w:rPr>
                <w:sz w:val="13"/>
                <w:szCs w:val="13"/>
                <w:color w:val="auto"/>
              </w:rPr>
            </w:pPr>
          </w:p>
        </w:tc>
        <w:tc>
          <w:tcPr>
            <w:tcW w:w="860" w:type="dxa"/>
            <w:vAlign w:val="bottom"/>
            <w:shd w:val="clear" w:color="auto" w:fill="D1EEF5"/>
          </w:tcPr>
          <w:p>
            <w:pPr>
              <w:spacing w:after="0"/>
              <w:rPr>
                <w:sz w:val="13"/>
                <w:szCs w:val="13"/>
                <w:color w:val="auto"/>
              </w:rPr>
            </w:pPr>
          </w:p>
        </w:tc>
        <w:tc>
          <w:tcPr>
            <w:tcW w:w="760" w:type="dxa"/>
            <w:vAlign w:val="bottom"/>
            <w:gridSpan w:val="2"/>
            <w:shd w:val="clear" w:color="auto" w:fill="D1EEF5"/>
          </w:tcPr>
          <w:p>
            <w:pPr>
              <w:jc w:val="right"/>
              <w:ind w:right="260"/>
              <w:spacing w:after="0" w:line="156" w:lineRule="exact"/>
              <w:rPr>
                <w:sz w:val="20"/>
                <w:szCs w:val="20"/>
                <w:color w:val="auto"/>
              </w:rPr>
            </w:pPr>
            <w:r>
              <w:rPr>
                <w:rFonts w:ascii="Times New Roman" w:cs="Times New Roman" w:eastAsia="Times New Roman" w:hAnsi="Times New Roman"/>
                <w:sz w:val="14"/>
                <w:szCs w:val="14"/>
                <w:color w:val="auto"/>
              </w:rPr>
              <w:t>2,689</w:t>
            </w:r>
          </w:p>
        </w:tc>
        <w:tc>
          <w:tcPr>
            <w:tcW w:w="134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D1EEF5"/>
          </w:tcPr>
          <w:p>
            <w:pPr>
              <w:spacing w:after="0"/>
              <w:rPr>
                <w:sz w:val="13"/>
                <w:szCs w:val="13"/>
                <w:color w:val="auto"/>
              </w:rPr>
            </w:pPr>
          </w:p>
        </w:tc>
      </w:tr>
      <w:tr>
        <w:trPr>
          <w:trHeight w:val="157"/>
        </w:trPr>
        <w:tc>
          <w:tcPr>
            <w:tcW w:w="330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General and administrative</w:t>
            </w: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gridSpan w:val="2"/>
          </w:tcPr>
          <w:p>
            <w:pPr>
              <w:jc w:val="right"/>
              <w:ind w:right="260"/>
              <w:spacing w:after="0" w:line="157" w:lineRule="exact"/>
              <w:rPr>
                <w:sz w:val="20"/>
                <w:szCs w:val="20"/>
                <w:color w:val="auto"/>
              </w:rPr>
            </w:pPr>
            <w:r>
              <w:rPr>
                <w:rFonts w:ascii="Times New Roman" w:cs="Times New Roman" w:eastAsia="Times New Roman" w:hAnsi="Times New Roman"/>
                <w:sz w:val="14"/>
                <w:szCs w:val="14"/>
                <w:color w:val="auto"/>
              </w:rPr>
              <w:t>41,566</w:t>
            </w:r>
          </w:p>
        </w:tc>
        <w:tc>
          <w:tcPr>
            <w:tcW w:w="1020" w:type="dxa"/>
            <w:vAlign w:val="bottom"/>
          </w:tcPr>
          <w:p>
            <w:pPr>
              <w:spacing w:after="0"/>
              <w:rPr>
                <w:sz w:val="13"/>
                <w:szCs w:val="13"/>
                <w:color w:val="auto"/>
              </w:rPr>
            </w:pPr>
          </w:p>
        </w:tc>
        <w:tc>
          <w:tcPr>
            <w:tcW w:w="3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48.2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gridSpan w:val="2"/>
          </w:tcPr>
          <w:p>
            <w:pPr>
              <w:jc w:val="right"/>
              <w:ind w:right="260"/>
              <w:spacing w:after="0" w:line="157" w:lineRule="exact"/>
              <w:rPr>
                <w:sz w:val="20"/>
                <w:szCs w:val="20"/>
                <w:color w:val="auto"/>
              </w:rPr>
            </w:pPr>
            <w:r>
              <w:rPr>
                <w:rFonts w:ascii="Times New Roman" w:cs="Times New Roman" w:eastAsia="Times New Roman" w:hAnsi="Times New Roman"/>
                <w:sz w:val="14"/>
                <w:szCs w:val="14"/>
                <w:color w:val="auto"/>
              </w:rPr>
              <w:t>10,621</w:t>
            </w:r>
          </w:p>
        </w:tc>
        <w:tc>
          <w:tcPr>
            <w:tcW w:w="13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3"/>
                <w:szCs w:val="13"/>
                <w:color w:val="auto"/>
              </w:rPr>
            </w:pPr>
          </w:p>
        </w:tc>
      </w:tr>
      <w:tr>
        <w:trPr>
          <w:trHeight w:val="156"/>
        </w:trPr>
        <w:tc>
          <w:tcPr>
            <w:tcW w:w="3300" w:type="dxa"/>
            <w:vAlign w:val="bottom"/>
            <w:shd w:val="clear" w:color="auto" w:fill="D1EEF5"/>
          </w:tcPr>
          <w:p>
            <w:pPr>
              <w:ind w:left="140"/>
              <w:spacing w:after="0" w:line="156" w:lineRule="exact"/>
              <w:rPr>
                <w:sz w:val="20"/>
                <w:szCs w:val="20"/>
                <w:color w:val="auto"/>
              </w:rPr>
            </w:pPr>
            <w:r>
              <w:rPr>
                <w:rFonts w:ascii="Times New Roman" w:cs="Times New Roman" w:eastAsia="Times New Roman" w:hAnsi="Times New Roman"/>
                <w:sz w:val="14"/>
                <w:szCs w:val="14"/>
                <w:color w:val="auto"/>
              </w:rPr>
              <w:t>Sales and marketing</w:t>
            </w:r>
          </w:p>
        </w:tc>
        <w:tc>
          <w:tcPr>
            <w:tcW w:w="600" w:type="dxa"/>
            <w:vAlign w:val="bottom"/>
            <w:shd w:val="clear" w:color="auto" w:fill="D1EEF5"/>
          </w:tcPr>
          <w:p>
            <w:pPr>
              <w:spacing w:after="0"/>
              <w:rPr>
                <w:sz w:val="13"/>
                <w:szCs w:val="13"/>
                <w:color w:val="auto"/>
              </w:rPr>
            </w:pPr>
          </w:p>
        </w:tc>
        <w:tc>
          <w:tcPr>
            <w:tcW w:w="840" w:type="dxa"/>
            <w:vAlign w:val="bottom"/>
            <w:shd w:val="clear" w:color="auto" w:fill="D1EEF5"/>
          </w:tcPr>
          <w:p>
            <w:pPr>
              <w:spacing w:after="0"/>
              <w:rPr>
                <w:sz w:val="13"/>
                <w:szCs w:val="13"/>
                <w:color w:val="auto"/>
              </w:rPr>
            </w:pPr>
          </w:p>
        </w:tc>
        <w:tc>
          <w:tcPr>
            <w:tcW w:w="780" w:type="dxa"/>
            <w:vAlign w:val="bottom"/>
            <w:gridSpan w:val="2"/>
            <w:shd w:val="clear" w:color="auto" w:fill="D1EEF5"/>
          </w:tcPr>
          <w:p>
            <w:pPr>
              <w:jc w:val="right"/>
              <w:ind w:right="260"/>
              <w:spacing w:after="0" w:line="156" w:lineRule="exact"/>
              <w:rPr>
                <w:sz w:val="20"/>
                <w:szCs w:val="20"/>
                <w:color w:val="auto"/>
              </w:rPr>
            </w:pPr>
            <w:r>
              <w:rPr>
                <w:rFonts w:ascii="Times New Roman" w:cs="Times New Roman" w:eastAsia="Times New Roman" w:hAnsi="Times New Roman"/>
                <w:sz w:val="14"/>
                <w:szCs w:val="14"/>
                <w:color w:val="auto"/>
              </w:rPr>
              <w:t>13,671</w:t>
            </w:r>
          </w:p>
        </w:tc>
        <w:tc>
          <w:tcPr>
            <w:tcW w:w="1020" w:type="dxa"/>
            <w:vAlign w:val="bottom"/>
            <w:shd w:val="clear" w:color="auto" w:fill="D1EEF5"/>
          </w:tcPr>
          <w:p>
            <w:pPr>
              <w:spacing w:after="0"/>
              <w:rPr>
                <w:sz w:val="13"/>
                <w:szCs w:val="13"/>
                <w:color w:val="auto"/>
              </w:rPr>
            </w:pPr>
          </w:p>
        </w:tc>
        <w:tc>
          <w:tcPr>
            <w:tcW w:w="32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15.9</w:t>
            </w:r>
          </w:p>
        </w:tc>
        <w:tc>
          <w:tcPr>
            <w:tcW w:w="180" w:type="dxa"/>
            <w:vAlign w:val="bottom"/>
            <w:shd w:val="clear" w:color="auto" w:fill="D1EEF5"/>
          </w:tcPr>
          <w:p>
            <w:pPr>
              <w:spacing w:after="0"/>
              <w:rPr>
                <w:sz w:val="13"/>
                <w:szCs w:val="13"/>
                <w:color w:val="auto"/>
              </w:rPr>
            </w:pPr>
          </w:p>
        </w:tc>
        <w:tc>
          <w:tcPr>
            <w:tcW w:w="140" w:type="dxa"/>
            <w:vAlign w:val="bottom"/>
            <w:shd w:val="clear" w:color="auto" w:fill="D1EEF5"/>
          </w:tcPr>
          <w:p>
            <w:pPr>
              <w:spacing w:after="0"/>
              <w:rPr>
                <w:sz w:val="13"/>
                <w:szCs w:val="13"/>
                <w:color w:val="auto"/>
              </w:rPr>
            </w:pPr>
          </w:p>
        </w:tc>
        <w:tc>
          <w:tcPr>
            <w:tcW w:w="860" w:type="dxa"/>
            <w:vAlign w:val="bottom"/>
            <w:shd w:val="clear" w:color="auto" w:fill="D1EEF5"/>
          </w:tcPr>
          <w:p>
            <w:pPr>
              <w:spacing w:after="0"/>
              <w:rPr>
                <w:sz w:val="13"/>
                <w:szCs w:val="13"/>
                <w:color w:val="auto"/>
              </w:rPr>
            </w:pPr>
          </w:p>
        </w:tc>
        <w:tc>
          <w:tcPr>
            <w:tcW w:w="760" w:type="dxa"/>
            <w:vAlign w:val="bottom"/>
            <w:gridSpan w:val="2"/>
            <w:shd w:val="clear" w:color="auto" w:fill="D1EEF5"/>
          </w:tcPr>
          <w:p>
            <w:pPr>
              <w:jc w:val="right"/>
              <w:ind w:right="260"/>
              <w:spacing w:after="0" w:line="156" w:lineRule="exact"/>
              <w:rPr>
                <w:sz w:val="20"/>
                <w:szCs w:val="20"/>
                <w:color w:val="auto"/>
              </w:rPr>
            </w:pPr>
            <w:r>
              <w:rPr>
                <w:rFonts w:ascii="Times New Roman" w:cs="Times New Roman" w:eastAsia="Times New Roman" w:hAnsi="Times New Roman"/>
                <w:sz w:val="14"/>
                <w:szCs w:val="14"/>
                <w:color w:val="auto"/>
              </w:rPr>
              <w:t>9,848</w:t>
            </w:r>
          </w:p>
        </w:tc>
        <w:tc>
          <w:tcPr>
            <w:tcW w:w="134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D1EEF5"/>
          </w:tcPr>
          <w:p>
            <w:pPr>
              <w:spacing w:after="0"/>
              <w:rPr>
                <w:sz w:val="13"/>
                <w:szCs w:val="13"/>
                <w:color w:val="auto"/>
              </w:rPr>
            </w:pPr>
          </w:p>
        </w:tc>
      </w:tr>
      <w:tr>
        <w:trPr>
          <w:trHeight w:val="166"/>
        </w:trPr>
        <w:tc>
          <w:tcPr>
            <w:tcW w:w="3300" w:type="dxa"/>
            <w:vAlign w:val="bottom"/>
            <w:tcBorders>
              <w:bottom w:val="single" w:sz="8" w:color="D1EEF5"/>
            </w:tcBorders>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600" w:type="dxa"/>
            <w:vAlign w:val="bottom"/>
            <w:tcBorders>
              <w:bottom w:val="single" w:sz="8" w:color="D1EEF5"/>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58,001</w:t>
            </w:r>
          </w:p>
        </w:tc>
        <w:tc>
          <w:tcPr>
            <w:tcW w:w="300" w:type="dxa"/>
            <w:vAlign w:val="bottom"/>
            <w:tcBorders>
              <w:bottom w:val="single" w:sz="8" w:color="D1EEF5"/>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80" w:type="dxa"/>
            <w:vAlign w:val="bottom"/>
            <w:tcBorders>
              <w:bottom w:val="single" w:sz="8" w:color="D1EEF5"/>
            </w:tcBorders>
          </w:tcPr>
          <w:p>
            <w:pPr>
              <w:spacing w:after="0"/>
              <w:rPr>
                <w:sz w:val="14"/>
                <w:szCs w:val="14"/>
                <w:color w:val="auto"/>
              </w:rPr>
            </w:pPr>
          </w:p>
        </w:tc>
        <w:tc>
          <w:tcPr>
            <w:tcW w:w="140" w:type="dxa"/>
            <w:vAlign w:val="bottom"/>
            <w:tcBorders>
              <w:bottom w:val="single" w:sz="8" w:color="D1EEF5"/>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23,158</w:t>
            </w:r>
          </w:p>
        </w:tc>
        <w:tc>
          <w:tcPr>
            <w:tcW w:w="300" w:type="dxa"/>
            <w:vAlign w:val="bottom"/>
            <w:tcBorders>
              <w:bottom w:val="single" w:sz="8" w:color="D1EEF5"/>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Borders>
              <w:bottom w:val="single" w:sz="8" w:color="D1EEF5"/>
            </w:tcBorders>
          </w:tcPr>
          <w:p>
            <w:pPr>
              <w:spacing w:after="0"/>
              <w:rPr>
                <w:sz w:val="14"/>
                <w:szCs w:val="14"/>
                <w:color w:val="auto"/>
              </w:rPr>
            </w:pPr>
          </w:p>
        </w:tc>
      </w:tr>
      <w:tr>
        <w:trPr>
          <w:trHeight w:val="157"/>
        </w:trPr>
        <w:tc>
          <w:tcPr>
            <w:tcW w:w="330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(Loss) Income From Operations</w:t>
            </w:r>
          </w:p>
        </w:tc>
        <w:tc>
          <w:tcPr>
            <w:tcW w:w="600" w:type="dxa"/>
            <w:vAlign w:val="bottom"/>
            <w:shd w:val="clear" w:color="auto" w:fill="D1EEF5"/>
          </w:tcPr>
          <w:p>
            <w:pPr>
              <w:spacing w:after="0"/>
              <w:rPr>
                <w:sz w:val="13"/>
                <w:szCs w:val="13"/>
                <w:color w:val="auto"/>
              </w:rPr>
            </w:pPr>
          </w:p>
        </w:tc>
        <w:tc>
          <w:tcPr>
            <w:tcW w:w="840" w:type="dxa"/>
            <w:vAlign w:val="bottom"/>
            <w:shd w:val="clear" w:color="auto" w:fill="D1EEF5"/>
          </w:tcPr>
          <w:p>
            <w:pPr>
              <w:spacing w:after="0"/>
              <w:rPr>
                <w:sz w:val="13"/>
                <w:szCs w:val="13"/>
                <w:color w:val="auto"/>
              </w:rPr>
            </w:pPr>
          </w:p>
        </w:tc>
        <w:tc>
          <w:tcPr>
            <w:tcW w:w="48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(33,997)</w:t>
            </w:r>
          </w:p>
        </w:tc>
        <w:tc>
          <w:tcPr>
            <w:tcW w:w="300" w:type="dxa"/>
            <w:vAlign w:val="bottom"/>
            <w:shd w:val="clear" w:color="auto" w:fill="D1EEF5"/>
          </w:tcPr>
          <w:p>
            <w:pPr>
              <w:spacing w:after="0"/>
              <w:rPr>
                <w:sz w:val="13"/>
                <w:szCs w:val="13"/>
                <w:color w:val="auto"/>
              </w:rPr>
            </w:pPr>
          </w:p>
        </w:tc>
        <w:tc>
          <w:tcPr>
            <w:tcW w:w="1020" w:type="dxa"/>
            <w:vAlign w:val="bottom"/>
            <w:shd w:val="clear" w:color="auto" w:fill="D1EEF5"/>
          </w:tcPr>
          <w:p>
            <w:pPr>
              <w:spacing w:after="0"/>
              <w:rPr>
                <w:sz w:val="13"/>
                <w:szCs w:val="13"/>
                <w:color w:val="auto"/>
              </w:rPr>
            </w:pPr>
          </w:p>
        </w:tc>
        <w:tc>
          <w:tcPr>
            <w:tcW w:w="500" w:type="dxa"/>
            <w:vAlign w:val="bottom"/>
            <w:gridSpan w:val="2"/>
            <w:shd w:val="clear" w:color="auto" w:fill="D1EEF5"/>
          </w:tcPr>
          <w:p>
            <w:pPr>
              <w:jc w:val="right"/>
              <w:ind w:right="72"/>
              <w:spacing w:after="0" w:line="157" w:lineRule="exact"/>
              <w:rPr>
                <w:sz w:val="20"/>
                <w:szCs w:val="20"/>
                <w:color w:val="auto"/>
              </w:rPr>
            </w:pPr>
            <w:r>
              <w:rPr>
                <w:rFonts w:ascii="Times New Roman" w:cs="Times New Roman" w:eastAsia="Times New Roman" w:hAnsi="Times New Roman"/>
                <w:sz w:val="14"/>
                <w:szCs w:val="14"/>
                <w:color w:val="auto"/>
              </w:rPr>
              <w:t>(39.4)</w:t>
            </w:r>
          </w:p>
        </w:tc>
        <w:tc>
          <w:tcPr>
            <w:tcW w:w="140" w:type="dxa"/>
            <w:vAlign w:val="bottom"/>
            <w:shd w:val="clear" w:color="auto" w:fill="D1EEF5"/>
          </w:tcPr>
          <w:p>
            <w:pPr>
              <w:spacing w:after="0"/>
              <w:rPr>
                <w:sz w:val="13"/>
                <w:szCs w:val="13"/>
                <w:color w:val="auto"/>
              </w:rPr>
            </w:pPr>
          </w:p>
        </w:tc>
        <w:tc>
          <w:tcPr>
            <w:tcW w:w="860" w:type="dxa"/>
            <w:vAlign w:val="bottom"/>
            <w:shd w:val="clear" w:color="auto" w:fill="D1EEF5"/>
          </w:tcPr>
          <w:p>
            <w:pPr>
              <w:spacing w:after="0"/>
              <w:rPr>
                <w:sz w:val="13"/>
                <w:szCs w:val="13"/>
                <w:color w:val="auto"/>
              </w:rPr>
            </w:pPr>
          </w:p>
        </w:tc>
        <w:tc>
          <w:tcPr>
            <w:tcW w:w="46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6,467</w:t>
            </w:r>
          </w:p>
        </w:tc>
        <w:tc>
          <w:tcPr>
            <w:tcW w:w="300" w:type="dxa"/>
            <w:vAlign w:val="bottom"/>
            <w:shd w:val="clear" w:color="auto" w:fill="D1EEF5"/>
          </w:tcPr>
          <w:p>
            <w:pPr>
              <w:spacing w:after="0"/>
              <w:rPr>
                <w:sz w:val="13"/>
                <w:szCs w:val="13"/>
                <w:color w:val="auto"/>
              </w:rPr>
            </w:pPr>
          </w:p>
        </w:tc>
        <w:tc>
          <w:tcPr>
            <w:tcW w:w="134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D1EEF5"/>
          </w:tcPr>
          <w:p>
            <w:pPr>
              <w:spacing w:after="0"/>
              <w:rPr>
                <w:sz w:val="13"/>
                <w:szCs w:val="13"/>
                <w:color w:val="auto"/>
              </w:rPr>
            </w:pPr>
          </w:p>
        </w:tc>
      </w:tr>
      <w:tr>
        <w:trPr>
          <w:trHeight w:val="156"/>
        </w:trPr>
        <w:tc>
          <w:tcPr>
            <w:tcW w:w="33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Other Income (Expense)</w:t>
            </w: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300" w:type="dxa"/>
            <w:vAlign w:val="bottom"/>
            <w:shd w:val="clear" w:color="auto" w:fill="D1EEF5"/>
          </w:tcPr>
          <w:p>
            <w:pPr>
              <w:ind w:left="140"/>
              <w:spacing w:after="0" w:line="156" w:lineRule="exact"/>
              <w:rPr>
                <w:sz w:val="20"/>
                <w:szCs w:val="20"/>
                <w:color w:val="auto"/>
              </w:rPr>
            </w:pPr>
            <w:r>
              <w:rPr>
                <w:rFonts w:ascii="Times New Roman" w:cs="Times New Roman" w:eastAsia="Times New Roman" w:hAnsi="Times New Roman"/>
                <w:sz w:val="14"/>
                <w:szCs w:val="14"/>
                <w:color w:val="auto"/>
              </w:rPr>
              <w:t>Other income</w:t>
            </w:r>
          </w:p>
        </w:tc>
        <w:tc>
          <w:tcPr>
            <w:tcW w:w="600" w:type="dxa"/>
            <w:vAlign w:val="bottom"/>
            <w:shd w:val="clear" w:color="auto" w:fill="D1EEF5"/>
          </w:tcPr>
          <w:p>
            <w:pPr>
              <w:spacing w:after="0"/>
              <w:rPr>
                <w:sz w:val="13"/>
                <w:szCs w:val="13"/>
                <w:color w:val="auto"/>
              </w:rPr>
            </w:pPr>
          </w:p>
        </w:tc>
        <w:tc>
          <w:tcPr>
            <w:tcW w:w="840" w:type="dxa"/>
            <w:vAlign w:val="bottom"/>
            <w:shd w:val="clear" w:color="auto" w:fill="D1EEF5"/>
          </w:tcPr>
          <w:p>
            <w:pPr>
              <w:spacing w:after="0"/>
              <w:rPr>
                <w:sz w:val="13"/>
                <w:szCs w:val="13"/>
                <w:color w:val="auto"/>
              </w:rPr>
            </w:pPr>
          </w:p>
        </w:tc>
        <w:tc>
          <w:tcPr>
            <w:tcW w:w="4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40</w:t>
            </w:r>
          </w:p>
        </w:tc>
        <w:tc>
          <w:tcPr>
            <w:tcW w:w="300" w:type="dxa"/>
            <w:vAlign w:val="bottom"/>
            <w:shd w:val="clear" w:color="auto" w:fill="D1EEF5"/>
          </w:tcPr>
          <w:p>
            <w:pPr>
              <w:spacing w:after="0"/>
              <w:rPr>
                <w:sz w:val="13"/>
                <w:szCs w:val="13"/>
                <w:color w:val="auto"/>
              </w:rPr>
            </w:pPr>
          </w:p>
        </w:tc>
        <w:tc>
          <w:tcPr>
            <w:tcW w:w="1020" w:type="dxa"/>
            <w:vAlign w:val="bottom"/>
            <w:shd w:val="clear" w:color="auto" w:fill="D1EEF5"/>
          </w:tcPr>
          <w:p>
            <w:pPr>
              <w:spacing w:after="0"/>
              <w:rPr>
                <w:sz w:val="13"/>
                <w:szCs w:val="13"/>
                <w:color w:val="auto"/>
              </w:rPr>
            </w:pPr>
          </w:p>
        </w:tc>
        <w:tc>
          <w:tcPr>
            <w:tcW w:w="32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0.0</w:t>
            </w:r>
          </w:p>
        </w:tc>
        <w:tc>
          <w:tcPr>
            <w:tcW w:w="180" w:type="dxa"/>
            <w:vAlign w:val="bottom"/>
            <w:shd w:val="clear" w:color="auto" w:fill="D1EEF5"/>
          </w:tcPr>
          <w:p>
            <w:pPr>
              <w:spacing w:after="0"/>
              <w:rPr>
                <w:sz w:val="13"/>
                <w:szCs w:val="13"/>
                <w:color w:val="auto"/>
              </w:rPr>
            </w:pPr>
          </w:p>
        </w:tc>
        <w:tc>
          <w:tcPr>
            <w:tcW w:w="140" w:type="dxa"/>
            <w:vAlign w:val="bottom"/>
            <w:shd w:val="clear" w:color="auto" w:fill="D1EEF5"/>
          </w:tcPr>
          <w:p>
            <w:pPr>
              <w:spacing w:after="0"/>
              <w:rPr>
                <w:sz w:val="13"/>
                <w:szCs w:val="13"/>
                <w:color w:val="auto"/>
              </w:rPr>
            </w:pPr>
          </w:p>
        </w:tc>
        <w:tc>
          <w:tcPr>
            <w:tcW w:w="860" w:type="dxa"/>
            <w:vAlign w:val="bottom"/>
            <w:shd w:val="clear" w:color="auto" w:fill="D1EEF5"/>
          </w:tcPr>
          <w:p>
            <w:pPr>
              <w:spacing w:after="0"/>
              <w:rPr>
                <w:sz w:val="13"/>
                <w:szCs w:val="13"/>
                <w:color w:val="auto"/>
              </w:rPr>
            </w:pPr>
          </w:p>
        </w:tc>
        <w:tc>
          <w:tcPr>
            <w:tcW w:w="760" w:type="dxa"/>
            <w:vAlign w:val="bottom"/>
            <w:gridSpan w:val="2"/>
            <w:shd w:val="clear" w:color="auto" w:fill="D1EEF5"/>
          </w:tcPr>
          <w:p>
            <w:pPr>
              <w:jc w:val="right"/>
              <w:ind w:right="260"/>
              <w:spacing w:after="0" w:line="156" w:lineRule="exact"/>
              <w:rPr>
                <w:sz w:val="20"/>
                <w:szCs w:val="20"/>
                <w:color w:val="auto"/>
              </w:rPr>
            </w:pPr>
            <w:r>
              <w:rPr>
                <w:rFonts w:ascii="Times New Roman" w:cs="Times New Roman" w:eastAsia="Times New Roman" w:hAnsi="Times New Roman"/>
                <w:sz w:val="14"/>
                <w:szCs w:val="14"/>
                <w:color w:val="auto"/>
              </w:rPr>
              <w:t>1</w:t>
            </w:r>
          </w:p>
        </w:tc>
        <w:tc>
          <w:tcPr>
            <w:tcW w:w="134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D1EEF5"/>
          </w:tcPr>
          <w:p>
            <w:pPr>
              <w:spacing w:after="0"/>
              <w:rPr>
                <w:sz w:val="13"/>
                <w:szCs w:val="13"/>
                <w:color w:val="auto"/>
              </w:rPr>
            </w:pPr>
          </w:p>
        </w:tc>
      </w:tr>
      <w:tr>
        <w:trPr>
          <w:trHeight w:val="157"/>
        </w:trPr>
        <w:tc>
          <w:tcPr>
            <w:tcW w:w="330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Interest expense, net</w:t>
            </w: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gridSpan w:val="2"/>
          </w:tcPr>
          <w:p>
            <w:pPr>
              <w:jc w:val="right"/>
              <w:ind w:right="220"/>
              <w:spacing w:after="0" w:line="157" w:lineRule="exact"/>
              <w:rPr>
                <w:sz w:val="20"/>
                <w:szCs w:val="20"/>
                <w:color w:val="auto"/>
              </w:rPr>
            </w:pPr>
            <w:r>
              <w:rPr>
                <w:rFonts w:ascii="Times New Roman" w:cs="Times New Roman" w:eastAsia="Times New Roman" w:hAnsi="Times New Roman"/>
                <w:sz w:val="14"/>
                <w:szCs w:val="14"/>
                <w:color w:val="auto"/>
              </w:rPr>
              <w:t>(6,945)</w:t>
            </w:r>
          </w:p>
        </w:tc>
        <w:tc>
          <w:tcPr>
            <w:tcW w:w="1020" w:type="dxa"/>
            <w:vAlign w:val="bottom"/>
          </w:tcPr>
          <w:p>
            <w:pPr>
              <w:spacing w:after="0"/>
              <w:rPr>
                <w:sz w:val="13"/>
                <w:szCs w:val="13"/>
                <w:color w:val="auto"/>
              </w:rPr>
            </w:pPr>
          </w:p>
        </w:tc>
        <w:tc>
          <w:tcPr>
            <w:tcW w:w="500" w:type="dxa"/>
            <w:vAlign w:val="bottom"/>
            <w:gridSpan w:val="2"/>
          </w:tcPr>
          <w:p>
            <w:pPr>
              <w:jc w:val="right"/>
              <w:ind w:right="72"/>
              <w:spacing w:after="0" w:line="157" w:lineRule="exact"/>
              <w:rPr>
                <w:sz w:val="20"/>
                <w:szCs w:val="20"/>
                <w:color w:val="auto"/>
              </w:rPr>
            </w:pPr>
            <w:r>
              <w:rPr>
                <w:rFonts w:ascii="Times New Roman" w:cs="Times New Roman" w:eastAsia="Times New Roman" w:hAnsi="Times New Roman"/>
                <w:sz w:val="14"/>
                <w:szCs w:val="14"/>
                <w:color w:val="auto"/>
              </w:rPr>
              <w:t>(8.1)</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gridSpan w:val="2"/>
          </w:tcPr>
          <w:p>
            <w:pPr>
              <w:jc w:val="right"/>
              <w:ind w:right="220"/>
              <w:spacing w:after="0" w:line="157" w:lineRule="exact"/>
              <w:rPr>
                <w:sz w:val="20"/>
                <w:szCs w:val="20"/>
                <w:color w:val="auto"/>
              </w:rPr>
            </w:pPr>
            <w:r>
              <w:rPr>
                <w:rFonts w:ascii="Times New Roman" w:cs="Times New Roman" w:eastAsia="Times New Roman" w:hAnsi="Times New Roman"/>
                <w:sz w:val="14"/>
                <w:szCs w:val="14"/>
                <w:color w:val="auto"/>
              </w:rPr>
              <w:t>(519)</w:t>
            </w:r>
          </w:p>
        </w:tc>
        <w:tc>
          <w:tcPr>
            <w:tcW w:w="1440" w:type="dxa"/>
            <w:vAlign w:val="bottom"/>
            <w:gridSpan w:val="2"/>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rPr>
              <w:t>(0.7)</w:t>
            </w:r>
          </w:p>
        </w:tc>
      </w:tr>
      <w:tr>
        <w:trPr>
          <w:trHeight w:val="156"/>
        </w:trPr>
        <w:tc>
          <w:tcPr>
            <w:tcW w:w="3300" w:type="dxa"/>
            <w:vAlign w:val="bottom"/>
            <w:shd w:val="clear" w:color="auto" w:fill="D1EEF5"/>
          </w:tcPr>
          <w:p>
            <w:pPr>
              <w:ind w:left="140"/>
              <w:spacing w:after="0" w:line="156" w:lineRule="exact"/>
              <w:rPr>
                <w:sz w:val="20"/>
                <w:szCs w:val="20"/>
                <w:color w:val="auto"/>
              </w:rPr>
            </w:pPr>
            <w:r>
              <w:rPr>
                <w:rFonts w:ascii="Times New Roman" w:cs="Times New Roman" w:eastAsia="Times New Roman" w:hAnsi="Times New Roman"/>
                <w:sz w:val="14"/>
                <w:szCs w:val="14"/>
                <w:color w:val="auto"/>
              </w:rPr>
              <w:t>Change in fair market value of warrant liability</w:t>
            </w:r>
          </w:p>
        </w:tc>
        <w:tc>
          <w:tcPr>
            <w:tcW w:w="600" w:type="dxa"/>
            <w:vAlign w:val="bottom"/>
            <w:shd w:val="clear" w:color="auto" w:fill="D1EEF5"/>
          </w:tcPr>
          <w:p>
            <w:pPr>
              <w:spacing w:after="0"/>
              <w:rPr>
                <w:sz w:val="13"/>
                <w:szCs w:val="13"/>
                <w:color w:val="auto"/>
              </w:rPr>
            </w:pPr>
          </w:p>
        </w:tc>
        <w:tc>
          <w:tcPr>
            <w:tcW w:w="840" w:type="dxa"/>
            <w:vAlign w:val="bottom"/>
            <w:shd w:val="clear" w:color="auto" w:fill="D1EEF5"/>
          </w:tcPr>
          <w:p>
            <w:pPr>
              <w:spacing w:after="0"/>
              <w:rPr>
                <w:sz w:val="13"/>
                <w:szCs w:val="13"/>
                <w:color w:val="auto"/>
              </w:rPr>
            </w:pPr>
          </w:p>
        </w:tc>
        <w:tc>
          <w:tcPr>
            <w:tcW w:w="780" w:type="dxa"/>
            <w:vAlign w:val="bottom"/>
            <w:gridSpan w:val="2"/>
            <w:shd w:val="clear" w:color="auto" w:fill="D1EEF5"/>
          </w:tcPr>
          <w:p>
            <w:pPr>
              <w:jc w:val="right"/>
              <w:ind w:right="260"/>
              <w:spacing w:after="0" w:line="156" w:lineRule="exact"/>
              <w:rPr>
                <w:sz w:val="20"/>
                <w:szCs w:val="20"/>
                <w:color w:val="auto"/>
              </w:rPr>
            </w:pPr>
            <w:r>
              <w:rPr>
                <w:rFonts w:ascii="Times New Roman" w:cs="Times New Roman" w:eastAsia="Times New Roman" w:hAnsi="Times New Roman"/>
                <w:sz w:val="14"/>
                <w:szCs w:val="14"/>
                <w:color w:val="auto"/>
              </w:rPr>
              <w:t>5,446</w:t>
            </w:r>
          </w:p>
        </w:tc>
        <w:tc>
          <w:tcPr>
            <w:tcW w:w="1020" w:type="dxa"/>
            <w:vAlign w:val="bottom"/>
            <w:shd w:val="clear" w:color="auto" w:fill="D1EEF5"/>
          </w:tcPr>
          <w:p>
            <w:pPr>
              <w:spacing w:after="0"/>
              <w:rPr>
                <w:sz w:val="13"/>
                <w:szCs w:val="13"/>
                <w:color w:val="auto"/>
              </w:rPr>
            </w:pPr>
          </w:p>
        </w:tc>
        <w:tc>
          <w:tcPr>
            <w:tcW w:w="32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6.3</w:t>
            </w:r>
          </w:p>
        </w:tc>
        <w:tc>
          <w:tcPr>
            <w:tcW w:w="180" w:type="dxa"/>
            <w:vAlign w:val="bottom"/>
            <w:shd w:val="clear" w:color="auto" w:fill="D1EEF5"/>
          </w:tcPr>
          <w:p>
            <w:pPr>
              <w:spacing w:after="0"/>
              <w:rPr>
                <w:sz w:val="13"/>
                <w:szCs w:val="13"/>
                <w:color w:val="auto"/>
              </w:rPr>
            </w:pPr>
          </w:p>
        </w:tc>
        <w:tc>
          <w:tcPr>
            <w:tcW w:w="140" w:type="dxa"/>
            <w:vAlign w:val="bottom"/>
            <w:shd w:val="clear" w:color="auto" w:fill="D1EEF5"/>
          </w:tcPr>
          <w:p>
            <w:pPr>
              <w:spacing w:after="0"/>
              <w:rPr>
                <w:sz w:val="13"/>
                <w:szCs w:val="13"/>
                <w:color w:val="auto"/>
              </w:rPr>
            </w:pPr>
          </w:p>
        </w:tc>
        <w:tc>
          <w:tcPr>
            <w:tcW w:w="860" w:type="dxa"/>
            <w:vAlign w:val="bottom"/>
            <w:shd w:val="clear" w:color="auto" w:fill="D1EEF5"/>
          </w:tcPr>
          <w:p>
            <w:pPr>
              <w:spacing w:after="0"/>
              <w:rPr>
                <w:sz w:val="13"/>
                <w:szCs w:val="13"/>
                <w:color w:val="auto"/>
              </w:rPr>
            </w:pPr>
          </w:p>
        </w:tc>
        <w:tc>
          <w:tcPr>
            <w:tcW w:w="760" w:type="dxa"/>
            <w:vAlign w:val="bottom"/>
            <w:gridSpan w:val="2"/>
            <w:shd w:val="clear" w:color="auto" w:fill="D1EEF5"/>
          </w:tcPr>
          <w:p>
            <w:pPr>
              <w:jc w:val="right"/>
              <w:ind w:right="2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D1EEF5"/>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w:t>
            </w:r>
          </w:p>
        </w:tc>
      </w:tr>
      <w:tr>
        <w:trPr>
          <w:trHeight w:val="167"/>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extinguishment</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(4,824)</w:t>
            </w:r>
          </w:p>
        </w:tc>
        <w:tc>
          <w:tcPr>
            <w:tcW w:w="10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3300" w:type="dxa"/>
            <w:vAlign w:val="bottom"/>
            <w:tcBorders>
              <w:top w:val="single" w:sz="8" w:color="D1EEF5"/>
              <w:bottom w:val="single" w:sz="8" w:color="D1EEF5"/>
            </w:tcBorders>
            <w:shd w:val="clear" w:color="auto" w:fill="D1EEF5"/>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Total Other Expense</w:t>
            </w:r>
          </w:p>
        </w:tc>
        <w:tc>
          <w:tcPr>
            <w:tcW w:w="600" w:type="dxa"/>
            <w:vAlign w:val="bottom"/>
            <w:tcBorders>
              <w:top w:val="single" w:sz="8" w:color="D1EEF5"/>
              <w:bottom w:val="single" w:sz="8" w:color="D1EEF5"/>
            </w:tcBorders>
            <w:shd w:val="clear" w:color="auto" w:fill="D1EEF5"/>
          </w:tcPr>
          <w:p>
            <w:pPr>
              <w:spacing w:after="0"/>
              <w:rPr>
                <w:sz w:val="14"/>
                <w:szCs w:val="14"/>
                <w:color w:val="auto"/>
              </w:rPr>
            </w:pPr>
          </w:p>
        </w:tc>
        <w:tc>
          <w:tcPr>
            <w:tcW w:w="840" w:type="dxa"/>
            <w:vAlign w:val="bottom"/>
            <w:tcBorders>
              <w:top w:val="single" w:sz="8" w:color="auto"/>
              <w:bottom w:val="single" w:sz="8" w:color="auto"/>
            </w:tcBorders>
            <w:shd w:val="clear" w:color="auto" w:fill="D1EEF5"/>
          </w:tcPr>
          <w:p>
            <w:pPr>
              <w:spacing w:after="0"/>
              <w:rPr>
                <w:sz w:val="14"/>
                <w:szCs w:val="14"/>
                <w:color w:val="auto"/>
              </w:rPr>
            </w:pPr>
          </w:p>
        </w:tc>
        <w:tc>
          <w:tcPr>
            <w:tcW w:w="480" w:type="dxa"/>
            <w:vAlign w:val="bottom"/>
            <w:tcBorders>
              <w:top w:val="single" w:sz="8" w:color="auto"/>
              <w:bottom w:val="single" w:sz="8" w:color="auto"/>
            </w:tcBorders>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(6,283</w:t>
            </w:r>
          </w:p>
        </w:tc>
        <w:tc>
          <w:tcPr>
            <w:tcW w:w="300" w:type="dxa"/>
            <w:vAlign w:val="bottom"/>
            <w:tcBorders>
              <w:top w:val="single" w:sz="8" w:color="D1EEF5"/>
              <w:bottom w:val="single" w:sz="8" w:color="D1EEF5"/>
            </w:tcBorders>
            <w:shd w:val="clear" w:color="auto" w:fill="D1EEF5"/>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020" w:type="dxa"/>
            <w:vAlign w:val="bottom"/>
            <w:tcBorders>
              <w:top w:val="single" w:sz="8" w:color="auto"/>
              <w:bottom w:val="single" w:sz="8" w:color="auto"/>
            </w:tcBorders>
            <w:shd w:val="clear" w:color="auto" w:fill="D1EEF5"/>
          </w:tcPr>
          <w:p>
            <w:pPr>
              <w:spacing w:after="0"/>
              <w:rPr>
                <w:sz w:val="14"/>
                <w:szCs w:val="14"/>
                <w:color w:val="auto"/>
              </w:rPr>
            </w:pPr>
          </w:p>
        </w:tc>
        <w:tc>
          <w:tcPr>
            <w:tcW w:w="320" w:type="dxa"/>
            <w:vAlign w:val="bottom"/>
            <w:tcBorders>
              <w:top w:val="single" w:sz="8" w:color="auto"/>
              <w:bottom w:val="single" w:sz="8" w:color="auto"/>
            </w:tcBorders>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(7.3</w:t>
            </w:r>
          </w:p>
        </w:tc>
        <w:tc>
          <w:tcPr>
            <w:tcW w:w="180" w:type="dxa"/>
            <w:vAlign w:val="bottom"/>
            <w:tcBorders>
              <w:top w:val="single" w:sz="8" w:color="D1EEF5"/>
              <w:bottom w:val="single" w:sz="8" w:color="D1EEF5"/>
            </w:tcBorders>
            <w:shd w:val="clear" w:color="auto" w:fill="D1EEF5"/>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D1EEF5"/>
              <w:bottom w:val="single" w:sz="8" w:color="D1EEF5"/>
            </w:tcBorders>
            <w:shd w:val="clear" w:color="auto" w:fill="D1EEF5"/>
          </w:tcPr>
          <w:p>
            <w:pPr>
              <w:spacing w:after="0"/>
              <w:rPr>
                <w:sz w:val="14"/>
                <w:szCs w:val="14"/>
                <w:color w:val="auto"/>
              </w:rPr>
            </w:pPr>
          </w:p>
        </w:tc>
        <w:tc>
          <w:tcPr>
            <w:tcW w:w="860" w:type="dxa"/>
            <w:vAlign w:val="bottom"/>
            <w:tcBorders>
              <w:top w:val="single" w:sz="8" w:color="auto"/>
              <w:bottom w:val="single" w:sz="8" w:color="auto"/>
            </w:tcBorders>
            <w:shd w:val="clear" w:color="auto" w:fill="D1EEF5"/>
          </w:tcPr>
          <w:p>
            <w:pPr>
              <w:spacing w:after="0"/>
              <w:rPr>
                <w:sz w:val="14"/>
                <w:szCs w:val="14"/>
                <w:color w:val="auto"/>
              </w:rPr>
            </w:pPr>
          </w:p>
        </w:tc>
        <w:tc>
          <w:tcPr>
            <w:tcW w:w="460" w:type="dxa"/>
            <w:vAlign w:val="bottom"/>
            <w:tcBorders>
              <w:top w:val="single" w:sz="8" w:color="auto"/>
              <w:bottom w:val="single" w:sz="8" w:color="auto"/>
            </w:tcBorders>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(518</w:t>
            </w:r>
          </w:p>
        </w:tc>
        <w:tc>
          <w:tcPr>
            <w:tcW w:w="300" w:type="dxa"/>
            <w:vAlign w:val="bottom"/>
            <w:tcBorders>
              <w:top w:val="single" w:sz="8" w:color="D1EEF5"/>
              <w:bottom w:val="single" w:sz="8" w:color="D1EEF5"/>
            </w:tcBorders>
            <w:shd w:val="clear" w:color="auto" w:fill="D1EEF5"/>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340" w:type="dxa"/>
            <w:vAlign w:val="bottom"/>
            <w:tcBorders>
              <w:top w:val="single" w:sz="8" w:color="auto"/>
              <w:bottom w:val="single" w:sz="8" w:color="auto"/>
            </w:tcBorders>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top w:val="single" w:sz="8" w:color="D1EEF5"/>
              <w:bottom w:val="single" w:sz="8" w:color="D1EEF5"/>
            </w:tcBorders>
            <w:shd w:val="clear" w:color="auto" w:fill="D1EEF5"/>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140"/>
        </w:trPr>
        <w:tc>
          <w:tcPr>
            <w:tcW w:w="3300" w:type="dxa"/>
            <w:vAlign w:val="bottom"/>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(Loss) Income Before Taxes</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w w:val="96"/>
              </w:rPr>
              <w:t>(40,280)</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gridSpan w:val="2"/>
          </w:tcPr>
          <w:p>
            <w:pPr>
              <w:jc w:val="right"/>
              <w:ind w:right="72"/>
              <w:spacing w:after="0" w:line="140" w:lineRule="exact"/>
              <w:rPr>
                <w:sz w:val="20"/>
                <w:szCs w:val="20"/>
                <w:color w:val="auto"/>
              </w:rPr>
            </w:pPr>
            <w:r>
              <w:rPr>
                <w:rFonts w:ascii="Times New Roman" w:cs="Times New Roman" w:eastAsia="Times New Roman" w:hAnsi="Times New Roman"/>
                <w:sz w:val="14"/>
                <w:szCs w:val="14"/>
                <w:color w:val="auto"/>
              </w:rPr>
              <w:t>(46.7)</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5,949</w:t>
            </w:r>
          </w:p>
        </w:tc>
        <w:tc>
          <w:tcPr>
            <w:tcW w:w="300" w:type="dxa"/>
            <w:vAlign w:val="bottom"/>
          </w:tcPr>
          <w:p>
            <w:pPr>
              <w:spacing w:after="0"/>
              <w:rPr>
                <w:sz w:val="12"/>
                <w:szCs w:val="12"/>
                <w:color w:val="auto"/>
              </w:rPr>
            </w:pPr>
          </w:p>
        </w:tc>
        <w:tc>
          <w:tcPr>
            <w:tcW w:w="13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2"/>
                <w:szCs w:val="12"/>
                <w:color w:val="auto"/>
              </w:rPr>
            </w:pPr>
          </w:p>
        </w:tc>
      </w:tr>
      <w:tr>
        <w:trPr>
          <w:trHeight w:val="184"/>
        </w:trPr>
        <w:tc>
          <w:tcPr>
            <w:tcW w:w="33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Income Tax (Benefit) Expense</w:t>
            </w:r>
          </w:p>
        </w:tc>
        <w:tc>
          <w:tcPr>
            <w:tcW w:w="600" w:type="dxa"/>
            <w:vAlign w:val="bottom"/>
            <w:shd w:val="clear" w:color="auto" w:fill="D1EEF5"/>
          </w:tcPr>
          <w:p>
            <w:pPr>
              <w:spacing w:after="0"/>
              <w:rPr>
                <w:sz w:val="16"/>
                <w:szCs w:val="16"/>
                <w:color w:val="auto"/>
              </w:rPr>
            </w:pPr>
          </w:p>
        </w:tc>
        <w:tc>
          <w:tcPr>
            <w:tcW w:w="840" w:type="dxa"/>
            <w:vAlign w:val="bottom"/>
            <w:shd w:val="clear" w:color="auto" w:fill="D1EEF5"/>
          </w:tcPr>
          <w:p>
            <w:pPr>
              <w:spacing w:after="0"/>
              <w:rPr>
                <w:sz w:val="16"/>
                <w:szCs w:val="16"/>
                <w:color w:val="auto"/>
              </w:rPr>
            </w:pPr>
          </w:p>
        </w:tc>
        <w:tc>
          <w:tcPr>
            <w:tcW w:w="780" w:type="dxa"/>
            <w:vAlign w:val="bottom"/>
            <w:gridSpan w:val="2"/>
            <w:shd w:val="clear" w:color="auto" w:fill="D1EEF5"/>
          </w:tcPr>
          <w:p>
            <w:pPr>
              <w:jc w:val="right"/>
              <w:ind w:right="220"/>
              <w:spacing w:after="0"/>
              <w:rPr>
                <w:sz w:val="20"/>
                <w:szCs w:val="20"/>
                <w:color w:val="auto"/>
              </w:rPr>
            </w:pPr>
            <w:r>
              <w:rPr>
                <w:rFonts w:ascii="Times New Roman" w:cs="Times New Roman" w:eastAsia="Times New Roman" w:hAnsi="Times New Roman"/>
                <w:sz w:val="14"/>
                <w:szCs w:val="14"/>
                <w:color w:val="auto"/>
              </w:rPr>
              <w:t>(709)</w:t>
            </w:r>
          </w:p>
        </w:tc>
        <w:tc>
          <w:tcPr>
            <w:tcW w:w="1020" w:type="dxa"/>
            <w:vAlign w:val="bottom"/>
            <w:shd w:val="clear" w:color="auto" w:fill="D1EEF5"/>
          </w:tcPr>
          <w:p>
            <w:pPr>
              <w:spacing w:after="0"/>
              <w:rPr>
                <w:sz w:val="16"/>
                <w:szCs w:val="16"/>
                <w:color w:val="auto"/>
              </w:rPr>
            </w:pPr>
          </w:p>
        </w:tc>
        <w:tc>
          <w:tcPr>
            <w:tcW w:w="500" w:type="dxa"/>
            <w:vAlign w:val="bottom"/>
            <w:gridSpan w:val="2"/>
            <w:shd w:val="clear" w:color="auto" w:fill="D1EEF5"/>
          </w:tcPr>
          <w:p>
            <w:pPr>
              <w:jc w:val="right"/>
              <w:ind w:right="72"/>
              <w:spacing w:after="0"/>
              <w:rPr>
                <w:sz w:val="20"/>
                <w:szCs w:val="20"/>
                <w:color w:val="auto"/>
              </w:rPr>
            </w:pPr>
            <w:r>
              <w:rPr>
                <w:rFonts w:ascii="Times New Roman" w:cs="Times New Roman" w:eastAsia="Times New Roman" w:hAnsi="Times New Roman"/>
                <w:sz w:val="14"/>
                <w:szCs w:val="14"/>
                <w:color w:val="auto"/>
              </w:rPr>
              <w:t>(0.8)</w:t>
            </w:r>
          </w:p>
        </w:tc>
        <w:tc>
          <w:tcPr>
            <w:tcW w:w="140" w:type="dxa"/>
            <w:vAlign w:val="bottom"/>
            <w:shd w:val="clear" w:color="auto" w:fill="D1EEF5"/>
          </w:tcPr>
          <w:p>
            <w:pPr>
              <w:spacing w:after="0"/>
              <w:rPr>
                <w:sz w:val="16"/>
                <w:szCs w:val="16"/>
                <w:color w:val="auto"/>
              </w:rPr>
            </w:pPr>
          </w:p>
        </w:tc>
        <w:tc>
          <w:tcPr>
            <w:tcW w:w="860" w:type="dxa"/>
            <w:vAlign w:val="bottom"/>
            <w:shd w:val="clear" w:color="auto" w:fill="D1EEF5"/>
          </w:tcPr>
          <w:p>
            <w:pPr>
              <w:spacing w:after="0"/>
              <w:rPr>
                <w:sz w:val="16"/>
                <w:szCs w:val="16"/>
                <w:color w:val="auto"/>
              </w:rPr>
            </w:pPr>
          </w:p>
        </w:tc>
        <w:tc>
          <w:tcPr>
            <w:tcW w:w="760" w:type="dxa"/>
            <w:vAlign w:val="bottom"/>
            <w:gridSpan w:val="2"/>
            <w:shd w:val="clear" w:color="auto" w:fill="D1EEF5"/>
          </w:tcPr>
          <w:p>
            <w:pPr>
              <w:jc w:val="right"/>
              <w:ind w:right="260"/>
              <w:spacing w:after="0"/>
              <w:rPr>
                <w:sz w:val="20"/>
                <w:szCs w:val="20"/>
                <w:color w:val="auto"/>
              </w:rPr>
            </w:pPr>
            <w:r>
              <w:rPr>
                <w:rFonts w:ascii="Times New Roman" w:cs="Times New Roman" w:eastAsia="Times New Roman" w:hAnsi="Times New Roman"/>
                <w:sz w:val="14"/>
                <w:szCs w:val="14"/>
                <w:color w:val="auto"/>
              </w:rPr>
              <w:t>1,611</w:t>
            </w:r>
          </w:p>
        </w:tc>
        <w:tc>
          <w:tcPr>
            <w:tcW w:w="13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D1EEF5"/>
          </w:tcPr>
          <w:p>
            <w:pPr>
              <w:spacing w:after="0"/>
              <w:rPr>
                <w:sz w:val="16"/>
                <w:szCs w:val="16"/>
                <w:color w:val="auto"/>
              </w:rPr>
            </w:pPr>
          </w:p>
        </w:tc>
      </w:tr>
      <w:tr>
        <w:trPr>
          <w:trHeight w:val="166"/>
        </w:trPr>
        <w:tc>
          <w:tcPr>
            <w:tcW w:w="3300" w:type="dxa"/>
            <w:vAlign w:val="bottom"/>
            <w:tcBorders>
              <w:top w:val="single" w:sz="8" w:color="D1EEF5"/>
            </w:tcBorders>
          </w:tcPr>
          <w:p>
            <w:pPr>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600" w:type="dxa"/>
            <w:vAlign w:val="bottom"/>
            <w:tcBorders>
              <w:top w:val="single" w:sz="8" w:color="D1EEF5"/>
            </w:tcBorders>
          </w:tcPr>
          <w:p>
            <w:pPr>
              <w:spacing w:after="0"/>
              <w:rPr>
                <w:sz w:val="14"/>
                <w:szCs w:val="14"/>
                <w:color w:val="auto"/>
              </w:rPr>
            </w:pPr>
          </w:p>
        </w:tc>
        <w:tc>
          <w:tcPr>
            <w:tcW w:w="840" w:type="dxa"/>
            <w:vAlign w:val="bottom"/>
            <w:tcBorders>
              <w:top w:val="single" w:sz="8" w:color="auto"/>
            </w:tcBorders>
          </w:tcPr>
          <w:p>
            <w:pPr>
              <w:jc w:val="right"/>
              <w:ind w:right="71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(39,571</w:t>
            </w:r>
          </w:p>
        </w:tc>
        <w:tc>
          <w:tcPr>
            <w:tcW w:w="300" w:type="dxa"/>
            <w:vAlign w:val="bottom"/>
            <w:tcBorders>
              <w:top w:val="single" w:sz="8" w:color="D1EEF5"/>
            </w:tcBorders>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0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80" w:type="dxa"/>
            <w:vAlign w:val="bottom"/>
            <w:tcBorders>
              <w:top w:val="single" w:sz="8" w:color="D1EEF5"/>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D1EEF5"/>
            </w:tcBorders>
          </w:tcPr>
          <w:p>
            <w:pPr>
              <w:spacing w:after="0"/>
              <w:rPr>
                <w:sz w:val="14"/>
                <w:szCs w:val="14"/>
                <w:color w:val="auto"/>
              </w:rPr>
            </w:pPr>
          </w:p>
        </w:tc>
        <w:tc>
          <w:tcPr>
            <w:tcW w:w="860" w:type="dxa"/>
            <w:vAlign w:val="bottom"/>
            <w:tcBorders>
              <w:top w:val="single" w:sz="8" w:color="auto"/>
            </w:tcBorders>
          </w:tcPr>
          <w:p>
            <w:pPr>
              <w:jc w:val="right"/>
              <w:ind w:right="73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300" w:type="dxa"/>
            <w:vAlign w:val="bottom"/>
            <w:tcBorders>
              <w:top w:val="single" w:sz="8" w:color="D1EEF5"/>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top w:val="single" w:sz="8" w:color="D1EEF5"/>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-29210</wp:posOffset>
            </wp:positionV>
            <wp:extent cx="3992245" cy="49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7">
                      <a:extLst>
                        <a:ext uri="{28A0092B-C50C-407E-A947-70E740481C1C}"/>
                      </a:extLst>
                    </a:blip>
                    <a:srcRect/>
                    <a:stretch>
                      <a:fillRect/>
                    </a:stretch>
                  </pic:blipFill>
                  <pic:spPr bwMode="auto">
                    <a:xfrm>
                      <a:off x="0" y="0"/>
                      <a:ext cx="3992245" cy="4953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50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39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4"/>
        </w:trPr>
        <w:tc>
          <w:tcPr>
            <w:tcW w:w="39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b w:val="1"/>
                <w:bCs w:val="1"/>
                <w:color w:val="auto"/>
              </w:rPr>
              <w:t>(in</w:t>
            </w:r>
          </w:p>
        </w:tc>
        <w:tc>
          <w:tcPr>
            <w:tcW w:w="1180" w:type="dxa"/>
            <w:vAlign w:val="bottom"/>
            <w:gridSpan w:val="2"/>
          </w:tcPr>
          <w:p>
            <w:pPr>
              <w:jc w:val="right"/>
              <w:ind w:right="552"/>
              <w:spacing w:after="0" w:line="144"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6"/>
        </w:trPr>
        <w:tc>
          <w:tcPr>
            <w:tcW w:w="3980" w:type="dxa"/>
            <w:vAlign w:val="bottom"/>
            <w:shd w:val="clear" w:color="auto" w:fill="D1EEF5"/>
          </w:tcPr>
          <w:p>
            <w:pPr>
              <w:ind w:left="140"/>
              <w:spacing w:after="0" w:line="156" w:lineRule="exact"/>
              <w:rPr>
                <w:sz w:val="20"/>
                <w:szCs w:val="20"/>
                <w:color w:val="auto"/>
              </w:rPr>
            </w:pPr>
            <w:r>
              <w:rPr>
                <w:rFonts w:ascii="Times New Roman" w:cs="Times New Roman" w:eastAsia="Times New Roman" w:hAnsi="Times New Roman"/>
                <w:sz w:val="14"/>
                <w:szCs w:val="14"/>
                <w:color w:val="auto"/>
              </w:rPr>
              <w:t>Retailer</w:t>
            </w:r>
          </w:p>
        </w:tc>
        <w:tc>
          <w:tcPr>
            <w:tcW w:w="3200" w:type="dxa"/>
            <w:vAlign w:val="bottom"/>
            <w:shd w:val="clear" w:color="auto" w:fill="D1EEF5"/>
          </w:tcPr>
          <w:p>
            <w:pPr>
              <w:spacing w:after="0"/>
              <w:rPr>
                <w:sz w:val="13"/>
                <w:szCs w:val="13"/>
                <w:color w:val="auto"/>
              </w:rPr>
            </w:pPr>
          </w:p>
        </w:tc>
        <w:tc>
          <w:tcPr>
            <w:tcW w:w="860" w:type="dxa"/>
            <w:vAlign w:val="bottom"/>
            <w:shd w:val="clear" w:color="auto" w:fill="D1EEF5"/>
          </w:tcPr>
          <w:p>
            <w:pPr>
              <w:spacing w:after="0"/>
              <w:rPr>
                <w:sz w:val="13"/>
                <w:szCs w:val="13"/>
                <w:color w:val="auto"/>
              </w:rPr>
            </w:pPr>
          </w:p>
        </w:tc>
        <w:tc>
          <w:tcPr>
            <w:tcW w:w="760" w:type="dxa"/>
            <w:vAlign w:val="bottom"/>
            <w:gridSpan w:val="2"/>
            <w:shd w:val="clear" w:color="auto" w:fill="D1EEF5"/>
          </w:tcPr>
          <w:p>
            <w:pPr>
              <w:jc w:val="right"/>
              <w:ind w:right="232"/>
              <w:spacing w:after="0" w:line="156" w:lineRule="exact"/>
              <w:rPr>
                <w:sz w:val="20"/>
                <w:szCs w:val="20"/>
                <w:color w:val="auto"/>
              </w:rPr>
            </w:pPr>
            <w:r>
              <w:rPr>
                <w:rFonts w:ascii="Times New Roman" w:cs="Times New Roman" w:eastAsia="Times New Roman" w:hAnsi="Times New Roman"/>
                <w:sz w:val="14"/>
                <w:szCs w:val="14"/>
                <w:color w:val="auto"/>
              </w:rPr>
              <w:t>43,344</w:t>
            </w:r>
          </w:p>
        </w:tc>
        <w:tc>
          <w:tcPr>
            <w:tcW w:w="880" w:type="dxa"/>
            <w:vAlign w:val="bottom"/>
            <w:shd w:val="clear" w:color="auto" w:fill="D1EEF5"/>
          </w:tcPr>
          <w:p>
            <w:pPr>
              <w:spacing w:after="0"/>
              <w:rPr>
                <w:sz w:val="13"/>
                <w:szCs w:val="13"/>
                <w:color w:val="auto"/>
              </w:rPr>
            </w:pPr>
          </w:p>
        </w:tc>
        <w:tc>
          <w:tcPr>
            <w:tcW w:w="46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59,042</w:t>
            </w:r>
          </w:p>
        </w:tc>
        <w:tc>
          <w:tcPr>
            <w:tcW w:w="100" w:type="dxa"/>
            <w:vAlign w:val="bottom"/>
            <w:shd w:val="clear" w:color="auto" w:fill="D1EEF5"/>
          </w:tcPr>
          <w:p>
            <w:pPr>
              <w:spacing w:after="0"/>
              <w:rPr>
                <w:sz w:val="13"/>
                <w:szCs w:val="13"/>
                <w:color w:val="auto"/>
              </w:rPr>
            </w:pPr>
          </w:p>
        </w:tc>
      </w:tr>
      <w:tr>
        <w:trPr>
          <w:trHeight w:val="165"/>
        </w:trPr>
        <w:tc>
          <w:tcPr>
            <w:tcW w:w="398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Distributor</w:t>
            </w:r>
          </w:p>
        </w:tc>
        <w:tc>
          <w:tcPr>
            <w:tcW w:w="3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gridSpan w:val="2"/>
          </w:tcPr>
          <w:p>
            <w:pPr>
              <w:jc w:val="right"/>
              <w:ind w:right="232"/>
              <w:spacing w:after="0" w:line="159" w:lineRule="exact"/>
              <w:rPr>
                <w:sz w:val="20"/>
                <w:szCs w:val="20"/>
                <w:color w:val="auto"/>
              </w:rPr>
            </w:pPr>
            <w:r>
              <w:rPr>
                <w:rFonts w:ascii="Times New Roman" w:cs="Times New Roman" w:eastAsia="Times New Roman" w:hAnsi="Times New Roman"/>
                <w:sz w:val="14"/>
                <w:szCs w:val="14"/>
                <w:color w:val="auto"/>
              </w:rPr>
              <w:t>9,102</w:t>
            </w:r>
          </w:p>
        </w:tc>
        <w:tc>
          <w:tcPr>
            <w:tcW w:w="880" w:type="dxa"/>
            <w:vAlign w:val="bottom"/>
          </w:tcPr>
          <w:p>
            <w:pPr>
              <w:spacing w:after="0"/>
              <w:rPr>
                <w:sz w:val="14"/>
                <w:szCs w:val="14"/>
                <w:color w:val="auto"/>
              </w:rPr>
            </w:pPr>
          </w:p>
        </w:tc>
        <w:tc>
          <w:tcPr>
            <w:tcW w:w="4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10,733</w:t>
            </w:r>
          </w:p>
        </w:tc>
        <w:tc>
          <w:tcPr>
            <w:tcW w:w="100" w:type="dxa"/>
            <w:vAlign w:val="bottom"/>
          </w:tcPr>
          <w:p>
            <w:pPr>
              <w:spacing w:after="0"/>
              <w:rPr>
                <w:sz w:val="14"/>
                <w:szCs w:val="14"/>
                <w:color w:val="auto"/>
              </w:rPr>
            </w:pPr>
          </w:p>
        </w:tc>
      </w:tr>
      <w:tr>
        <w:trPr>
          <w:trHeight w:val="158"/>
        </w:trPr>
        <w:tc>
          <w:tcPr>
            <w:tcW w:w="3980" w:type="dxa"/>
            <w:vAlign w:val="bottom"/>
            <w:tcBorders>
              <w:top w:val="single" w:sz="8" w:color="D1EEF5"/>
            </w:tcBorders>
            <w:shd w:val="clear" w:color="auto" w:fill="D1EEF5"/>
          </w:tcPr>
          <w:p>
            <w:pPr>
              <w:spacing w:after="0" w:line="159" w:lineRule="exact"/>
              <w:rPr>
                <w:sz w:val="20"/>
                <w:szCs w:val="20"/>
                <w:color w:val="auto"/>
              </w:rPr>
            </w:pPr>
            <w:r>
              <w:rPr>
                <w:rFonts w:ascii="Times New Roman" w:cs="Times New Roman" w:eastAsia="Times New Roman" w:hAnsi="Times New Roman"/>
                <w:sz w:val="14"/>
                <w:szCs w:val="14"/>
                <w:color w:val="auto"/>
              </w:rPr>
              <w:t>DTC</w:t>
            </w:r>
          </w:p>
        </w:tc>
        <w:tc>
          <w:tcPr>
            <w:tcW w:w="3200" w:type="dxa"/>
            <w:vAlign w:val="bottom"/>
            <w:tcBorders>
              <w:top w:val="single" w:sz="8" w:color="D1EEF5"/>
            </w:tcBorders>
            <w:shd w:val="clear" w:color="auto" w:fill="D1EEF5"/>
          </w:tcPr>
          <w:p>
            <w:pPr>
              <w:spacing w:after="0"/>
              <w:rPr>
                <w:sz w:val="13"/>
                <w:szCs w:val="13"/>
                <w:color w:val="auto"/>
              </w:rPr>
            </w:pPr>
          </w:p>
        </w:tc>
        <w:tc>
          <w:tcPr>
            <w:tcW w:w="860" w:type="dxa"/>
            <w:vAlign w:val="bottom"/>
            <w:tcBorders>
              <w:top w:val="single" w:sz="8" w:color="auto"/>
            </w:tcBorders>
            <w:shd w:val="clear" w:color="auto" w:fill="D1EEF5"/>
          </w:tcPr>
          <w:p>
            <w:pPr>
              <w:spacing w:after="0"/>
              <w:rPr>
                <w:sz w:val="13"/>
                <w:szCs w:val="13"/>
                <w:color w:val="auto"/>
              </w:rPr>
            </w:pPr>
          </w:p>
        </w:tc>
        <w:tc>
          <w:tcPr>
            <w:tcW w:w="460" w:type="dxa"/>
            <w:vAlign w:val="bottom"/>
            <w:tcBorders>
              <w:top w:val="single" w:sz="8" w:color="auto"/>
            </w:tcBorders>
            <w:shd w:val="clear" w:color="auto" w:fill="D1EEF5"/>
          </w:tcPr>
          <w:p>
            <w:pPr>
              <w:jc w:val="right"/>
              <w:spacing w:after="0" w:line="159" w:lineRule="exact"/>
              <w:rPr>
                <w:sz w:val="20"/>
                <w:szCs w:val="20"/>
                <w:color w:val="auto"/>
              </w:rPr>
            </w:pPr>
            <w:r>
              <w:rPr>
                <w:rFonts w:ascii="Times New Roman" w:cs="Times New Roman" w:eastAsia="Times New Roman" w:hAnsi="Times New Roman"/>
                <w:sz w:val="14"/>
                <w:szCs w:val="14"/>
                <w:color w:val="auto"/>
              </w:rPr>
              <w:t>52,446</w:t>
            </w:r>
          </w:p>
        </w:tc>
        <w:tc>
          <w:tcPr>
            <w:tcW w:w="300" w:type="dxa"/>
            <w:vAlign w:val="bottom"/>
            <w:tcBorders>
              <w:top w:val="single" w:sz="8" w:color="D1EEF5"/>
            </w:tcBorders>
            <w:shd w:val="clear" w:color="auto" w:fill="D1EEF5"/>
          </w:tcPr>
          <w:p>
            <w:pPr>
              <w:spacing w:after="0"/>
              <w:rPr>
                <w:sz w:val="13"/>
                <w:szCs w:val="13"/>
                <w:color w:val="auto"/>
              </w:rPr>
            </w:pPr>
          </w:p>
        </w:tc>
        <w:tc>
          <w:tcPr>
            <w:tcW w:w="880" w:type="dxa"/>
            <w:vAlign w:val="bottom"/>
            <w:tcBorders>
              <w:top w:val="single" w:sz="8" w:color="auto"/>
            </w:tcBorders>
            <w:shd w:val="clear" w:color="auto" w:fill="D1EEF5"/>
          </w:tcPr>
          <w:p>
            <w:pPr>
              <w:spacing w:after="0"/>
              <w:rPr>
                <w:sz w:val="13"/>
                <w:szCs w:val="13"/>
                <w:color w:val="auto"/>
              </w:rPr>
            </w:pPr>
          </w:p>
        </w:tc>
        <w:tc>
          <w:tcPr>
            <w:tcW w:w="460" w:type="dxa"/>
            <w:vAlign w:val="bottom"/>
            <w:tcBorders>
              <w:top w:val="single" w:sz="8" w:color="auto"/>
            </w:tcBorders>
            <w:shd w:val="clear" w:color="auto" w:fill="D1EEF5"/>
          </w:tcPr>
          <w:p>
            <w:pPr>
              <w:jc w:val="right"/>
              <w:spacing w:after="0" w:line="159" w:lineRule="exact"/>
              <w:rPr>
                <w:sz w:val="20"/>
                <w:szCs w:val="20"/>
                <w:color w:val="auto"/>
              </w:rPr>
            </w:pPr>
            <w:r>
              <w:rPr>
                <w:rFonts w:ascii="Times New Roman" w:cs="Times New Roman" w:eastAsia="Times New Roman" w:hAnsi="Times New Roman"/>
                <w:sz w:val="14"/>
                <w:szCs w:val="14"/>
                <w:color w:val="auto"/>
              </w:rPr>
              <w:t>69,775</w:t>
            </w:r>
          </w:p>
        </w:tc>
        <w:tc>
          <w:tcPr>
            <w:tcW w:w="100" w:type="dxa"/>
            <w:vAlign w:val="bottom"/>
            <w:tcBorders>
              <w:top w:val="single" w:sz="8" w:color="D1EEF5"/>
            </w:tcBorders>
            <w:shd w:val="clear" w:color="auto" w:fill="D1EEF5"/>
          </w:tcPr>
          <w:p>
            <w:pPr>
              <w:spacing w:after="0"/>
              <w:rPr>
                <w:sz w:val="13"/>
                <w:szCs w:val="13"/>
                <w:color w:val="auto"/>
              </w:rPr>
            </w:pPr>
          </w:p>
        </w:tc>
      </w:tr>
      <w:tr>
        <w:trPr>
          <w:trHeight w:val="157"/>
        </w:trPr>
        <w:tc>
          <w:tcPr>
            <w:tcW w:w="39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 Net Sales</w:t>
            </w:r>
          </w:p>
        </w:tc>
        <w:tc>
          <w:tcPr>
            <w:tcW w:w="3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gridSpan w:val="2"/>
          </w:tcPr>
          <w:p>
            <w:pPr>
              <w:jc w:val="right"/>
              <w:ind w:right="232"/>
              <w:spacing w:after="0" w:line="157" w:lineRule="exact"/>
              <w:rPr>
                <w:sz w:val="20"/>
                <w:szCs w:val="20"/>
                <w:color w:val="auto"/>
              </w:rPr>
            </w:pPr>
            <w:r>
              <w:rPr>
                <w:rFonts w:ascii="Times New Roman" w:cs="Times New Roman" w:eastAsia="Times New Roman" w:hAnsi="Times New Roman"/>
                <w:sz w:val="14"/>
                <w:szCs w:val="14"/>
                <w:color w:val="auto"/>
              </w:rPr>
              <w:t>60.8</w:t>
            </w:r>
          </w:p>
        </w:tc>
        <w:tc>
          <w:tcPr>
            <w:tcW w:w="880" w:type="dxa"/>
            <w:vAlign w:val="bottom"/>
          </w:tcPr>
          <w:p>
            <w:pPr>
              <w:spacing w:after="0"/>
              <w:rPr>
                <w:sz w:val="13"/>
                <w:szCs w:val="13"/>
                <w:color w:val="auto"/>
              </w:rPr>
            </w:pPr>
          </w:p>
        </w:tc>
        <w:tc>
          <w:tcPr>
            <w:tcW w:w="4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89.5</w:t>
            </w:r>
          </w:p>
        </w:tc>
        <w:tc>
          <w:tcPr>
            <w:tcW w:w="100" w:type="dxa"/>
            <w:vAlign w:val="bottom"/>
          </w:tcPr>
          <w:p>
            <w:pPr>
              <w:spacing w:after="0"/>
              <w:rPr>
                <w:sz w:val="13"/>
                <w:szCs w:val="13"/>
                <w:color w:val="auto"/>
              </w:rPr>
            </w:pPr>
          </w:p>
        </w:tc>
      </w:tr>
      <w:tr>
        <w:trPr>
          <w:trHeight w:val="156"/>
        </w:trPr>
        <w:tc>
          <w:tcPr>
            <w:tcW w:w="398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OEM</w:t>
            </w:r>
          </w:p>
        </w:tc>
        <w:tc>
          <w:tcPr>
            <w:tcW w:w="3200" w:type="dxa"/>
            <w:vAlign w:val="bottom"/>
            <w:shd w:val="clear" w:color="auto" w:fill="D1EEF5"/>
          </w:tcPr>
          <w:p>
            <w:pPr>
              <w:spacing w:after="0"/>
              <w:rPr>
                <w:sz w:val="13"/>
                <w:szCs w:val="13"/>
                <w:color w:val="auto"/>
              </w:rPr>
            </w:pPr>
          </w:p>
        </w:tc>
        <w:tc>
          <w:tcPr>
            <w:tcW w:w="860" w:type="dxa"/>
            <w:vAlign w:val="bottom"/>
            <w:shd w:val="clear" w:color="auto" w:fill="D1EEF5"/>
          </w:tcPr>
          <w:p>
            <w:pPr>
              <w:spacing w:after="0"/>
              <w:rPr>
                <w:sz w:val="13"/>
                <w:szCs w:val="13"/>
                <w:color w:val="auto"/>
              </w:rPr>
            </w:pPr>
          </w:p>
        </w:tc>
        <w:tc>
          <w:tcPr>
            <w:tcW w:w="760" w:type="dxa"/>
            <w:vAlign w:val="bottom"/>
            <w:gridSpan w:val="2"/>
            <w:shd w:val="clear" w:color="auto" w:fill="D1EEF5"/>
          </w:tcPr>
          <w:p>
            <w:pPr>
              <w:jc w:val="right"/>
              <w:ind w:right="232"/>
              <w:spacing w:after="0" w:line="156" w:lineRule="exact"/>
              <w:rPr>
                <w:sz w:val="20"/>
                <w:szCs w:val="20"/>
                <w:color w:val="auto"/>
              </w:rPr>
            </w:pPr>
            <w:r>
              <w:rPr>
                <w:rFonts w:ascii="Times New Roman" w:cs="Times New Roman" w:eastAsia="Times New Roman" w:hAnsi="Times New Roman"/>
                <w:sz w:val="14"/>
                <w:szCs w:val="14"/>
                <w:color w:val="auto"/>
              </w:rPr>
              <w:t>33,805</w:t>
            </w:r>
          </w:p>
        </w:tc>
        <w:tc>
          <w:tcPr>
            <w:tcW w:w="880" w:type="dxa"/>
            <w:vAlign w:val="bottom"/>
            <w:shd w:val="clear" w:color="auto" w:fill="D1EEF5"/>
          </w:tcPr>
          <w:p>
            <w:pPr>
              <w:spacing w:after="0"/>
              <w:rPr>
                <w:sz w:val="13"/>
                <w:szCs w:val="13"/>
                <w:color w:val="auto"/>
              </w:rPr>
            </w:pPr>
          </w:p>
        </w:tc>
        <w:tc>
          <w:tcPr>
            <w:tcW w:w="46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8,225</w:t>
            </w:r>
          </w:p>
        </w:tc>
        <w:tc>
          <w:tcPr>
            <w:tcW w:w="100" w:type="dxa"/>
            <w:vAlign w:val="bottom"/>
            <w:shd w:val="clear" w:color="auto" w:fill="D1EEF5"/>
          </w:tcPr>
          <w:p>
            <w:pPr>
              <w:spacing w:after="0"/>
              <w:rPr>
                <w:sz w:val="13"/>
                <w:szCs w:val="13"/>
                <w:color w:val="auto"/>
              </w:rPr>
            </w:pPr>
          </w:p>
        </w:tc>
      </w:tr>
      <w:tr>
        <w:trPr>
          <w:trHeight w:val="156"/>
        </w:trPr>
        <w:tc>
          <w:tcPr>
            <w:tcW w:w="39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 Net Sales</w:t>
            </w:r>
          </w:p>
        </w:tc>
        <w:tc>
          <w:tcPr>
            <w:tcW w:w="3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gridSpan w:val="2"/>
          </w:tcPr>
          <w:p>
            <w:pPr>
              <w:jc w:val="right"/>
              <w:ind w:right="232"/>
              <w:spacing w:after="0" w:line="156" w:lineRule="exact"/>
              <w:rPr>
                <w:sz w:val="20"/>
                <w:szCs w:val="20"/>
                <w:color w:val="auto"/>
              </w:rPr>
            </w:pPr>
            <w:r>
              <w:rPr>
                <w:rFonts w:ascii="Times New Roman" w:cs="Times New Roman" w:eastAsia="Times New Roman" w:hAnsi="Times New Roman"/>
                <w:sz w:val="14"/>
                <w:szCs w:val="14"/>
                <w:color w:val="auto"/>
              </w:rPr>
              <w:t>39.2</w:t>
            </w:r>
          </w:p>
        </w:tc>
        <w:tc>
          <w:tcPr>
            <w:tcW w:w="880" w:type="dxa"/>
            <w:vAlign w:val="bottom"/>
          </w:tcPr>
          <w:p>
            <w:pPr>
              <w:spacing w:after="0"/>
              <w:rPr>
                <w:sz w:val="13"/>
                <w:szCs w:val="13"/>
                <w:color w:val="auto"/>
              </w:rPr>
            </w:pP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3"/>
                <w:szCs w:val="13"/>
                <w:color w:val="auto"/>
              </w:rPr>
            </w:pPr>
          </w:p>
        </w:tc>
      </w:tr>
      <w:tr>
        <w:trPr>
          <w:trHeight w:val="163"/>
        </w:trPr>
        <w:tc>
          <w:tcPr>
            <w:tcW w:w="398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Net Sales</w:t>
            </w:r>
          </w:p>
        </w:tc>
        <w:tc>
          <w:tcPr>
            <w:tcW w:w="4060" w:type="dxa"/>
            <w:vAlign w:val="bottom"/>
            <w:gridSpan w:val="2"/>
            <w:shd w:val="clear" w:color="auto" w:fill="D1EEF5"/>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D1EEF5"/>
          </w:tcPr>
          <w:p>
            <w:pPr>
              <w:jc w:val="right"/>
              <w:ind w:right="232"/>
              <w:spacing w:after="0"/>
              <w:rPr>
                <w:sz w:val="20"/>
                <w:szCs w:val="20"/>
                <w:color w:val="auto"/>
              </w:rPr>
            </w:pPr>
            <w:r>
              <w:rPr>
                <w:rFonts w:ascii="Times New Roman" w:cs="Times New Roman" w:eastAsia="Times New Roman" w:hAnsi="Times New Roman"/>
                <w:sz w:val="14"/>
                <w:szCs w:val="14"/>
                <w:color w:val="auto"/>
              </w:rPr>
              <w:t>86,251</w:t>
            </w:r>
          </w:p>
        </w:tc>
        <w:tc>
          <w:tcPr>
            <w:tcW w:w="880" w:type="dxa"/>
            <w:vAlign w:val="bottom"/>
            <w:shd w:val="clear" w:color="auto" w:fill="D1EEF5"/>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78,000</w:t>
            </w:r>
          </w:p>
        </w:tc>
        <w:tc>
          <w:tcPr>
            <w:tcW w:w="100" w:type="dxa"/>
            <w:vAlign w:val="bottom"/>
            <w:shd w:val="clear" w:color="auto" w:fill="D1EEF5"/>
          </w:tcPr>
          <w:p>
            <w:pPr>
              <w:spacing w:after="0"/>
              <w:rPr>
                <w:sz w:val="14"/>
                <w:szCs w:val="14"/>
                <w:color w:val="auto"/>
              </w:rPr>
            </w:pPr>
          </w:p>
        </w:tc>
      </w:tr>
      <w:tr>
        <w:trPr>
          <w:trHeight w:val="25"/>
        </w:trPr>
        <w:tc>
          <w:tcPr>
            <w:tcW w:w="3980" w:type="dxa"/>
            <w:vAlign w:val="bottom"/>
            <w:shd w:val="clear" w:color="auto" w:fill="D1EEF5"/>
          </w:tcPr>
          <w:p>
            <w:pPr>
              <w:spacing w:after="0"/>
              <w:rPr>
                <w:sz w:val="2"/>
                <w:szCs w:val="2"/>
                <w:color w:val="auto"/>
              </w:rPr>
            </w:pPr>
          </w:p>
        </w:tc>
        <w:tc>
          <w:tcPr>
            <w:tcW w:w="3200" w:type="dxa"/>
            <w:vAlign w:val="bottom"/>
            <w:shd w:val="clear" w:color="auto" w:fill="D1EEF5"/>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shd w:val="clear" w:color="auto" w:fill="D1EEF5"/>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D1EEF5"/>
          </w:tcPr>
          <w:p>
            <w:pPr>
              <w:spacing w:after="0"/>
              <w:rPr>
                <w:sz w:val="2"/>
                <w:szCs w:val="2"/>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p>
      <w:pPr>
        <w:spacing w:after="0" w:line="1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Net sales increased by $8.3 million, or 10.6%, to $86.3 million for the year ended December 31, 2022, as compared to $78.0 million for the year ended December 31, 2021. This increase was primarily due to higher OEM battery and accessory sales partially offset by lower DTC sales. For the year ended December 31, 2022, OEM revenue increased by $25.6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DTC revenue decreased by $17.3 million as a result of decreased customer demand for our products due to rising interest rates and inflation.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13335</wp:posOffset>
                </wp:positionV>
                <wp:extent cx="650938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05pt" to="512.25pt,1.05pt" o:allowincell="f" strokecolor="#000000" strokeweight="1.26pt"/>
            </w:pict>
          </mc:Fallback>
        </mc:AlternateContent>
      </w:r>
    </w:p>
    <w:p>
      <w:pPr>
        <w:sectPr>
          <w:pgSz w:w="12240" w:h="15840" w:orient="portrait"/>
          <w:cols w:equalWidth="0" w:num="1">
            <w:col w:w="10240"/>
          </w:cols>
          <w:pgMar w:left="1000" w:top="1208" w:right="100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Cost of revenue increased by $13.9 million, or 28.7%, to $62.2 million for the year ended December 31, 2022, as compared to $48.4 million for the year ended December 31, 2021. This increase was primarily due to growth in the number of units sold resulting in an $11.6 million increase of product cost, a $2.2 million increase in overhead expense associated with the new manufacturing facility, and higher labor costs due to growth in our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Gross profit decreased by $ 5.6 million, or 19.0%, to $24.0 million for the year ended December 31, 2022, as compared to $29.6 million for the year ended December 31, 2021. The decrease in gross profit was primarily due to a change in revenue mix that included a larger percentage of lower margin OEM sales and a lower percentage of higher margin DTC sales, together with an increase in cost of goods sold as noted above.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49" w:lineRule="exact"/>
        <w:rPr>
          <w:sz w:val="20"/>
          <w:szCs w:val="20"/>
          <w:color w:val="auto"/>
        </w:rPr>
      </w:pPr>
    </w:p>
    <w:p>
      <w:pPr>
        <w:jc w:val="both"/>
        <w:spacing w:after="0" w:line="345" w:lineRule="auto"/>
        <w:rPr>
          <w:sz w:val="20"/>
          <w:szCs w:val="20"/>
          <w:color w:val="auto"/>
        </w:rPr>
      </w:pPr>
      <w:r>
        <w:rPr>
          <w:rFonts w:ascii="Times New Roman" w:cs="Times New Roman" w:eastAsia="Times New Roman" w:hAnsi="Times New Roman"/>
          <w:sz w:val="12"/>
          <w:szCs w:val="12"/>
          <w:color w:val="auto"/>
        </w:rPr>
        <w:t>Research and development expenses increased by $0.1 million, or 2.8%, to $2.8 million for the year ended December 31, 2022, as compared to $2.7 million for the year ended December 31, 2021. The increase was primarily due to higher wage expense partially offset by lower product certification, patent expense and costs for materials used in research and development.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5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General and administrative expenses increased by $ 30.9 million, or 291.4%, to $41.6 million for the year ended December 31, 2022, as compared to $10.6 million for the year ended December 31, 2021. This increase was primarily due to expenses associated with the aforementioned Business Combination and professional fees in the amount of $23.4 million and a $6.3 million increase in costs associated with personnel needed for public company readiness. Other increases relate to compliance, insurance and system costs related to being a public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and Marketing Expenses</w:t>
      </w:r>
    </w:p>
    <w:p>
      <w:pPr>
        <w:spacing w:after="0" w:line="15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Sales and marketing expenses increased by $ 3.8 million, or 38.8%, to $13.7 million for the year ended December 31, 2022, as compared to $9.8 million for the year ended December 31, 2021. This increase was primarily due to the addition of sales and marketing personnel to support growth in our existing end markets, as well as to drive growth in the new, adjacent end markets we are targeting, overhead costs associated with our larger manufacturing facility, increased shipping expenses due to higher volumes and price increases, and advertising and sponsorship growth.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Total Other (Expense) Income</w:t>
      </w:r>
    </w:p>
    <w:p>
      <w:pPr>
        <w:spacing w:after="0" w:line="1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Other expense totaled $6.3 million for the year ended December 31, 2022 as compared to total other expense of $0.5 million for the year ended December 31, 2021. Other expense in 2022 is comprised primarily of interest expense of $3.7 million related to senior secured notes of $45 million and $3.2 million related to debt securities of $ 75 million. Debt extinguishment expense of $4.8 million due to the retirement of the $45 million in senior secured notes as a result of the Business Combination, partially offset by $5.4 million in the change of the fair market value of our warrants. Interest expense will increase significantly as a result of approximately $75.0 million in post-closing indebtedness following completion of the Business Combination.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(Benefit) Expense</w:t>
      </w:r>
    </w:p>
    <w:p>
      <w:pPr>
        <w:spacing w:after="0" w:line="1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Income tax benefit was $0.7 million for the year ended December 31, 2022, as compared to $1.6 million expense for the year ended December 31, 2021. The income tax benefit reflects our expected use of losses in the period against future tax obligations.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$7.3 million was recorded as of December 31,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Income</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experienced a net loss of $39.6 million for the year ended December 31, 2022, as compared to net income of $4.3 million for the year ended December 31, 2021. As described above, this result was driven primarily by higher sales offset by increased cost of goods sold, higher operating expenses (primarily as a result of the Business Combination) and increased other expense.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13970</wp:posOffset>
                </wp:positionV>
                <wp:extent cx="650938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1pt" to="512.25pt,1.1pt" o:allowincell="f" strokecolor="#000000" strokeweight="1.2599pt"/>
            </w:pict>
          </mc:Fallback>
        </mc:AlternateContent>
      </w:r>
    </w:p>
    <w:p>
      <w:pPr>
        <w:sectPr>
          <w:pgSz w:w="12240" w:h="15840" w:orient="portrait"/>
          <w:cols w:equalWidth="0" w:num="1">
            <w:col w:w="10240"/>
          </w:cols>
          <w:pgMar w:left="1000" w:top="1212" w:right="100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Accounting Estimates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the following accounting policies are those most critical to the judgments and estimates used in the preparation of our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 Valuation</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Company periodically reviews physical inventory for excess, obsolete, and potentially impaired items and reserves. Any such inventory is written down to net realizable value. The reserve estimate for excess and obsolete inventory is dependent on expected future use and requires management judgement.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Warrants</w:t>
      </w:r>
    </w:p>
    <w:p>
      <w:pPr>
        <w:spacing w:after="0" w:line="1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“Note 12—Warrants” in our accompanying consolidated financial statements for information on the warrants.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Equity-Based Compensation</w:t>
      </w:r>
    </w:p>
    <w:p>
      <w:pPr>
        <w:spacing w:after="0" w:line="1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Company uses the Black-Scholes option- pricing model to determine the fair value of option grants. In estimating fair value, management is required to make certain assumptions and estimates such as the expected life of units, volatility of the Company’s future share price, risk-free rates, future dividend yields and estimated forfeitures at the initial grant date. Restricted stock unit awards are valued based on the closing trading value of the Company’s common stock on the date of grant. Changes in assumptions used to estimate fair value could result in materially different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spacing w:after="0" w:line="1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spacing w:after="0" w:line="1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13970</wp:posOffset>
                </wp:positionV>
                <wp:extent cx="650938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1pt" to="512.25pt,1.1pt" o:allowincell="f" strokecolor="#000000" strokeweight="1.26pt"/>
            </w:pict>
          </mc:Fallback>
        </mc:AlternateContent>
      </w:r>
    </w:p>
    <w:p>
      <w:pPr>
        <w:sectPr>
          <w:pgSz w:w="12240" w:h="15840" w:orient="portrait"/>
          <w:cols w:equalWidth="0" w:num="1">
            <w:col w:w="10240"/>
          </w:cols>
          <w:pgMar w:left="1000" w:top="1212" w:right="1000" w:bottom="1440" w:gutter="0" w:footer="0" w:header="0"/>
        </w:sectPr>
      </w:pPr>
    </w:p>
    <w:bookmarkStart w:id="53" w:name="page54"/>
    <w:bookmarkEnd w:id="53"/>
    <w:p>
      <w:pPr>
        <w:ind w:left="2"/>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54" w:lineRule="exact"/>
        <w:rPr>
          <w:sz w:val="20"/>
          <w:szCs w:val="20"/>
          <w:color w:val="auto"/>
        </w:rPr>
      </w:pPr>
    </w:p>
    <w:p>
      <w:pPr>
        <w:jc w:val="both"/>
        <w:ind w:left="2"/>
        <w:spacing w:after="0" w:line="242" w:lineRule="auto"/>
        <w:rPr>
          <w:sz w:val="20"/>
          <w:szCs w:val="20"/>
          <w:color w:val="auto"/>
        </w:rPr>
      </w:pPr>
      <w:r>
        <w:rPr>
          <w:rFonts w:ascii="Times New Roman" w:cs="Times New Roman" w:eastAsia="Times New Roman" w:hAnsi="Times New Roman"/>
          <w:sz w:val="14"/>
          <w:szCs w:val="14"/>
          <w:color w:val="auto"/>
        </w:rPr>
        <w:t>This Annual Report includes a non-GAAP measure that we use to supplement our results presented in accordance with U.S. GAAP. EBITDA is defined as earnings before interest and other income (expenses), income taxes, and depreciation and amortization. Adjusted EBITDA is calculated as EBITDA adjusted for stock- 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32" w:lineRule="exact"/>
        <w:rPr>
          <w:sz w:val="20"/>
          <w:szCs w:val="20"/>
          <w:color w:val="auto"/>
        </w:rPr>
      </w:pPr>
    </w:p>
    <w:p>
      <w:pPr>
        <w:jc w:val="both"/>
        <w:ind w:left="2"/>
        <w:spacing w:after="0" w:line="243" w:lineRule="auto"/>
        <w:rPr>
          <w:sz w:val="20"/>
          <w:szCs w:val="20"/>
          <w:color w:val="auto"/>
        </w:rPr>
      </w:pPr>
      <w:r>
        <w:rPr>
          <w:rFonts w:ascii="Times New Roman" w:cs="Times New Roman" w:eastAsia="Times New Roman" w:hAnsi="Times New Roman"/>
          <w:sz w:val="14"/>
          <w:szCs w:val="14"/>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color w:val="auto"/>
        </w:rPr>
        <w:t>The table below presents our adjusted EBITDA, reconciled to net (loss) income for the years ended December 31, 2022 and 2021.</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179"/>
        </w:trPr>
        <w:tc>
          <w:tcPr>
            <w:tcW w:w="48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Years ended December 31,</w:t>
            </w: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172"/>
        </w:trPr>
        <w:tc>
          <w:tcPr>
            <w:tcW w:w="4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00" w:type="dxa"/>
            <w:vAlign w:val="bottom"/>
            <w:tcBorders>
              <w:bottom w:val="single" w:sz="8" w:color="auto"/>
            </w:tcBorders>
          </w:tcPr>
          <w:p>
            <w:pPr>
              <w:spacing w:after="0"/>
              <w:rPr>
                <w:sz w:val="14"/>
                <w:szCs w:val="14"/>
                <w:color w:val="auto"/>
              </w:rPr>
            </w:pPr>
          </w:p>
        </w:tc>
      </w:tr>
      <w:tr>
        <w:trPr>
          <w:trHeight w:val="139"/>
        </w:trPr>
        <w:tc>
          <w:tcPr>
            <w:tcW w:w="4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gridSpan w:val="2"/>
          </w:tcPr>
          <w:p>
            <w:pPr>
              <w:jc w:val="right"/>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(in</w:t>
            </w:r>
          </w:p>
        </w:tc>
        <w:tc>
          <w:tcPr>
            <w:tcW w:w="880" w:type="dxa"/>
            <w:vAlign w:val="bottom"/>
            <w:gridSpan w:val="2"/>
          </w:tcPr>
          <w:p>
            <w:pPr>
              <w:jc w:val="right"/>
              <w:ind w:right="304"/>
              <w:spacing w:after="0" w:line="139"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480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Net (loss) income</w:t>
            </w:r>
          </w:p>
        </w:tc>
        <w:tc>
          <w:tcPr>
            <w:tcW w:w="2920" w:type="dxa"/>
            <w:vAlign w:val="bottom"/>
            <w:gridSpan w:val="2"/>
            <w:shd w:val="clear" w:color="auto" w:fill="D1EEF5"/>
          </w:tcPr>
          <w:p>
            <w:pPr>
              <w:jc w:val="right"/>
              <w:ind w:right="838"/>
              <w:spacing w:after="0" w:line="15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D1EEF5"/>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rPr>
              <w:t>(39,571)</w:t>
            </w:r>
          </w:p>
        </w:tc>
        <w:tc>
          <w:tcPr>
            <w:tcW w:w="880" w:type="dxa"/>
            <w:vAlign w:val="bottom"/>
            <w:gridSpan w:val="2"/>
            <w:shd w:val="clear" w:color="auto" w:fill="D1EEF5"/>
          </w:tcPr>
          <w:p>
            <w:pPr>
              <w:jc w:val="right"/>
              <w:ind w:right="564"/>
              <w:spacing w:after="0" w:line="15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4,338</w:t>
            </w:r>
          </w:p>
        </w:tc>
        <w:tc>
          <w:tcPr>
            <w:tcW w:w="100" w:type="dxa"/>
            <w:vAlign w:val="bottom"/>
            <w:shd w:val="clear" w:color="auto" w:fill="D1EEF5"/>
          </w:tcPr>
          <w:p>
            <w:pPr>
              <w:spacing w:after="0"/>
              <w:rPr>
                <w:sz w:val="13"/>
                <w:szCs w:val="13"/>
                <w:color w:val="auto"/>
              </w:rPr>
            </w:pPr>
          </w:p>
        </w:tc>
      </w:tr>
      <w:tr>
        <w:trPr>
          <w:trHeight w:val="156"/>
        </w:trPr>
        <w:tc>
          <w:tcPr>
            <w:tcW w:w="480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Interest Expense</w:t>
            </w:r>
          </w:p>
        </w:tc>
        <w:tc>
          <w:tcPr>
            <w:tcW w:w="1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6,945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519</w:t>
            </w:r>
          </w:p>
        </w:tc>
        <w:tc>
          <w:tcPr>
            <w:tcW w:w="100" w:type="dxa"/>
            <w:vAlign w:val="bottom"/>
          </w:tcPr>
          <w:p>
            <w:pPr>
              <w:spacing w:after="0"/>
              <w:rPr>
                <w:sz w:val="13"/>
                <w:szCs w:val="13"/>
                <w:color w:val="auto"/>
              </w:rPr>
            </w:pPr>
          </w:p>
        </w:tc>
      </w:tr>
      <w:tr>
        <w:trPr>
          <w:trHeight w:val="156"/>
        </w:trPr>
        <w:tc>
          <w:tcPr>
            <w:tcW w:w="4800" w:type="dxa"/>
            <w:vAlign w:val="bottom"/>
            <w:shd w:val="clear" w:color="auto" w:fill="D1EEF5"/>
          </w:tcPr>
          <w:p>
            <w:pPr>
              <w:ind w:left="140"/>
              <w:spacing w:after="0" w:line="156" w:lineRule="exact"/>
              <w:rPr>
                <w:sz w:val="20"/>
                <w:szCs w:val="20"/>
                <w:color w:val="auto"/>
              </w:rPr>
            </w:pPr>
            <w:r>
              <w:rPr>
                <w:rFonts w:ascii="Times New Roman" w:cs="Times New Roman" w:eastAsia="Times New Roman" w:hAnsi="Times New Roman"/>
                <w:sz w:val="14"/>
                <w:szCs w:val="14"/>
                <w:color w:val="auto"/>
              </w:rPr>
              <w:t>Taxes</w:t>
            </w:r>
          </w:p>
        </w:tc>
        <w:tc>
          <w:tcPr>
            <w:tcW w:w="1960" w:type="dxa"/>
            <w:vAlign w:val="bottom"/>
            <w:shd w:val="clear" w:color="auto" w:fill="D1EEF5"/>
          </w:tcPr>
          <w:p>
            <w:pPr>
              <w:spacing w:after="0"/>
              <w:rPr>
                <w:sz w:val="13"/>
                <w:szCs w:val="13"/>
                <w:color w:val="auto"/>
              </w:rPr>
            </w:pPr>
          </w:p>
        </w:tc>
        <w:tc>
          <w:tcPr>
            <w:tcW w:w="960" w:type="dxa"/>
            <w:vAlign w:val="bottom"/>
            <w:shd w:val="clear" w:color="auto" w:fill="D1EEF5"/>
          </w:tcPr>
          <w:p>
            <w:pPr>
              <w:spacing w:after="0"/>
              <w:rPr>
                <w:sz w:val="13"/>
                <w:szCs w:val="13"/>
                <w:color w:val="auto"/>
              </w:rPr>
            </w:pPr>
          </w:p>
        </w:tc>
        <w:tc>
          <w:tcPr>
            <w:tcW w:w="680" w:type="dxa"/>
            <w:vAlign w:val="bottom"/>
            <w:gridSpan w:val="2"/>
            <w:shd w:val="clear" w:color="auto" w:fill="D1EEF5"/>
          </w:tcPr>
          <w:p>
            <w:pPr>
              <w:jc w:val="right"/>
              <w:ind w:right="20"/>
              <w:spacing w:after="0" w:line="156" w:lineRule="exact"/>
              <w:rPr>
                <w:sz w:val="20"/>
                <w:szCs w:val="20"/>
                <w:color w:val="auto"/>
              </w:rPr>
            </w:pPr>
            <w:r>
              <w:rPr>
                <w:rFonts w:ascii="Times New Roman" w:cs="Times New Roman" w:eastAsia="Times New Roman" w:hAnsi="Times New Roman"/>
                <w:sz w:val="14"/>
                <w:szCs w:val="14"/>
                <w:color w:val="auto"/>
              </w:rPr>
              <w:t>(709)</w:t>
            </w:r>
          </w:p>
        </w:tc>
        <w:tc>
          <w:tcPr>
            <w:tcW w:w="200" w:type="dxa"/>
            <w:vAlign w:val="bottom"/>
            <w:shd w:val="clear" w:color="auto" w:fill="D1EEF5"/>
          </w:tcPr>
          <w:p>
            <w:pPr>
              <w:spacing w:after="0"/>
              <w:rPr>
                <w:sz w:val="13"/>
                <w:szCs w:val="13"/>
                <w:color w:val="auto"/>
              </w:rPr>
            </w:pPr>
          </w:p>
        </w:tc>
        <w:tc>
          <w:tcPr>
            <w:tcW w:w="680" w:type="dxa"/>
            <w:vAlign w:val="bottom"/>
            <w:shd w:val="clear" w:color="auto" w:fill="D1EEF5"/>
          </w:tcPr>
          <w:p>
            <w:pPr>
              <w:spacing w:after="0"/>
              <w:rPr>
                <w:sz w:val="13"/>
                <w:szCs w:val="13"/>
                <w:color w:val="auto"/>
              </w:rPr>
            </w:pPr>
          </w:p>
        </w:tc>
        <w:tc>
          <w:tcPr>
            <w:tcW w:w="86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1,611</w:t>
            </w:r>
          </w:p>
        </w:tc>
        <w:tc>
          <w:tcPr>
            <w:tcW w:w="100" w:type="dxa"/>
            <w:vAlign w:val="bottom"/>
            <w:shd w:val="clear" w:color="auto" w:fill="D1EEF5"/>
          </w:tcPr>
          <w:p>
            <w:pPr>
              <w:spacing w:after="0"/>
              <w:rPr>
                <w:sz w:val="13"/>
                <w:szCs w:val="13"/>
                <w:color w:val="auto"/>
              </w:rPr>
            </w:pPr>
          </w:p>
        </w:tc>
      </w:tr>
      <w:tr>
        <w:trPr>
          <w:trHeight w:val="178"/>
        </w:trPr>
        <w:tc>
          <w:tcPr>
            <w:tcW w:w="4800" w:type="dxa"/>
            <w:vAlign w:val="bottom"/>
            <w:tcBorders>
              <w:bottom w:val="single" w:sz="8" w:color="D1EEF5"/>
            </w:tcBorders>
          </w:tcPr>
          <w:p>
            <w:pPr>
              <w:ind w:left="140"/>
              <w:spacing w:after="0" w:line="156"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960" w:type="dxa"/>
            <w:vAlign w:val="bottom"/>
            <w:tcBorders>
              <w:bottom w:val="single" w:sz="8" w:color="D1EEF5"/>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891</w:t>
            </w:r>
          </w:p>
        </w:tc>
        <w:tc>
          <w:tcPr>
            <w:tcW w:w="100" w:type="dxa"/>
            <w:vAlign w:val="bottom"/>
            <w:tcBorders>
              <w:bottom w:val="single" w:sz="8" w:color="D1EEF5"/>
            </w:tcBorders>
          </w:tcPr>
          <w:p>
            <w:pPr>
              <w:spacing w:after="0"/>
              <w:rPr>
                <w:sz w:val="15"/>
                <w:szCs w:val="15"/>
                <w:color w:val="auto"/>
              </w:rPr>
            </w:pPr>
          </w:p>
        </w:tc>
        <w:tc>
          <w:tcPr>
            <w:tcW w:w="200" w:type="dxa"/>
            <w:vAlign w:val="bottom"/>
            <w:tcBorders>
              <w:bottom w:val="single" w:sz="8" w:color="D1EEF5"/>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617</w:t>
            </w:r>
          </w:p>
        </w:tc>
        <w:tc>
          <w:tcPr>
            <w:tcW w:w="100" w:type="dxa"/>
            <w:vAlign w:val="bottom"/>
            <w:tcBorders>
              <w:bottom w:val="single" w:sz="8" w:color="auto"/>
            </w:tcBorders>
          </w:tcPr>
          <w:p>
            <w:pPr>
              <w:spacing w:after="0"/>
              <w:rPr>
                <w:sz w:val="15"/>
                <w:szCs w:val="15"/>
                <w:color w:val="auto"/>
              </w:rPr>
            </w:pPr>
          </w:p>
        </w:tc>
      </w:tr>
      <w:tr>
        <w:trPr>
          <w:trHeight w:val="146"/>
        </w:trPr>
        <w:tc>
          <w:tcPr>
            <w:tcW w:w="4800" w:type="dxa"/>
            <w:vAlign w:val="bottom"/>
            <w:shd w:val="clear" w:color="auto" w:fill="D1EEF5"/>
          </w:tcPr>
          <w:p>
            <w:pPr>
              <w:spacing w:after="0" w:line="146" w:lineRule="exact"/>
              <w:rPr>
                <w:sz w:val="20"/>
                <w:szCs w:val="20"/>
                <w:color w:val="auto"/>
              </w:rPr>
            </w:pPr>
            <w:r>
              <w:rPr>
                <w:rFonts w:ascii="Times New Roman" w:cs="Times New Roman" w:eastAsia="Times New Roman" w:hAnsi="Times New Roman"/>
                <w:sz w:val="14"/>
                <w:szCs w:val="14"/>
                <w:color w:val="auto"/>
              </w:rPr>
              <w:t>EBITDA</w:t>
            </w:r>
          </w:p>
        </w:tc>
        <w:tc>
          <w:tcPr>
            <w:tcW w:w="1960" w:type="dxa"/>
            <w:vAlign w:val="bottom"/>
            <w:shd w:val="clear" w:color="auto" w:fill="D1EEF5"/>
          </w:tcPr>
          <w:p>
            <w:pPr>
              <w:spacing w:after="0"/>
              <w:rPr>
                <w:sz w:val="12"/>
                <w:szCs w:val="12"/>
                <w:color w:val="auto"/>
              </w:rPr>
            </w:pPr>
          </w:p>
        </w:tc>
        <w:tc>
          <w:tcPr>
            <w:tcW w:w="960" w:type="dxa"/>
            <w:vAlign w:val="bottom"/>
            <w:shd w:val="clear" w:color="auto" w:fill="D1EEF5"/>
          </w:tcPr>
          <w:p>
            <w:pPr>
              <w:spacing w:after="0"/>
              <w:rPr>
                <w:sz w:val="12"/>
                <w:szCs w:val="12"/>
                <w:color w:val="auto"/>
              </w:rPr>
            </w:pPr>
          </w:p>
        </w:tc>
        <w:tc>
          <w:tcPr>
            <w:tcW w:w="580" w:type="dxa"/>
            <w:vAlign w:val="bottom"/>
            <w:shd w:val="clear" w:color="auto" w:fill="D1EEF5"/>
          </w:tcPr>
          <w:p>
            <w:pPr>
              <w:jc w:val="right"/>
              <w:spacing w:after="0" w:line="146" w:lineRule="exact"/>
              <w:rPr>
                <w:sz w:val="20"/>
                <w:szCs w:val="20"/>
                <w:color w:val="auto"/>
              </w:rPr>
            </w:pPr>
            <w:r>
              <w:rPr>
                <w:rFonts w:ascii="Times New Roman" w:cs="Times New Roman" w:eastAsia="Times New Roman" w:hAnsi="Times New Roman"/>
                <w:sz w:val="14"/>
                <w:szCs w:val="14"/>
                <w:color w:val="auto"/>
              </w:rPr>
              <w:t>(32,444)</w:t>
            </w:r>
          </w:p>
        </w:tc>
        <w:tc>
          <w:tcPr>
            <w:tcW w:w="100" w:type="dxa"/>
            <w:vAlign w:val="bottom"/>
            <w:shd w:val="clear" w:color="auto" w:fill="D1EEF5"/>
          </w:tcPr>
          <w:p>
            <w:pPr>
              <w:spacing w:after="0"/>
              <w:rPr>
                <w:sz w:val="12"/>
                <w:szCs w:val="12"/>
                <w:color w:val="auto"/>
              </w:rPr>
            </w:pPr>
          </w:p>
        </w:tc>
        <w:tc>
          <w:tcPr>
            <w:tcW w:w="200" w:type="dxa"/>
            <w:vAlign w:val="bottom"/>
            <w:shd w:val="clear" w:color="auto" w:fill="D1EEF5"/>
          </w:tcPr>
          <w:p>
            <w:pPr>
              <w:spacing w:after="0"/>
              <w:rPr>
                <w:sz w:val="12"/>
                <w:szCs w:val="12"/>
                <w:color w:val="auto"/>
              </w:rPr>
            </w:pPr>
          </w:p>
        </w:tc>
        <w:tc>
          <w:tcPr>
            <w:tcW w:w="680" w:type="dxa"/>
            <w:vAlign w:val="bottom"/>
            <w:shd w:val="clear" w:color="auto" w:fill="D1EEF5"/>
          </w:tcPr>
          <w:p>
            <w:pPr>
              <w:spacing w:after="0"/>
              <w:rPr>
                <w:sz w:val="12"/>
                <w:szCs w:val="12"/>
                <w:color w:val="auto"/>
              </w:rPr>
            </w:pPr>
          </w:p>
        </w:tc>
        <w:tc>
          <w:tcPr>
            <w:tcW w:w="860" w:type="dxa"/>
            <w:vAlign w:val="bottom"/>
            <w:shd w:val="clear" w:color="auto" w:fill="D1EEF5"/>
          </w:tcPr>
          <w:p>
            <w:pPr>
              <w:jc w:val="right"/>
              <w:spacing w:after="0" w:line="146" w:lineRule="exact"/>
              <w:rPr>
                <w:sz w:val="20"/>
                <w:szCs w:val="20"/>
                <w:color w:val="auto"/>
              </w:rPr>
            </w:pPr>
            <w:r>
              <w:rPr>
                <w:rFonts w:ascii="Times New Roman" w:cs="Times New Roman" w:eastAsia="Times New Roman" w:hAnsi="Times New Roman"/>
                <w:sz w:val="14"/>
                <w:szCs w:val="14"/>
                <w:color w:val="auto"/>
              </w:rPr>
              <w:t>7,085</w:t>
            </w:r>
          </w:p>
        </w:tc>
        <w:tc>
          <w:tcPr>
            <w:tcW w:w="100" w:type="dxa"/>
            <w:vAlign w:val="bottom"/>
            <w:shd w:val="clear" w:color="auto" w:fill="D1EEF5"/>
          </w:tcPr>
          <w:p>
            <w:pPr>
              <w:spacing w:after="0"/>
              <w:rPr>
                <w:sz w:val="12"/>
                <w:szCs w:val="12"/>
                <w:color w:val="auto"/>
              </w:rPr>
            </w:pPr>
          </w:p>
        </w:tc>
      </w:tr>
      <w:tr>
        <w:trPr>
          <w:trHeight w:val="157"/>
        </w:trPr>
        <w:tc>
          <w:tcPr>
            <w:tcW w:w="4800" w:type="dxa"/>
            <w:vAlign w:val="bottom"/>
          </w:tcPr>
          <w:p>
            <w:pPr>
              <w:spacing w:after="0" w:line="157" w:lineRule="exact"/>
              <w:rPr>
                <w:sz w:val="20"/>
                <w:szCs w:val="20"/>
                <w:color w:val="auto"/>
              </w:rPr>
            </w:pPr>
            <w:r>
              <w:rPr>
                <w:rFonts w:ascii="Times New Roman" w:cs="Times New Roman" w:eastAsia="Times New Roman" w:hAnsi="Times New Roman"/>
                <w:sz w:val="14"/>
                <w:szCs w:val="14"/>
                <w:i w:val="1"/>
                <w:iCs w:val="1"/>
                <w:color w:val="auto"/>
              </w:rPr>
              <w:t>Adjusted for:</w:t>
            </w:r>
          </w:p>
        </w:tc>
        <w:tc>
          <w:tcPr>
            <w:tcW w:w="1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4800" w:type="dxa"/>
            <w:vAlign w:val="bottom"/>
            <w:shd w:val="clear" w:color="auto" w:fill="D1EEF5"/>
          </w:tcPr>
          <w:p>
            <w:pPr>
              <w:ind w:left="140"/>
              <w:spacing w:after="0" w:line="179" w:lineRule="exact"/>
              <w:rPr>
                <w:sz w:val="20"/>
                <w:szCs w:val="20"/>
                <w:color w:val="auto"/>
              </w:rPr>
            </w:pPr>
            <w:r>
              <w:rPr>
                <w:rFonts w:ascii="Times New Roman" w:cs="Times New Roman" w:eastAsia="Times New Roman" w:hAnsi="Times New Roman"/>
                <w:sz w:val="14"/>
                <w:szCs w:val="14"/>
                <w:color w:val="auto"/>
              </w:rPr>
              <w:t>Stock-Based Compensation</w:t>
            </w:r>
            <w:r>
              <w:rPr>
                <w:rFonts w:ascii="Times New Roman" w:cs="Times New Roman" w:eastAsia="Times New Roman" w:hAnsi="Times New Roman"/>
                <w:sz w:val="18"/>
                <w:szCs w:val="18"/>
                <w:color w:val="auto"/>
                <w:vertAlign w:val="superscript"/>
              </w:rPr>
              <w:t>(1)</w:t>
            </w:r>
          </w:p>
        </w:tc>
        <w:tc>
          <w:tcPr>
            <w:tcW w:w="1960" w:type="dxa"/>
            <w:vAlign w:val="bottom"/>
            <w:shd w:val="clear" w:color="auto" w:fill="D1EEF5"/>
          </w:tcPr>
          <w:p>
            <w:pPr>
              <w:spacing w:after="0"/>
              <w:rPr>
                <w:sz w:val="15"/>
                <w:szCs w:val="15"/>
                <w:color w:val="auto"/>
              </w:rPr>
            </w:pPr>
          </w:p>
        </w:tc>
        <w:tc>
          <w:tcPr>
            <w:tcW w:w="960" w:type="dxa"/>
            <w:vAlign w:val="bottom"/>
            <w:shd w:val="clear" w:color="auto" w:fill="D1EEF5"/>
          </w:tcPr>
          <w:p>
            <w:pPr>
              <w:spacing w:after="0"/>
              <w:rPr>
                <w:sz w:val="15"/>
                <w:szCs w:val="15"/>
                <w:color w:val="auto"/>
              </w:rPr>
            </w:pPr>
          </w:p>
        </w:tc>
        <w:tc>
          <w:tcPr>
            <w:tcW w:w="5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100" w:type="dxa"/>
            <w:vAlign w:val="bottom"/>
            <w:shd w:val="clear" w:color="auto" w:fill="D1EEF5"/>
          </w:tcPr>
          <w:p>
            <w:pPr>
              <w:spacing w:after="0"/>
              <w:rPr>
                <w:sz w:val="15"/>
                <w:szCs w:val="15"/>
                <w:color w:val="auto"/>
              </w:rPr>
            </w:pPr>
          </w:p>
        </w:tc>
        <w:tc>
          <w:tcPr>
            <w:tcW w:w="200" w:type="dxa"/>
            <w:vAlign w:val="bottom"/>
            <w:shd w:val="clear" w:color="auto" w:fill="D1EEF5"/>
          </w:tcPr>
          <w:p>
            <w:pPr>
              <w:spacing w:after="0"/>
              <w:rPr>
                <w:sz w:val="15"/>
                <w:szCs w:val="15"/>
                <w:color w:val="auto"/>
              </w:rPr>
            </w:pPr>
          </w:p>
        </w:tc>
        <w:tc>
          <w:tcPr>
            <w:tcW w:w="680" w:type="dxa"/>
            <w:vAlign w:val="bottom"/>
            <w:shd w:val="clear" w:color="auto" w:fill="D1EEF5"/>
          </w:tcPr>
          <w:p>
            <w:pPr>
              <w:spacing w:after="0"/>
              <w:rPr>
                <w:sz w:val="15"/>
                <w:szCs w:val="15"/>
                <w:color w:val="auto"/>
              </w:rPr>
            </w:pPr>
          </w:p>
        </w:tc>
        <w:tc>
          <w:tcPr>
            <w:tcW w:w="8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shd w:val="clear" w:color="auto" w:fill="D1EEF5"/>
          </w:tcPr>
          <w:p>
            <w:pPr>
              <w:spacing w:after="0"/>
              <w:rPr>
                <w:sz w:val="15"/>
                <w:szCs w:val="15"/>
                <w:color w:val="auto"/>
              </w:rPr>
            </w:pPr>
          </w:p>
        </w:tc>
      </w:tr>
      <w:tr>
        <w:trPr>
          <w:trHeight w:val="180"/>
        </w:trPr>
        <w:tc>
          <w:tcPr>
            <w:tcW w:w="4800" w:type="dxa"/>
            <w:vAlign w:val="bottom"/>
          </w:tcPr>
          <w:p>
            <w:pPr>
              <w:ind w:left="140"/>
              <w:spacing w:after="0" w:line="180" w:lineRule="exact"/>
              <w:rPr>
                <w:sz w:val="20"/>
                <w:szCs w:val="20"/>
                <w:color w:val="auto"/>
              </w:rPr>
            </w:pPr>
            <w:r>
              <w:rPr>
                <w:rFonts w:ascii="Times New Roman" w:cs="Times New Roman" w:eastAsia="Times New Roman" w:hAnsi="Times New Roman"/>
                <w:sz w:val="14"/>
                <w:szCs w:val="14"/>
                <w:color w:val="auto"/>
              </w:rPr>
              <w:t>ERP Implementation</w:t>
            </w:r>
            <w:r>
              <w:rPr>
                <w:rFonts w:ascii="Times New Roman" w:cs="Times New Roman" w:eastAsia="Times New Roman" w:hAnsi="Times New Roman"/>
                <w:sz w:val="18"/>
                <w:szCs w:val="18"/>
                <w:color w:val="auto"/>
                <w:vertAlign w:val="superscript"/>
              </w:rPr>
              <w:t>(2)</w:t>
            </w:r>
          </w:p>
        </w:tc>
        <w:tc>
          <w:tcPr>
            <w:tcW w:w="1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5"/>
                <w:szCs w:val="15"/>
                <w:color w:val="auto"/>
              </w:rPr>
            </w:pPr>
          </w:p>
        </w:tc>
      </w:tr>
      <w:tr>
        <w:trPr>
          <w:trHeight w:val="179"/>
        </w:trPr>
        <w:tc>
          <w:tcPr>
            <w:tcW w:w="4800" w:type="dxa"/>
            <w:vAlign w:val="bottom"/>
            <w:shd w:val="clear" w:color="auto" w:fill="D1EEF5"/>
          </w:tcPr>
          <w:p>
            <w:pPr>
              <w:ind w:left="140"/>
              <w:spacing w:after="0" w:line="179" w:lineRule="exact"/>
              <w:rPr>
                <w:sz w:val="20"/>
                <w:szCs w:val="20"/>
                <w:color w:val="auto"/>
              </w:rPr>
            </w:pPr>
            <w:r>
              <w:rPr>
                <w:rFonts w:ascii="Times New Roman" w:cs="Times New Roman" w:eastAsia="Times New Roman" w:hAnsi="Times New Roman"/>
                <w:sz w:val="14"/>
                <w:szCs w:val="14"/>
                <w:color w:val="auto"/>
              </w:rPr>
              <w:t>Promissory Note Forgiveness</w:t>
            </w:r>
            <w:r>
              <w:rPr>
                <w:rFonts w:ascii="Times New Roman" w:cs="Times New Roman" w:eastAsia="Times New Roman" w:hAnsi="Times New Roman"/>
                <w:sz w:val="18"/>
                <w:szCs w:val="18"/>
                <w:color w:val="auto"/>
                <w:vertAlign w:val="superscript"/>
              </w:rPr>
              <w:t>(3)</w:t>
            </w:r>
          </w:p>
        </w:tc>
        <w:tc>
          <w:tcPr>
            <w:tcW w:w="1960" w:type="dxa"/>
            <w:vAlign w:val="bottom"/>
            <w:shd w:val="clear" w:color="auto" w:fill="D1EEF5"/>
          </w:tcPr>
          <w:p>
            <w:pPr>
              <w:spacing w:after="0"/>
              <w:rPr>
                <w:sz w:val="15"/>
                <w:szCs w:val="15"/>
                <w:color w:val="auto"/>
              </w:rPr>
            </w:pPr>
          </w:p>
        </w:tc>
        <w:tc>
          <w:tcPr>
            <w:tcW w:w="960" w:type="dxa"/>
            <w:vAlign w:val="bottom"/>
            <w:shd w:val="clear" w:color="auto" w:fill="D1EEF5"/>
          </w:tcPr>
          <w:p>
            <w:pPr>
              <w:spacing w:after="0"/>
              <w:rPr>
                <w:sz w:val="15"/>
                <w:szCs w:val="15"/>
                <w:color w:val="auto"/>
              </w:rPr>
            </w:pPr>
          </w:p>
        </w:tc>
        <w:tc>
          <w:tcPr>
            <w:tcW w:w="5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shd w:val="clear" w:color="auto" w:fill="D1EEF5"/>
          </w:tcPr>
          <w:p>
            <w:pPr>
              <w:spacing w:after="0"/>
              <w:rPr>
                <w:sz w:val="15"/>
                <w:szCs w:val="15"/>
                <w:color w:val="auto"/>
              </w:rPr>
            </w:pPr>
          </w:p>
        </w:tc>
        <w:tc>
          <w:tcPr>
            <w:tcW w:w="200" w:type="dxa"/>
            <w:vAlign w:val="bottom"/>
            <w:shd w:val="clear" w:color="auto" w:fill="D1EEF5"/>
          </w:tcPr>
          <w:p>
            <w:pPr>
              <w:spacing w:after="0"/>
              <w:rPr>
                <w:sz w:val="15"/>
                <w:szCs w:val="15"/>
                <w:color w:val="auto"/>
              </w:rPr>
            </w:pPr>
          </w:p>
        </w:tc>
        <w:tc>
          <w:tcPr>
            <w:tcW w:w="680" w:type="dxa"/>
            <w:vAlign w:val="bottom"/>
            <w:shd w:val="clear" w:color="auto" w:fill="D1EEF5"/>
          </w:tcPr>
          <w:p>
            <w:pPr>
              <w:spacing w:after="0"/>
              <w:rPr>
                <w:sz w:val="15"/>
                <w:szCs w:val="15"/>
                <w:color w:val="auto"/>
              </w:rPr>
            </w:pPr>
          </w:p>
        </w:tc>
        <w:tc>
          <w:tcPr>
            <w:tcW w:w="8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EF5"/>
          </w:tcPr>
          <w:p>
            <w:pPr>
              <w:spacing w:after="0"/>
              <w:rPr>
                <w:sz w:val="15"/>
                <w:szCs w:val="15"/>
                <w:color w:val="auto"/>
              </w:rPr>
            </w:pPr>
          </w:p>
        </w:tc>
      </w:tr>
      <w:tr>
        <w:trPr>
          <w:trHeight w:val="156"/>
        </w:trPr>
        <w:tc>
          <w:tcPr>
            <w:tcW w:w="480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Loss on Disposal of Assets</w:t>
            </w:r>
          </w:p>
        </w:tc>
        <w:tc>
          <w:tcPr>
            <w:tcW w:w="1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3"/>
                <w:szCs w:val="13"/>
                <w:color w:val="auto"/>
              </w:rPr>
            </w:pPr>
          </w:p>
        </w:tc>
      </w:tr>
      <w:tr>
        <w:trPr>
          <w:trHeight w:val="180"/>
        </w:trPr>
        <w:tc>
          <w:tcPr>
            <w:tcW w:w="4800" w:type="dxa"/>
            <w:vAlign w:val="bottom"/>
            <w:shd w:val="clear" w:color="auto" w:fill="D1EEF5"/>
          </w:tcPr>
          <w:p>
            <w:pPr>
              <w:ind w:left="140"/>
              <w:spacing w:after="0" w:line="180" w:lineRule="exact"/>
              <w:rPr>
                <w:sz w:val="20"/>
                <w:szCs w:val="20"/>
                <w:color w:val="auto"/>
              </w:rPr>
            </w:pPr>
            <w:r>
              <w:rPr>
                <w:rFonts w:ascii="Times New Roman" w:cs="Times New Roman" w:eastAsia="Times New Roman" w:hAnsi="Times New Roman"/>
                <w:sz w:val="14"/>
                <w:szCs w:val="14"/>
                <w:color w:val="auto"/>
              </w:rPr>
              <w:t>Separation Agreement</w:t>
            </w:r>
            <w:r>
              <w:rPr>
                <w:rFonts w:ascii="Times New Roman" w:cs="Times New Roman" w:eastAsia="Times New Roman" w:hAnsi="Times New Roman"/>
                <w:sz w:val="18"/>
                <w:szCs w:val="18"/>
                <w:color w:val="auto"/>
                <w:vertAlign w:val="superscript"/>
              </w:rPr>
              <w:t>(4)</w:t>
            </w:r>
          </w:p>
        </w:tc>
        <w:tc>
          <w:tcPr>
            <w:tcW w:w="1960" w:type="dxa"/>
            <w:vAlign w:val="bottom"/>
            <w:shd w:val="clear" w:color="auto" w:fill="D1EEF5"/>
          </w:tcPr>
          <w:p>
            <w:pPr>
              <w:spacing w:after="0"/>
              <w:rPr>
                <w:sz w:val="15"/>
                <w:szCs w:val="15"/>
                <w:color w:val="auto"/>
              </w:rPr>
            </w:pPr>
          </w:p>
        </w:tc>
        <w:tc>
          <w:tcPr>
            <w:tcW w:w="960" w:type="dxa"/>
            <w:vAlign w:val="bottom"/>
            <w:shd w:val="clear" w:color="auto" w:fill="D1EEF5"/>
          </w:tcPr>
          <w:p>
            <w:pPr>
              <w:spacing w:after="0"/>
              <w:rPr>
                <w:sz w:val="15"/>
                <w:szCs w:val="15"/>
                <w:color w:val="auto"/>
              </w:rPr>
            </w:pPr>
          </w:p>
        </w:tc>
        <w:tc>
          <w:tcPr>
            <w:tcW w:w="5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00" w:type="dxa"/>
            <w:vAlign w:val="bottom"/>
            <w:shd w:val="clear" w:color="auto" w:fill="D1EEF5"/>
          </w:tcPr>
          <w:p>
            <w:pPr>
              <w:spacing w:after="0"/>
              <w:rPr>
                <w:sz w:val="15"/>
                <w:szCs w:val="15"/>
                <w:color w:val="auto"/>
              </w:rPr>
            </w:pPr>
          </w:p>
        </w:tc>
        <w:tc>
          <w:tcPr>
            <w:tcW w:w="200" w:type="dxa"/>
            <w:vAlign w:val="bottom"/>
            <w:shd w:val="clear" w:color="auto" w:fill="D1EEF5"/>
          </w:tcPr>
          <w:p>
            <w:pPr>
              <w:spacing w:after="0"/>
              <w:rPr>
                <w:sz w:val="15"/>
                <w:szCs w:val="15"/>
                <w:color w:val="auto"/>
              </w:rPr>
            </w:pPr>
          </w:p>
        </w:tc>
        <w:tc>
          <w:tcPr>
            <w:tcW w:w="680" w:type="dxa"/>
            <w:vAlign w:val="bottom"/>
            <w:shd w:val="clear" w:color="auto" w:fill="D1EEF5"/>
          </w:tcPr>
          <w:p>
            <w:pPr>
              <w:spacing w:after="0"/>
              <w:rPr>
                <w:sz w:val="15"/>
                <w:szCs w:val="15"/>
                <w:color w:val="auto"/>
              </w:rPr>
            </w:pPr>
          </w:p>
        </w:tc>
        <w:tc>
          <w:tcPr>
            <w:tcW w:w="8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EF5"/>
          </w:tcPr>
          <w:p>
            <w:pPr>
              <w:spacing w:after="0"/>
              <w:rPr>
                <w:sz w:val="15"/>
                <w:szCs w:val="15"/>
                <w:color w:val="auto"/>
              </w:rPr>
            </w:pPr>
          </w:p>
        </w:tc>
      </w:tr>
      <w:tr>
        <w:trPr>
          <w:trHeight w:val="199"/>
        </w:trPr>
        <w:tc>
          <w:tcPr>
            <w:tcW w:w="4800" w:type="dxa"/>
            <w:vAlign w:val="bottom"/>
          </w:tcPr>
          <w:p>
            <w:pPr>
              <w:ind w:left="140"/>
              <w:spacing w:after="0" w:line="199" w:lineRule="exact"/>
              <w:rPr>
                <w:sz w:val="20"/>
                <w:szCs w:val="20"/>
                <w:color w:val="auto"/>
              </w:rPr>
            </w:pPr>
            <w:r>
              <w:rPr>
                <w:rFonts w:ascii="Times New Roman" w:cs="Times New Roman" w:eastAsia="Times New Roman" w:hAnsi="Times New Roman"/>
                <w:sz w:val="14"/>
                <w:szCs w:val="14"/>
                <w:color w:val="auto"/>
              </w:rPr>
              <w:t>Business Combination Expenses</w:t>
            </w:r>
            <w:r>
              <w:rPr>
                <w:rFonts w:ascii="Times New Roman" w:cs="Times New Roman" w:eastAsia="Times New Roman" w:hAnsi="Times New Roman"/>
                <w:sz w:val="18"/>
                <w:szCs w:val="18"/>
                <w:color w:val="auto"/>
                <w:vertAlign w:val="superscript"/>
              </w:rPr>
              <w:t>(5)</w:t>
            </w:r>
          </w:p>
        </w:tc>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Pr>
          <w:p>
            <w:pPr>
              <w:spacing w:after="0"/>
              <w:rPr>
                <w:sz w:val="17"/>
                <w:szCs w:val="17"/>
                <w:color w:val="auto"/>
              </w:rPr>
            </w:pPr>
          </w:p>
        </w:tc>
      </w:tr>
      <w:tr>
        <w:trPr>
          <w:trHeight w:val="180"/>
        </w:trPr>
        <w:tc>
          <w:tcPr>
            <w:tcW w:w="4800" w:type="dxa"/>
            <w:vAlign w:val="bottom"/>
            <w:shd w:val="clear" w:color="auto" w:fill="D1EEF5"/>
          </w:tcPr>
          <w:p>
            <w:pPr>
              <w:ind w:left="140"/>
              <w:spacing w:after="0" w:line="180" w:lineRule="exact"/>
              <w:rPr>
                <w:sz w:val="20"/>
                <w:szCs w:val="20"/>
                <w:color w:val="auto"/>
              </w:rPr>
            </w:pPr>
            <w:r>
              <w:rPr>
                <w:rFonts w:ascii="Times New Roman" w:cs="Times New Roman" w:eastAsia="Times New Roman" w:hAnsi="Times New Roman"/>
                <w:sz w:val="14"/>
                <w:szCs w:val="14"/>
                <w:color w:val="auto"/>
              </w:rPr>
              <w:t xml:space="preserve">Debt extinguishment </w:t>
            </w:r>
            <w:r>
              <w:rPr>
                <w:rFonts w:ascii="Times New Roman" w:cs="Times New Roman" w:eastAsia="Times New Roman" w:hAnsi="Times New Roman"/>
                <w:sz w:val="18"/>
                <w:szCs w:val="18"/>
                <w:color w:val="auto"/>
                <w:vertAlign w:val="superscript"/>
              </w:rPr>
              <w:t>(6)</w:t>
            </w:r>
          </w:p>
        </w:tc>
        <w:tc>
          <w:tcPr>
            <w:tcW w:w="1960" w:type="dxa"/>
            <w:vAlign w:val="bottom"/>
            <w:shd w:val="clear" w:color="auto" w:fill="D1EEF5"/>
          </w:tcPr>
          <w:p>
            <w:pPr>
              <w:spacing w:after="0"/>
              <w:rPr>
                <w:sz w:val="15"/>
                <w:szCs w:val="15"/>
                <w:color w:val="auto"/>
              </w:rPr>
            </w:pPr>
          </w:p>
        </w:tc>
        <w:tc>
          <w:tcPr>
            <w:tcW w:w="960" w:type="dxa"/>
            <w:vAlign w:val="bottom"/>
            <w:shd w:val="clear" w:color="auto" w:fill="D1EEF5"/>
          </w:tcPr>
          <w:p>
            <w:pPr>
              <w:spacing w:after="0"/>
              <w:rPr>
                <w:sz w:val="15"/>
                <w:szCs w:val="15"/>
                <w:color w:val="auto"/>
              </w:rPr>
            </w:pPr>
          </w:p>
        </w:tc>
        <w:tc>
          <w:tcPr>
            <w:tcW w:w="5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4,824</w:t>
            </w:r>
          </w:p>
        </w:tc>
        <w:tc>
          <w:tcPr>
            <w:tcW w:w="100" w:type="dxa"/>
            <w:vAlign w:val="bottom"/>
            <w:shd w:val="clear" w:color="auto" w:fill="D1EEF5"/>
          </w:tcPr>
          <w:p>
            <w:pPr>
              <w:spacing w:after="0"/>
              <w:rPr>
                <w:sz w:val="15"/>
                <w:szCs w:val="15"/>
                <w:color w:val="auto"/>
              </w:rPr>
            </w:pPr>
          </w:p>
        </w:tc>
        <w:tc>
          <w:tcPr>
            <w:tcW w:w="200" w:type="dxa"/>
            <w:vAlign w:val="bottom"/>
            <w:shd w:val="clear" w:color="auto" w:fill="D1EEF5"/>
          </w:tcPr>
          <w:p>
            <w:pPr>
              <w:spacing w:after="0"/>
              <w:rPr>
                <w:sz w:val="15"/>
                <w:szCs w:val="15"/>
                <w:color w:val="auto"/>
              </w:rPr>
            </w:pPr>
          </w:p>
        </w:tc>
        <w:tc>
          <w:tcPr>
            <w:tcW w:w="680" w:type="dxa"/>
            <w:vAlign w:val="bottom"/>
            <w:shd w:val="clear" w:color="auto" w:fill="D1EEF5"/>
          </w:tcPr>
          <w:p>
            <w:pPr>
              <w:spacing w:after="0"/>
              <w:rPr>
                <w:sz w:val="15"/>
                <w:szCs w:val="15"/>
                <w:color w:val="auto"/>
              </w:rPr>
            </w:pPr>
          </w:p>
        </w:tc>
        <w:tc>
          <w:tcPr>
            <w:tcW w:w="8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EF5"/>
          </w:tcPr>
          <w:p>
            <w:pPr>
              <w:spacing w:after="0"/>
              <w:rPr>
                <w:sz w:val="15"/>
                <w:szCs w:val="15"/>
                <w:color w:val="auto"/>
              </w:rPr>
            </w:pPr>
          </w:p>
        </w:tc>
      </w:tr>
      <w:tr>
        <w:trPr>
          <w:trHeight w:val="194"/>
        </w:trPr>
        <w:tc>
          <w:tcPr>
            <w:tcW w:w="4800" w:type="dxa"/>
            <w:vAlign w:val="bottom"/>
          </w:tcPr>
          <w:p>
            <w:pPr>
              <w:ind w:left="140"/>
              <w:spacing w:after="0" w:line="189" w:lineRule="exact"/>
              <w:rPr>
                <w:sz w:val="20"/>
                <w:szCs w:val="20"/>
                <w:color w:val="auto"/>
              </w:rPr>
            </w:pPr>
            <w:r>
              <w:rPr>
                <w:rFonts w:ascii="Times New Roman" w:cs="Times New Roman" w:eastAsia="Times New Roman" w:hAnsi="Times New Roman"/>
                <w:sz w:val="14"/>
                <w:szCs w:val="14"/>
                <w:color w:val="auto"/>
              </w:rPr>
              <w:t xml:space="preserve">Change in fair market value of warrant liability </w:t>
            </w:r>
            <w:r>
              <w:rPr>
                <w:rFonts w:ascii="Times New Roman" w:cs="Times New Roman" w:eastAsia="Times New Roman" w:hAnsi="Times New Roman"/>
                <w:sz w:val="18"/>
                <w:szCs w:val="18"/>
                <w:color w:val="auto"/>
                <w:vertAlign w:val="superscript"/>
              </w:rPr>
              <w:t>(7)</w:t>
            </w:r>
          </w:p>
        </w:tc>
        <w:tc>
          <w:tcPr>
            <w:tcW w:w="1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(5,446)</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r>
      <w:tr>
        <w:trPr>
          <w:trHeight w:val="176"/>
        </w:trPr>
        <w:tc>
          <w:tcPr>
            <w:tcW w:w="480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960" w:type="dxa"/>
            <w:vAlign w:val="bottom"/>
            <w:tcBorders>
              <w:top w:val="single" w:sz="8" w:color="D1EEF5"/>
            </w:tcBorders>
            <w:shd w:val="clear" w:color="auto" w:fill="D1EEF5"/>
          </w:tcPr>
          <w:p>
            <w:pPr>
              <w:spacing w:after="0"/>
              <w:rPr>
                <w:sz w:val="15"/>
                <w:szCs w:val="15"/>
                <w:color w:val="auto"/>
              </w:rPr>
            </w:pPr>
          </w:p>
        </w:tc>
        <w:tc>
          <w:tcPr>
            <w:tcW w:w="960" w:type="dxa"/>
            <w:vAlign w:val="bottom"/>
            <w:tcBorders>
              <w:top w:val="single" w:sz="8" w:color="auto"/>
            </w:tcBorders>
            <w:shd w:val="clear" w:color="auto" w:fill="D1EEF5"/>
          </w:tcPr>
          <w:p>
            <w:pPr>
              <w:jc w:val="right"/>
              <w:ind w:right="83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(7,540</w:t>
            </w:r>
          </w:p>
        </w:tc>
        <w:tc>
          <w:tcPr>
            <w:tcW w:w="100" w:type="dxa"/>
            <w:vAlign w:val="bottom"/>
            <w:tcBorders>
              <w:top w:val="single" w:sz="8" w:color="D1EEF5"/>
            </w:tcBorders>
            <w:shd w:val="clear" w:color="auto" w:fill="D1EEF5"/>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D1EEF5"/>
            </w:tcBorders>
            <w:shd w:val="clear" w:color="auto" w:fill="D1EEF5"/>
          </w:tcPr>
          <w:p>
            <w:pPr>
              <w:spacing w:after="0"/>
              <w:rPr>
                <w:sz w:val="15"/>
                <w:szCs w:val="15"/>
                <w:color w:val="auto"/>
              </w:rPr>
            </w:pPr>
          </w:p>
        </w:tc>
        <w:tc>
          <w:tcPr>
            <w:tcW w:w="680" w:type="dxa"/>
            <w:vAlign w:val="bottom"/>
            <w:tcBorders>
              <w:top w:val="single" w:sz="8" w:color="auto"/>
            </w:tcBorders>
            <w:shd w:val="clear" w:color="auto" w:fill="D1EEF5"/>
          </w:tcPr>
          <w:p>
            <w:pPr>
              <w:jc w:val="right"/>
              <w:ind w:right="56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8,470</w:t>
            </w:r>
          </w:p>
        </w:tc>
        <w:tc>
          <w:tcPr>
            <w:tcW w:w="100" w:type="dxa"/>
            <w:vAlign w:val="bottom"/>
            <w:tcBorders>
              <w:top w:val="single" w:sz="8" w:color="D1EEF5"/>
            </w:tcBorders>
            <w:shd w:val="clear" w:color="auto" w:fill="D1EEF5"/>
          </w:tcPr>
          <w:p>
            <w:pPr>
              <w:spacing w:after="0"/>
              <w:rPr>
                <w:sz w:val="15"/>
                <w:szCs w:val="15"/>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114300</wp:posOffset>
                </wp:positionV>
                <wp:extent cx="162687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26870"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9pt" to="127.9pt,9pt" o:allowincell="f" strokecolor="#000000" strokeweight="1.26pt"/>
            </w:pict>
          </mc:Fallback>
        </mc:AlternateContent>
        <w:drawing>
          <wp:anchor simplePos="0" relativeHeight="251657728" behindDoc="1" locked="0" layoutInCell="0" allowOverlap="1">
            <wp:simplePos x="0" y="0"/>
            <wp:positionH relativeFrom="column">
              <wp:posOffset>4283710</wp:posOffset>
            </wp:positionH>
            <wp:positionV relativeFrom="paragraph">
              <wp:posOffset>-26670</wp:posOffset>
            </wp:positionV>
            <wp:extent cx="2235835" cy="48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8">
                      <a:extLst>
                        <a:ext uri="{28A0092B-C50C-407E-A947-70E740481C1C}"/>
                      </a:extLst>
                    </a:blip>
                    <a:srcRect/>
                    <a:stretch>
                      <a:fillRect/>
                    </a:stretch>
                  </pic:blipFill>
                  <pic:spPr bwMode="auto">
                    <a:xfrm>
                      <a:off x="0" y="0"/>
                      <a:ext cx="2235835" cy="48895"/>
                    </a:xfrm>
                    <a:prstGeom prst="rect">
                      <a:avLst/>
                    </a:prstGeom>
                    <a:noFill/>
                  </pic:spPr>
                </pic:pic>
              </a:graphicData>
            </a:graphic>
          </wp:anchor>
        </w:drawing>
      </w:r>
    </w:p>
    <w:p>
      <w:pPr>
        <w:spacing w:after="0" w:line="169" w:lineRule="exact"/>
        <w:rPr>
          <w:sz w:val="20"/>
          <w:szCs w:val="20"/>
          <w:color w:val="auto"/>
        </w:rPr>
      </w:pPr>
    </w:p>
    <w:p>
      <w:pPr>
        <w:ind w:left="242" w:hanging="242"/>
        <w:spacing w:after="0"/>
        <w:tabs>
          <w:tab w:leader="none" w:pos="24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is comprised of costs associated with option and RSU grants made to our employees, consultants and board members.</w:t>
      </w:r>
    </w:p>
    <w:p>
      <w:pPr>
        <w:spacing w:after="0" w:line="152" w:lineRule="exact"/>
        <w:rPr>
          <w:rFonts w:ascii="Times New Roman" w:cs="Times New Roman" w:eastAsia="Times New Roman" w:hAnsi="Times New Roman"/>
          <w:sz w:val="14"/>
          <w:szCs w:val="14"/>
          <w:color w:val="auto"/>
        </w:rPr>
      </w:pPr>
    </w:p>
    <w:p>
      <w:pPr>
        <w:ind w:left="242" w:hanging="242"/>
        <w:spacing w:after="0" w:line="262" w:lineRule="auto"/>
        <w:tabs>
          <w:tab w:leader="none" w:pos="241"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ERP Implementation is comprised of costs and expenses associated with our implementation of an Enterprise Resource Planning (ERP) system in anticipation of the Business Combination and becoming a public company.</w:t>
      </w:r>
    </w:p>
    <w:p>
      <w:pPr>
        <w:spacing w:after="0" w:line="117" w:lineRule="exact"/>
        <w:rPr>
          <w:rFonts w:ascii="Times New Roman" w:cs="Times New Roman" w:eastAsia="Times New Roman" w:hAnsi="Times New Roman"/>
          <w:sz w:val="14"/>
          <w:szCs w:val="14"/>
          <w:color w:val="auto"/>
        </w:rPr>
      </w:pPr>
    </w:p>
    <w:p>
      <w:pPr>
        <w:ind w:left="242" w:hanging="242"/>
        <w:spacing w:after="0" w:line="262" w:lineRule="auto"/>
        <w:tabs>
          <w:tab w:leader="none" w:pos="241"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Promissory Note Forgiveness is comprised of the loan that was forgiven, prior to the Business Combination, in connection with the promissory note, with a maturity date of March 1, 2026, between us and John Marchetti, our Chief Financial Officer.</w:t>
      </w:r>
    </w:p>
    <w:p>
      <w:pPr>
        <w:spacing w:after="0" w:line="116" w:lineRule="exact"/>
        <w:rPr>
          <w:rFonts w:ascii="Times New Roman" w:cs="Times New Roman" w:eastAsia="Times New Roman" w:hAnsi="Times New Roman"/>
          <w:sz w:val="14"/>
          <w:szCs w:val="14"/>
          <w:color w:val="auto"/>
        </w:rPr>
      </w:pPr>
    </w:p>
    <w:p>
      <w:pPr>
        <w:ind w:left="242" w:hanging="242"/>
        <w:spacing w:after="0" w:line="263" w:lineRule="auto"/>
        <w:tabs>
          <w:tab w:leader="none" w:pos="241"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Separation Agreement is comprised of $1.2 million in cash severance associated with the Separation Agreement, dated October 25, 2022, as amended on November 14, 2022, between us and Sean Nichols, our former Chief Operating Officer.</w:t>
      </w:r>
    </w:p>
    <w:p>
      <w:pPr>
        <w:spacing w:after="0" w:line="116" w:lineRule="exact"/>
        <w:rPr>
          <w:rFonts w:ascii="Times New Roman" w:cs="Times New Roman" w:eastAsia="Times New Roman" w:hAnsi="Times New Roman"/>
          <w:sz w:val="14"/>
          <w:szCs w:val="14"/>
          <w:color w:val="auto"/>
        </w:rPr>
      </w:pPr>
    </w:p>
    <w:p>
      <w:pPr>
        <w:ind w:left="242" w:hanging="242"/>
        <w:spacing w:after="0"/>
        <w:tabs>
          <w:tab w:leader="none" w:pos="24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Combination Expenses is comprised of fees and expenses, including legal, accounting, and others associated with the Business Combination.</w:t>
      </w:r>
    </w:p>
    <w:p>
      <w:pPr>
        <w:spacing w:after="0" w:line="152" w:lineRule="exact"/>
        <w:rPr>
          <w:rFonts w:ascii="Times New Roman" w:cs="Times New Roman" w:eastAsia="Times New Roman" w:hAnsi="Times New Roman"/>
          <w:sz w:val="14"/>
          <w:szCs w:val="14"/>
          <w:color w:val="auto"/>
        </w:rPr>
      </w:pPr>
    </w:p>
    <w:p>
      <w:pPr>
        <w:ind w:left="242" w:hanging="242"/>
        <w:spacing w:after="0" w:line="262" w:lineRule="auto"/>
        <w:tabs>
          <w:tab w:leader="none" w:pos="24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extinguishment expenses are comprised of expenses incurred in connection with the early debt repayment of the Series 2021-6 Notes that occurred in conjunction with the Business Combination.</w:t>
      </w:r>
    </w:p>
    <w:p>
      <w:pPr>
        <w:spacing w:after="0" w:line="117" w:lineRule="exact"/>
        <w:rPr>
          <w:rFonts w:ascii="Times New Roman" w:cs="Times New Roman" w:eastAsia="Times New Roman" w:hAnsi="Times New Roman"/>
          <w:sz w:val="14"/>
          <w:szCs w:val="14"/>
          <w:color w:val="auto"/>
        </w:rPr>
      </w:pPr>
    </w:p>
    <w:p>
      <w:pPr>
        <w:ind w:left="242" w:hanging="242"/>
        <w:spacing w:after="0"/>
        <w:tabs>
          <w:tab w:leader="none" w:pos="24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market value of warrant liabilities represents the change in fair value from the date the warrants were issued through December 31, 2022.</w:t>
      </w:r>
    </w:p>
    <w:p>
      <w:pPr>
        <w:spacing w:after="0" w:line="15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15875</wp:posOffset>
                </wp:positionV>
                <wp:extent cx="650875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8750"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25pt" to="512.3pt,1.25pt" o:allowincell="f" strokecolor="#000000" strokeweight="1.32pt"/>
            </w:pict>
          </mc:Fallback>
        </mc:AlternateContent>
      </w:r>
    </w:p>
    <w:p>
      <w:pPr>
        <w:sectPr>
          <w:pgSz w:w="12240" w:h="15840" w:orient="portrait"/>
          <w:cols w:equalWidth="0" w:num="1">
            <w:col w:w="10242"/>
          </w:cols>
          <w:pgMar w:left="998" w:top="1208" w:right="100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December 31, 2022, we had cash totaling $17.8 million.</w:t>
      </w:r>
    </w:p>
    <w:p>
      <w:pPr>
        <w:spacing w:after="0" w:line="1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expansion of our facilities and new strategic investments.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 In connection with the growth of our business and in anticipation of future needs and to protect against supply-chain and logistics related shortages, during the fourth quarter of 2022, we continued to increase our inventory purchasing activities. As a result, our inventory balance at December 31, 2022 increased by $22.8 million to $49.9 million, compared to $27.1 million at December 31, 2021.</w:t>
      </w:r>
    </w:p>
    <w:p>
      <w:pPr>
        <w:spacing w:after="0" w:line="1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Obligations and Requirements</w:t>
      </w:r>
    </w:p>
    <w:p>
      <w:pPr>
        <w:spacing w:after="0" w:line="14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November 24, 2021, we issued $45 million of fixed rate senior notes, secured by among other things, a security interest in our intellectual property. As part of the Business Combination, we entered into the Term Loan, the proceeds of which were used to repay the $45 million fixed rate senior notes, and ChEF Equity Facility.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650938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pt" to="512.25pt,1.3pt" o:allowincell="f" strokecolor="#000000" strokeweight="1.2599pt"/>
            </w:pict>
          </mc:Fallback>
        </mc:AlternateContent>
      </w:r>
    </w:p>
    <w:p>
      <w:pPr>
        <w:sectPr>
          <w:pgSz w:w="12240" w:h="15840" w:orient="portrait"/>
          <w:cols w:equalWidth="0" w:num="1">
            <w:col w:w="10240"/>
          </w:cols>
          <w:pgMar w:left="1000" w:top="1208" w:right="1000" w:bottom="1440" w:gutter="0" w:footer="0" w:header="0"/>
        </w:sectPr>
      </w:pPr>
    </w:p>
    <w:bookmarkStart w:id="55" w:name="page56"/>
    <w:bookmarkEnd w:id="55"/>
    <w:p>
      <w:pPr>
        <w:jc w:val="both"/>
        <w:spacing w:after="0" w:line="280" w:lineRule="auto"/>
        <w:rPr>
          <w:sz w:val="20"/>
          <w:szCs w:val="20"/>
          <w:color w:val="auto"/>
        </w:rPr>
      </w:pPr>
      <w:r>
        <w:rPr>
          <w:rFonts w:ascii="Times New Roman" w:cs="Times New Roman" w:eastAsia="Times New Roman" w:hAnsi="Times New Roman"/>
          <w:sz w:val="12"/>
          <w:szCs w:val="12"/>
          <w:color w:val="auto"/>
        </w:rPr>
        <w:t>The Term Loan proceeds were used to: (i) support the Business Combination, (ii) prepay the fixed rate senior notes at closing of the Business Combination, (iii) 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we obtained a waiver from our Administrative Agent and Term Loan Lenders of our failure to satisfy the fixed charge coverage ratio and maximum senior leverage ratio with respect to the minimum cash requirements under the Term Loan during the quarter ended March 31, 2023. It is probable that we will fail to meet these covenants within the next twelve months. In accordance with U.S. GAAP, we reclassified our notes payable from a long-term liability to a current liability. The Term Loan accrues interest (i) until April 1, 2023 at a per annum rate equal to adjusted SOFR is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In each of the foregoing case, adjusted SOFR will be no less than 1%.</w:t>
      </w:r>
    </w:p>
    <w:p>
      <w:pPr>
        <w:spacing w:after="0" w:line="27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spacing w:after="0" w:line="1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and (ii) the $10 Warrants.</w:t>
      </w:r>
    </w:p>
    <w:p>
      <w:pPr>
        <w:spacing w:after="0" w:line="1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Pursuant to the Purchase Agreement, on the terms of and subject to the satisfaction of the conditions in the Purchase Agreement, including the filing and effectiveness of a registration statement registering the resale by CCM LLC of the shares of common stock issued to it under the Purchase Agreement, we will have the right from time to time at our option to direct CCM LLC to purchase up to a specified maximum amount of shares of common stock, up to a maximum aggregate purchase price of $ 150 million over the term of the ChEF Equity Facility. In connection with the ChEF Equity Facility, we filed a registration statement registering the resale of up to 21,512,027 shares that may be resold into the public markets by CCM LLC, which represented approximately 50% of the shares of our common stock outstanding as of December 31, 2022. During the year ended December 31, 2022, we did not sell any shares of our common stock under the ChEF Equity Facility. From January 1, 2023 to April 17, 2023, we issued and sold approximately 98,500 shares of our common stock under this facility, resulting in net cash proceeds of $670,593. Any sales of such shares into the public market could have a significant negative impact on the trading price of our common stock. This impact may be heightened by the fact that sales to CCM LLC will generally be at prices below the current trading price of our common stock. If the trading price of our common stock does not recover or experiences a further decline, sales of shares of common stock to CCM LLC pursuant to the Purchase Agreement may be a less attractive source of capital and/or may not allow us to raise capital at rates that would be possible if the trading price of our common stock were higher.</w:t>
      </w:r>
    </w:p>
    <w:p>
      <w:pPr>
        <w:spacing w:after="0" w:line="1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On March 5, 2023, we issued the Note in the Principal Amount of $1.0 million to Brian Nelson, one of our directors, in a private placement in exchange for cash in an equal amount. The Note became due and payable in full on April 1, 2023. We were also obligated to pay the Loan Fee in the amount of $100,000 to Mr. Nelson on April 4, 2023. The Principal Amount of the Note was paid in full on April 1, 2023 and the Loan Fee was paid in full on April 4, 2023.</w:t>
      </w:r>
    </w:p>
    <w:p>
      <w:pPr>
        <w:spacing w:after="0" w:line="12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We have also filed a registration statement registering the resale of up to 55,298,545 shares that may be resold and/or issued into the public markets, which represents approximately 128% of the shares of our common stock outstanding as of December 31, 2022. The selling securityholders will determine the timing, pricing and rate at which they sell such shares into the public market. Although the current trading price of our common stock is below $10.00 per share, which was the sales price for units in the Chardan IPO, certain of the selling security holders have an incentive to sell because they purchased shares and/or warrants at prices below the initial public offering price and/or below the recent trading prices of our securities. Additionally, while sales by such investors may experience a positive rate of return based on the trading price at the time they sell their shares, the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selling securityholders pursuant to such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Chardan IPO offering price and may cause the trading prices of our securities to experience a further decline.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12700</wp:posOffset>
                </wp:positionV>
                <wp:extent cx="650938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pt" to="512.25pt,1pt" o:allowincell="f" strokecolor="#000000" strokeweight="1.26pt"/>
            </w:pict>
          </mc:Fallback>
        </mc:AlternateContent>
      </w:r>
    </w:p>
    <w:p>
      <w:pPr>
        <w:sectPr>
          <w:pgSz w:w="12240" w:h="15840" w:orient="portrait"/>
          <w:cols w:equalWidth="0" w:num="1">
            <w:col w:w="10240"/>
          </w:cols>
          <w:pgMar w:left="1000" w:top="1210" w:right="100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Going Concern</w:t>
      </w:r>
    </w:p>
    <w:p>
      <w:pPr>
        <w:spacing w:after="0" w:line="1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For the year ended December 31, 2022, we incurred losses and had a negative cash flow from operations. As of December 31, 2022, we had approximately $17.8 million in cash and cash equivalents and working capital of $32.9 million.</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2"/>
          <w:szCs w:val="12"/>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2022 consolidated financial statements, with respect to this uncertainty.</w:t>
      </w:r>
    </w:p>
    <w:p>
      <w:pPr>
        <w:spacing w:after="0" w:line="1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for the Years ended December 31, 2022 and 2021</w:t>
            </w:r>
          </w:p>
        </w:tc>
        <w:tc>
          <w:tcPr>
            <w:tcW w:w="1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5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Years ended 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by/(used in):</w:t>
            </w:r>
          </w:p>
        </w:tc>
        <w:tc>
          <w:tcPr>
            <w:tcW w:w="166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72"/>
              <w:spacing w:after="0" w:line="154"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00" w:type="dxa"/>
            <w:vAlign w:val="bottom"/>
            <w:vMerge w:val="continue"/>
          </w:tcPr>
          <w:p>
            <w:pPr>
              <w:spacing w:after="0"/>
              <w:rPr>
                <w:sz w:val="13"/>
                <w:szCs w:val="13"/>
                <w:color w:val="auto"/>
              </w:rPr>
            </w:pPr>
          </w:p>
        </w:tc>
        <w:tc>
          <w:tcPr>
            <w:tcW w:w="1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ind w:right="32"/>
              <w:spacing w:after="0" w:line="150" w:lineRule="exact"/>
              <w:rPr>
                <w:sz w:val="20"/>
                <w:szCs w:val="20"/>
                <w:color w:val="auto"/>
              </w:rPr>
            </w:pPr>
            <w:r>
              <w:rPr>
                <w:rFonts w:ascii="Times New Roman" w:cs="Times New Roman" w:eastAsia="Times New Roman" w:hAnsi="Times New Roman"/>
                <w:sz w:val="14"/>
                <w:szCs w:val="14"/>
                <w:b w:val="1"/>
                <w:bCs w:val="1"/>
                <w:color w:val="auto"/>
              </w:rPr>
              <w:t>(in</w:t>
            </w:r>
          </w:p>
        </w:tc>
        <w:tc>
          <w:tcPr>
            <w:tcW w:w="920" w:type="dxa"/>
            <w:vAlign w:val="bottom"/>
            <w:gridSpan w:val="2"/>
          </w:tcPr>
          <w:p>
            <w:pPr>
              <w:jc w:val="right"/>
              <w:ind w:right="304"/>
              <w:spacing w:after="0" w:line="150"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Operating Activities</w:t>
            </w:r>
          </w:p>
        </w:tc>
        <w:tc>
          <w:tcPr>
            <w:tcW w:w="2560" w:type="dxa"/>
            <w:vAlign w:val="bottom"/>
            <w:gridSpan w:val="2"/>
            <w:shd w:val="clear" w:color="auto" w:fill="D1EEF5"/>
          </w:tcPr>
          <w:p>
            <w:pPr>
              <w:jc w:val="right"/>
              <w:ind w:right="772"/>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D1EEF5"/>
          </w:tcPr>
          <w:p>
            <w:pPr>
              <w:jc w:val="right"/>
              <w:ind w:right="192"/>
              <w:spacing w:after="0" w:line="157" w:lineRule="exact"/>
              <w:rPr>
                <w:sz w:val="20"/>
                <w:szCs w:val="20"/>
                <w:color w:val="auto"/>
              </w:rPr>
            </w:pPr>
            <w:r>
              <w:rPr>
                <w:rFonts w:ascii="Times New Roman" w:cs="Times New Roman" w:eastAsia="Times New Roman" w:hAnsi="Times New Roman"/>
                <w:sz w:val="14"/>
                <w:szCs w:val="14"/>
                <w:color w:val="auto"/>
              </w:rPr>
              <w:t>(45,696)</w:t>
            </w:r>
          </w:p>
        </w:tc>
        <w:tc>
          <w:tcPr>
            <w:tcW w:w="620" w:type="dxa"/>
            <w:vAlign w:val="bottom"/>
            <w:shd w:val="clear" w:color="auto" w:fill="D1EEF5"/>
          </w:tcPr>
          <w:p>
            <w:pPr>
              <w:jc w:val="right"/>
              <w:ind w:right="5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2"/>
            <w:shd w:val="clear" w:color="auto" w:fill="D1EEF5"/>
          </w:tcPr>
          <w:p>
            <w:pPr>
              <w:jc w:val="right"/>
              <w:ind w:right="60"/>
              <w:spacing w:after="0" w:line="157" w:lineRule="exact"/>
              <w:rPr>
                <w:sz w:val="20"/>
                <w:szCs w:val="20"/>
                <w:color w:val="auto"/>
              </w:rPr>
            </w:pPr>
            <w:r>
              <w:rPr>
                <w:rFonts w:ascii="Times New Roman" w:cs="Times New Roman" w:eastAsia="Times New Roman" w:hAnsi="Times New Roman"/>
                <w:sz w:val="14"/>
                <w:szCs w:val="14"/>
                <w:color w:val="auto"/>
              </w:rPr>
              <w:t>(13,573)</w:t>
            </w:r>
          </w:p>
        </w:tc>
        <w:tc>
          <w:tcPr>
            <w:tcW w:w="0" w:type="dxa"/>
            <w:vAlign w:val="bottom"/>
          </w:tcPr>
          <w:p>
            <w:pPr>
              <w:spacing w:after="0"/>
              <w:rPr>
                <w:sz w:val="1"/>
                <w:szCs w:val="1"/>
                <w:color w:val="auto"/>
              </w:rPr>
            </w:pPr>
          </w:p>
        </w:tc>
      </w:tr>
      <w:tr>
        <w:trPr>
          <w:trHeight w:val="156"/>
        </w:trPr>
        <w:tc>
          <w:tcPr>
            <w:tcW w:w="51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Investing activities</w:t>
            </w:r>
          </w:p>
        </w:tc>
        <w:tc>
          <w:tcPr>
            <w:tcW w:w="2560" w:type="dxa"/>
            <w:vAlign w:val="bottom"/>
            <w:gridSpan w:val="2"/>
          </w:tcPr>
          <w:p>
            <w:pPr>
              <w:jc w:val="right"/>
              <w:ind w:right="772"/>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ind w:right="192"/>
              <w:spacing w:after="0" w:line="156" w:lineRule="exact"/>
              <w:rPr>
                <w:sz w:val="20"/>
                <w:szCs w:val="20"/>
                <w:color w:val="auto"/>
              </w:rPr>
            </w:pPr>
            <w:r>
              <w:rPr>
                <w:rFonts w:ascii="Times New Roman" w:cs="Times New Roman" w:eastAsia="Times New Roman" w:hAnsi="Times New Roman"/>
                <w:sz w:val="14"/>
                <w:szCs w:val="14"/>
                <w:color w:val="auto"/>
              </w:rPr>
              <w:t>(6,827)</w:t>
            </w:r>
          </w:p>
        </w:tc>
        <w:tc>
          <w:tcPr>
            <w:tcW w:w="620" w:type="dxa"/>
            <w:vAlign w:val="bottom"/>
          </w:tcPr>
          <w:p>
            <w:pPr>
              <w:jc w:val="right"/>
              <w:ind w:right="5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(2,909)</w:t>
            </w:r>
          </w:p>
        </w:tc>
        <w:tc>
          <w:tcPr>
            <w:tcW w:w="0" w:type="dxa"/>
            <w:vAlign w:val="bottom"/>
          </w:tcPr>
          <w:p>
            <w:pPr>
              <w:spacing w:after="0"/>
              <w:rPr>
                <w:sz w:val="1"/>
                <w:szCs w:val="1"/>
                <w:color w:val="auto"/>
              </w:rPr>
            </w:pPr>
          </w:p>
        </w:tc>
      </w:tr>
      <w:tr>
        <w:trPr>
          <w:trHeight w:val="156"/>
        </w:trPr>
        <w:tc>
          <w:tcPr>
            <w:tcW w:w="510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Financing activities</w:t>
            </w:r>
          </w:p>
        </w:tc>
        <w:tc>
          <w:tcPr>
            <w:tcW w:w="2560" w:type="dxa"/>
            <w:vAlign w:val="bottom"/>
            <w:gridSpan w:val="2"/>
            <w:shd w:val="clear" w:color="auto" w:fill="D1EEF5"/>
          </w:tcPr>
          <w:p>
            <w:pPr>
              <w:jc w:val="right"/>
              <w:ind w:right="772"/>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41,674</w:t>
            </w:r>
          </w:p>
        </w:tc>
        <w:tc>
          <w:tcPr>
            <w:tcW w:w="300" w:type="dxa"/>
            <w:vAlign w:val="bottom"/>
            <w:shd w:val="clear" w:color="auto" w:fill="D1EEF5"/>
          </w:tcPr>
          <w:p>
            <w:pPr>
              <w:spacing w:after="0"/>
              <w:rPr>
                <w:sz w:val="13"/>
                <w:szCs w:val="13"/>
                <w:color w:val="auto"/>
              </w:rPr>
            </w:pPr>
          </w:p>
        </w:tc>
        <w:tc>
          <w:tcPr>
            <w:tcW w:w="620" w:type="dxa"/>
            <w:vAlign w:val="bottom"/>
            <w:shd w:val="clear" w:color="auto" w:fill="D1EEF5"/>
          </w:tcPr>
          <w:p>
            <w:pPr>
              <w:jc w:val="right"/>
              <w:ind w:right="5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38,906</w:t>
            </w:r>
          </w:p>
        </w:tc>
        <w:tc>
          <w:tcPr>
            <w:tcW w:w="100" w:type="dxa"/>
            <w:vAlign w:val="bottom"/>
            <w:shd w:val="clear" w:color="auto" w:fill="D1EEF5"/>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Net cash used in operating activities was $45.7 million for the year ended December 31, 2022, primarily due to a net loss during the period largely driven by Business Combination expenses and an increase in purchased inventory to support future growth and to protect against potential supply disruptions.</w:t>
      </w:r>
    </w:p>
    <w:p>
      <w:pPr>
        <w:spacing w:after="0" w:line="1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Net cash used in operating activities was $13.6 million for the year ended December 31, 2021 primarily due to net income during the period which was more than offset by an increase in working capital (particularly inventory as the Company made the operational decision to build a larger buffer inventory to protect against potential shortages as we were targeting larger OEM customers) as a result of growth in our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Net cash used in investing activities was $6.8 million for the year ended December 31, 2022, as compared to $2.9 million for the year ended December 31, 2021. The increase in net cash used in investing activities was primarily due to an increase in capital expenditures to support the expansion of our core battery business and our ongoing efforts to develop solid-state battery technology and manufacturing processes.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17145</wp:posOffset>
                </wp:positionV>
                <wp:extent cx="650938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5pt" to="512.25pt,1.35pt" o:allowincell="f" strokecolor="#000000" strokeweight="1.2598pt"/>
            </w:pict>
          </mc:Fallback>
        </mc:AlternateContent>
      </w:r>
    </w:p>
    <w:p>
      <w:pPr>
        <w:sectPr>
          <w:pgSz w:w="12240" w:h="15840" w:orient="portrait"/>
          <w:cols w:equalWidth="0" w:num="1">
            <w:col w:w="10240"/>
          </w:cols>
          <w:pgMar w:left="1000" w:top="1208" w:right="100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50" w:lineRule="exact"/>
        <w:rPr>
          <w:sz w:val="20"/>
          <w:szCs w:val="20"/>
          <w:color w:val="auto"/>
        </w:rPr>
      </w:pPr>
    </w:p>
    <w:p>
      <w:pPr>
        <w:jc w:val="both"/>
        <w:spacing w:after="0" w:line="345" w:lineRule="auto"/>
        <w:rPr>
          <w:sz w:val="20"/>
          <w:szCs w:val="20"/>
          <w:color w:val="auto"/>
        </w:rPr>
      </w:pPr>
      <w:r>
        <w:rPr>
          <w:rFonts w:ascii="Times New Roman" w:cs="Times New Roman" w:eastAsia="Times New Roman" w:hAnsi="Times New Roman"/>
          <w:sz w:val="12"/>
          <w:szCs w:val="12"/>
          <w:color w:val="auto"/>
        </w:rPr>
        <w:t>Net cash provided by financing activities was $41.7 million for the year ended December 31, 2022, primarily as a result of proceeds from the $75.0 million term loan as part of the Business Combination, and $15.0 million from the strategic investment made by Thor Industries, partially offset by a $45.0 million expense for the repayment of the senior secured notes.</w:t>
      </w:r>
    </w:p>
    <w:p>
      <w:pPr>
        <w:spacing w:after="0" w:line="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Net cash provided by financing activities was $38.9 million for the year ended December 31, 2021, primarily as a result of $45.0 million in proceeds from the senior secured notes, partially offset by associated issuance costs.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1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Our estimated future obligations consist of short-term and long-term operating lease liabilities. As of December 31, 2022, we had $1.2 million in short-term operating lease liabilities and $3.5 million in long-term operating lease liabilities.</w:t>
      </w:r>
    </w:p>
    <w:p>
      <w:pPr>
        <w:spacing w:after="0" w:line="1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As disclosed above, Consistent with the Debt Commitment Letter dated May 15, 2022 by and between CCM 5, and EICF EIP, in connection with the Closing, Chardan, Legacy Dragonfly and the Initial Term Loan Lenders entered into the Term Loan Agreement setting forth the terms of a senior secured term loan facility in an aggregate principal amount of $75 million. The Chardan Lender backstopped its commitment under the Debt Commitment Letter by entering into a Backstop Commitment Letter, with the Backstop Lender, pursuant to which the Backstop Lender committed to purchase from the Chardan Lender the Backstopped Loans immediately following the issuance of the Term Loan on the Closing Date. Pursuant to an assignment agreement, the Backstopped Loans were assigned by CCM 5 to the Backstop Lender on the Closing Date.</w:t>
      </w:r>
    </w:p>
    <w:p>
      <w:pPr>
        <w:spacing w:after="0" w:line="1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Pursuant to the terms of the Term Loan Agreement, the Term Loan was advanced in one tranche on the Closing Date. The proceeds of the Term Loan were used (i) to refinance on the Closing Date prior indebtedness, (ii) to support thine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 -in-kind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JOBS Act Accounting Election</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As an emerging growth company under the JOBS Act, we are eligible to take advantage of certain exemptions from various reporting requirements that are applicable to other public companies that are not emerging growth companies. We have elected not to opt out of such extended transition period. Accordingly, when an accounting standard is issued or revised and it has different application dates for public or private companies, we, as an emerging growth company, will adopt the new or revised accounting standard at the time private companies adopt the new or revised accounting standard, unless early adoption is permitted by the accounting standard, and we elect early adoption.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1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Our consolidated audited financial statements as of and for the years ended December 31, 2022 and December 31, 2021, together with the report of the independent registered public accounting firm thereon and the notes thereto, are presented beginning at page F-2.</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15875</wp:posOffset>
                </wp:positionV>
                <wp:extent cx="650938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25pt" to="512.25pt,1.25pt" o:allowincell="f" strokecolor="#000000" strokeweight="1.32pt"/>
            </w:pict>
          </mc:Fallback>
        </mc:AlternateContent>
      </w:r>
    </w:p>
    <w:p>
      <w:pPr>
        <w:sectPr>
          <w:pgSz w:w="12240" w:h="15840" w:orient="portrait"/>
          <w:cols w:equalWidth="0" w:num="1">
            <w:col w:w="10240"/>
          </w:cols>
          <w:pgMar w:left="1000" w:top="1212" w:right="100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Chief Executive Officer and Chief Financial Officer, to allow timely decisions regarding required disclosure.</w:t>
      </w:r>
    </w:p>
    <w:p>
      <w:pPr>
        <w:spacing w:after="0" w:line="1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As of December 31, 2022, our management, with the participation of our Chief Executive Officer and Chief Financial Officer, evaluated the effectiveness of our disclosure controls and procedures (as defined in Rules 13a-15(e) and 15d -15(e)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upon the evaluation described above, our Chief Executive Officer and our Chief Financial Officer concluded that, for the reasons set forth below, our disclosure controls and procedures were not effective as of December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Annual Report on Internal Control Over Financial Reporting</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such term is defined in Exchange Act Rules 13a-15(f) and 15d-15(f). Our internal control over financial reporting is a process designed under the supervision of our principal executive officer and principal financial officer to provide reasonable assurance regarding the reliability of financial reporting and preparation of our financial statements for external purposes in accordance with generally accepted accounting principles.</w:t>
      </w:r>
    </w:p>
    <w:p>
      <w:pPr>
        <w:spacing w:after="0" w:line="1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Due to its inherent limitations, internal control over financial reporting may not prevent or detect misstatements and, even when determined to be effective, can only provide reasonable, not absolute, assurance with respect to financial statement preparation and presentation. Projections of any evaluation of effectiveness to future periods are subject to risk that controls may become inadequate as a result of changes in conditions or deterioration in the degree of compliance.</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2"/>
          <w:szCs w:val="12"/>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 — Integrated Framework issued by the Committee of Sponsoring Organizations of the Treadway Commission (“</w:t>
      </w:r>
      <w:r>
        <w:rPr>
          <w:rFonts w:ascii="Times New Roman" w:cs="Times New Roman" w:eastAsia="Times New Roman" w:hAnsi="Times New Roman"/>
          <w:sz w:val="12"/>
          <w:szCs w:val="12"/>
          <w:b w:val="1"/>
          <w:bCs w:val="1"/>
          <w:color w:val="auto"/>
        </w:rPr>
        <w:t>COSO</w:t>
      </w:r>
      <w:r>
        <w:rPr>
          <w:rFonts w:ascii="Times New Roman" w:cs="Times New Roman" w:eastAsia="Times New Roman" w:hAnsi="Times New Roman"/>
          <w:sz w:val="12"/>
          <w:szCs w:val="12"/>
          <w:color w:val="auto"/>
        </w:rPr>
        <w:t>”) issued in May 2013 and related COSO guidance. Based on our evaluation under this framework, management has concluded that, as of December 31, 2022, our internal control over financial reporting was not effective and could lead to a material misstatement of account balances or disclosures. A material weakness is a control deficiency or combination of deficiencies in internal control, such that there is a reasonable possibility that a material misstatement of the entity’s financial statements will not be prevented or detected and corrected on a timely basis. Our management concluded that we have material weaknesses in the design and maintenance of certain appropriate entity-level controls impacting the control environment, risk assessment procedures, and monitoring activities. These material weaknesses have led to additional material weaknesses in certain control activities.</w:t>
      </w:r>
    </w:p>
    <w:p>
      <w:pPr>
        <w:spacing w:after="0" w:line="107"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i w:val="1"/>
          <w:iCs w:val="1"/>
          <w:color w:val="auto"/>
        </w:rPr>
        <w:t>Control Environment</w:t>
      </w:r>
      <w:r>
        <w:rPr>
          <w:rFonts w:ascii="Times New Roman" w:cs="Times New Roman" w:eastAsia="Times New Roman" w:hAnsi="Times New Roman"/>
          <w:sz w:val="14"/>
          <w:szCs w:val="14"/>
          <w:color w:val="auto"/>
        </w:rPr>
        <w:t>. We concluded that we did not maintain effective controls in the following areas: (i) insufficient number of accounting and financial reporting resources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w:t>
      </w:r>
    </w:p>
    <w:p>
      <w:pPr>
        <w:spacing w:after="0" w:line="126" w:lineRule="exact"/>
        <w:rPr>
          <w:sz w:val="20"/>
          <w:szCs w:val="20"/>
          <w:color w:val="auto"/>
        </w:rPr>
      </w:pPr>
    </w:p>
    <w:p>
      <w:pPr>
        <w:jc w:val="both"/>
        <w:ind w:firstLine="490"/>
        <w:spacing w:after="0"/>
        <w:rPr>
          <w:sz w:val="20"/>
          <w:szCs w:val="20"/>
          <w:color w:val="auto"/>
        </w:rPr>
      </w:pPr>
      <w:r>
        <w:rPr>
          <w:rFonts w:ascii="Times New Roman" w:cs="Times New Roman" w:eastAsia="Times New Roman" w:hAnsi="Times New Roman"/>
          <w:sz w:val="14"/>
          <w:szCs w:val="14"/>
          <w:i w:val="1"/>
          <w:iCs w:val="1"/>
          <w:color w:val="auto"/>
        </w:rPr>
        <w:t>Control activities</w:t>
      </w:r>
      <w:r>
        <w:rPr>
          <w:rFonts w:ascii="Times New Roman" w:cs="Times New Roman" w:eastAsia="Times New Roman" w:hAnsi="Times New Roman"/>
          <w:sz w:val="14"/>
          <w:szCs w:val="14"/>
          <w:color w:val="auto"/>
        </w:rPr>
        <w:t>. We concluded that the material weaknesses contributed to the following additional material weaknesses in business processes: (i) designing and implementing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procedures surrounding completion, accuracy and review of account reconciliations; (ii) designing and implementing controls to assess the completeness, accuracy and accounting analysis of material contracts entered into by us; (iii) designing and implementing controls to sufficiently supervise and review the work completed by specialist engaged by us; (iv) designing and implementing controls to ensure the accuracy of period-end inventory count procedures to ensure proper financial reporting; and (v) designing and implementing control procedures to ensure the accuracy of the financial statements to the underlying accounting records and ensure the completeness of required disclosures.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Remediation Plan for the Material Weakness</w:t>
      </w:r>
    </w:p>
    <w:p>
      <w:pPr>
        <w:spacing w:after="0" w:line="1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response to the material weaknesses noted above, the Company’s management began to take actions to remediate the identified material weaknesses in internal control over financial reporting. As part of management’s remediation plan, certain efforts were put into place and were underway prior to December 31, 2022. All new and revised controls that management started to implement in the fourth quarter of 2022 as part of the remediation plan require a period of seasoning to allow for a sufficient operating effectiveness testing sample. Management plans to build on and continue such efforts going into the next fiscal year in order to successfully remediate the identified material weaknesses.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remedial actions were taken during the year ended December 31, 2022 to remediate the material weaknesses in internal control over financial reporting:</w:t>
      </w:r>
    </w:p>
    <w:p>
      <w:pPr>
        <w:spacing w:after="0" w:line="152" w:lineRule="exact"/>
        <w:rPr>
          <w:sz w:val="20"/>
          <w:szCs w:val="20"/>
          <w:color w:val="auto"/>
        </w:rPr>
      </w:pPr>
    </w:p>
    <w:p>
      <w:pPr>
        <w:ind w:left="480" w:hanging="237"/>
        <w:spacing w:after="0"/>
        <w:tabs>
          <w:tab w:leader="none" w:pos="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the number of personnel with the appropriate level of knowledge related to accounting transactions, accounting matters, and relevant systems.</w:t>
      </w:r>
    </w:p>
    <w:p>
      <w:pPr>
        <w:spacing w:after="0" w:line="151"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Engaged a third-party service provider to assist management with the design and implementation of internal controls.</w:t>
      </w:r>
    </w:p>
    <w:p>
      <w:pPr>
        <w:spacing w:after="0" w:line="150"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Started an initial risk assessment based on the criteria established by COSO to identify internal controls over financial reporting (“</w:t>
      </w:r>
      <w:r>
        <w:rPr>
          <w:rFonts w:ascii="Times New Roman" w:cs="Times New Roman" w:eastAsia="Times New Roman" w:hAnsi="Times New Roman"/>
          <w:sz w:val="14"/>
          <w:szCs w:val="14"/>
          <w:b w:val="1"/>
          <w:bCs w:val="1"/>
          <w:color w:val="auto"/>
        </w:rPr>
        <w:t>ICFR</w:t>
      </w:r>
      <w:r>
        <w:rPr>
          <w:rFonts w:ascii="Times New Roman" w:cs="Times New Roman" w:eastAsia="Times New Roman" w:hAnsi="Times New Roman"/>
          <w:sz w:val="14"/>
          <w:szCs w:val="14"/>
          <w:color w:val="auto"/>
        </w:rPr>
        <w:t>”) risks and control objectives</w:t>
      </w:r>
    </w:p>
    <w:p>
      <w:pPr>
        <w:spacing w:after="0" w:line="154" w:lineRule="exact"/>
        <w:rPr>
          <w:rFonts w:ascii="Times New Roman" w:cs="Times New Roman" w:eastAsia="Times New Roman" w:hAnsi="Times New Roman"/>
          <w:sz w:val="14"/>
          <w:szCs w:val="14"/>
          <w:color w:val="auto"/>
        </w:rPr>
      </w:pPr>
    </w:p>
    <w:p>
      <w:pPr>
        <w:jc w:val="both"/>
        <w:ind w:left="480" w:hanging="237"/>
        <w:spacing w:after="0" w:line="247" w:lineRule="auto"/>
        <w:tabs>
          <w:tab w:leader="none" w:pos="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from the third-party service provider, and under the supervision of the Company’s Audit Committee, Chief Executive Officer and Chief Financial Officer, started the design and implementation of significant process transaction flows and key controls in the Company’s business processes, including revenue, inventory, income taxes, and overall IT environment. As discussed above, all new processes and controls were in the seasoning period as of December 31, 2022.</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wp:posOffset>
                </wp:positionV>
                <wp:extent cx="650938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85pt" to="512.25pt,0.85pt" o:allowincell="f" strokecolor="#000000" strokeweight="1.26pt"/>
            </w:pict>
          </mc:Fallback>
        </mc:AlternateContent>
      </w:r>
    </w:p>
    <w:p>
      <w:pPr>
        <w:sectPr>
          <w:pgSz w:w="12240" w:h="15840" w:orient="portrait"/>
          <w:cols w:equalWidth="0" w:num="1">
            <w:col w:w="10240"/>
          </w:cols>
          <w:pgMar w:left="1000" w:top="1208" w:right="100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color w:val="auto"/>
        </w:rPr>
        <w:t>Additionally, management is in the process of implementing the below changes to the Company’s processes to improve its internal control over financial reporting:</w:t>
      </w:r>
    </w:p>
    <w:p>
      <w:pPr>
        <w:spacing w:after="0" w:line="152" w:lineRule="exact"/>
        <w:rPr>
          <w:sz w:val="20"/>
          <w:szCs w:val="20"/>
          <w:color w:val="auto"/>
        </w:rPr>
      </w:pPr>
    </w:p>
    <w:p>
      <w:pPr>
        <w:ind w:left="480" w:hanging="237"/>
        <w:spacing w:after="0"/>
        <w:tabs>
          <w:tab w:leader="none" w:pos="4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 training program and educating control owners concerning the principles of the Internal Control - Integrated Framework (2013) issued by COSO;</w:t>
      </w:r>
    </w:p>
    <w:p>
      <w:pPr>
        <w:spacing w:after="0" w:line="151" w:lineRule="exact"/>
        <w:rPr>
          <w:rFonts w:ascii="Times New Roman" w:cs="Times New Roman" w:eastAsia="Times New Roman" w:hAnsi="Times New Roman"/>
          <w:sz w:val="14"/>
          <w:szCs w:val="14"/>
          <w:color w:val="auto"/>
        </w:rPr>
      </w:pPr>
    </w:p>
    <w:p>
      <w:pPr>
        <w:ind w:left="480" w:hanging="237"/>
        <w:spacing w:after="0" w:line="262" w:lineRule="auto"/>
        <w:tabs>
          <w:tab w:leader="none" w:pos="4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Adopting a process to identify and assess the Company’s disclosure controls and procedures, including the preparation and review of presentation and disclosure requirement checklists.</w:t>
      </w:r>
    </w:p>
    <w:p>
      <w:pPr>
        <w:spacing w:after="0" w:line="117"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Implementing a risk assessment process by which management identifies risks of misstatement related to all account balances;</w:t>
      </w:r>
    </w:p>
    <w:p>
      <w:pPr>
        <w:spacing w:after="0" w:line="152"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internal controls documentation, including comprehensive accounting policies and procedures over financial processes and related disclosures;</w:t>
      </w:r>
    </w:p>
    <w:p>
      <w:pPr>
        <w:spacing w:after="0" w:line="151" w:lineRule="exact"/>
        <w:rPr>
          <w:rFonts w:ascii="Times New Roman" w:cs="Times New Roman" w:eastAsia="Times New Roman" w:hAnsi="Times New Roman"/>
          <w:sz w:val="14"/>
          <w:szCs w:val="14"/>
          <w:color w:val="auto"/>
        </w:rPr>
      </w:pPr>
    </w:p>
    <w:p>
      <w:pPr>
        <w:ind w:left="480" w:hanging="237"/>
        <w:spacing w:after="0" w:line="263" w:lineRule="auto"/>
        <w:tabs>
          <w:tab w:leader="none" w:pos="4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Enhancing policies and procedures to retain adequate documentary evidence for certain management review controls over certain business processes including precision of review and evidence of review procedures performed to demonstrate effective operation of such controls;</w:t>
      </w:r>
    </w:p>
    <w:p>
      <w:pPr>
        <w:spacing w:after="0" w:line="116"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Engaging outside resources for complex accounting matters and drafting and retaining position papers for all complex, non-recurring transactions;</w:t>
      </w:r>
    </w:p>
    <w:p>
      <w:pPr>
        <w:spacing w:after="0" w:line="152" w:lineRule="exact"/>
        <w:rPr>
          <w:rFonts w:ascii="Times New Roman" w:cs="Times New Roman" w:eastAsia="Times New Roman" w:hAnsi="Times New Roman"/>
          <w:sz w:val="14"/>
          <w:szCs w:val="14"/>
          <w:color w:val="auto"/>
        </w:rPr>
      </w:pPr>
    </w:p>
    <w:p>
      <w:pPr>
        <w:ind w:left="480" w:hanging="237"/>
        <w:spacing w:after="0" w:line="262" w:lineRule="auto"/>
        <w:tabs>
          <w:tab w:leader="none" w:pos="4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monitoring activities and protocols that will allow us to timely assess the design and the operating effectiveness of controls over financial reporting and make necessary changes to the design of controls, if any</w:t>
      </w:r>
    </w:p>
    <w:p>
      <w:pPr>
        <w:spacing w:after="0" w:line="117" w:lineRule="exact"/>
        <w:rPr>
          <w:rFonts w:ascii="Times New Roman" w:cs="Times New Roman" w:eastAsia="Times New Roman" w:hAnsi="Times New Roman"/>
          <w:sz w:val="14"/>
          <w:szCs w:val="14"/>
          <w:color w:val="auto"/>
        </w:rPr>
      </w:pPr>
    </w:p>
    <w:p>
      <w:pPr>
        <w:ind w:left="480" w:hanging="237"/>
        <w:spacing w:after="0"/>
        <w:tabs>
          <w:tab w:leader="none" w:pos="4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Segregating key functions within our financial and information technology processes supporting our internal controls over financial reporting;</w:t>
      </w:r>
    </w:p>
    <w:p>
      <w:pPr>
        <w:spacing w:after="0" w:line="151" w:lineRule="exact"/>
        <w:rPr>
          <w:rFonts w:ascii="Times New Roman" w:cs="Times New Roman" w:eastAsia="Times New Roman" w:hAnsi="Times New Roman"/>
          <w:sz w:val="14"/>
          <w:szCs w:val="14"/>
          <w:color w:val="auto"/>
        </w:rPr>
      </w:pPr>
    </w:p>
    <w:p>
      <w:pPr>
        <w:ind w:left="480" w:hanging="237"/>
        <w:spacing w:after="0" w:line="262" w:lineRule="auto"/>
        <w:tabs>
          <w:tab w:leader="none" w:pos="4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Reassessing and formalizing the design of certain accounting and information technology policies relating to security and change management controls, including user access reviews, including assessing the need for implementing a more robust information technology system;</w:t>
      </w:r>
    </w:p>
    <w:p>
      <w:pPr>
        <w:spacing w:after="0" w:line="117" w:lineRule="exact"/>
        <w:rPr>
          <w:rFonts w:ascii="Times New Roman" w:cs="Times New Roman" w:eastAsia="Times New Roman" w:hAnsi="Times New Roman"/>
          <w:sz w:val="14"/>
          <w:szCs w:val="14"/>
          <w:color w:val="auto"/>
        </w:rPr>
      </w:pPr>
    </w:p>
    <w:p>
      <w:pPr>
        <w:ind w:left="480" w:hanging="237"/>
        <w:spacing w:after="0" w:line="262" w:lineRule="auto"/>
        <w:tabs>
          <w:tab w:leader="none" w:pos="4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enhance and formalize our accounting, business operations, and information technology policies, procedures, and controls to achieve complete, accurate, and timely financial accounting, reporting and disclosures.</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Despite the existence of the material weakness, we believe the financial information presented herein is materially correct and in accordance with generally accepted accounting principles in the United States.</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This Annual Report on Form 10-K does not include an attestation report of our registered public accounting firm on our internal control over financial reporting due to an exemption established by the JOBS Act for “emerging growth companies.” In addition, we are currently a non-accelerated filer and are therefore not required to provide an attestation report on our internal control over financial reporting until such time as we are an accelerated filer or large accelerated filer.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4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Except for the material weaknesses and remediation plan described above, there were no changes in our internal controls over financial reporting that occurred during the quarter ended December 31, 2022 that materially affected, or are reasonably likely to materially affect, our internal control over financial reporting.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 that Prevent Inspections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650938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pt" to="512.25pt,1.3pt" o:allowincell="f" strokecolor="#000000" strokeweight="1.2599pt"/>
            </w:pict>
          </mc:Fallback>
        </mc:AlternateContent>
      </w:r>
    </w:p>
    <w:p>
      <w:pPr>
        <w:sectPr>
          <w:pgSz w:w="12240" w:h="15840" w:orient="portrait"/>
          <w:cols w:equalWidth="0" w:num="1">
            <w:col w:w="10240"/>
          </w:cols>
          <w:pgMar w:left="1000" w:top="1210" w:right="1000"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5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The information called for by this item will be set forth in our Proxy Statement for the 2023 Annual Meeting of Stockholders, or Proxy Statement, to be filed with the SEC within 120 days of the fiscal year ended December 31, 2022, and is incorporated herein by reference.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called for by this item will be set forth in our Proxy Statement and is incorporated herein by reference.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called for by this item will be set forth in our Proxy Statement and is incorporated herein by reference.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called for by this item will be set forth in our Proxy Statement and is incorporated herein by reference.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called for by this item will be set forth in our Proxy Statement and is incorporated herein by reference.</w:t>
      </w:r>
    </w:p>
    <w:p>
      <w:pPr>
        <w:spacing w:after="0" w:line="15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wp:posOffset>
                </wp:positionV>
                <wp:extent cx="650938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85pt" to="512.25pt,0.85pt" o:allowincell="f" strokecolor="#000000" strokeweight="1.32pt"/>
            </w:pict>
          </mc:Fallback>
        </mc:AlternateContent>
      </w:r>
    </w:p>
    <w:p>
      <w:pPr>
        <w:sectPr>
          <w:pgSz w:w="12240" w:h="15840" w:orient="portrait"/>
          <w:cols w:equalWidth="0" w:num="1">
            <w:col w:w="10240"/>
          </w:cols>
          <w:pgMar w:left="1000" w:top="1208" w:right="1000" w:bottom="1440" w:gutter="0" w:footer="0" w:header="0"/>
        </w:sectPr>
      </w:pPr>
    </w:p>
    <w:bookmarkStart w:id="61" w:name="page62"/>
    <w:bookmarkEnd w:id="61"/>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5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b w:val="1"/>
          <w:bCs w:val="1"/>
          <w:color w:val="auto"/>
        </w:rPr>
        <w:t>Item 15. Exhibit and Financial Statement Schedules</w:t>
      </w:r>
    </w:p>
    <w:p>
      <w:pPr>
        <w:spacing w:after="0" w:line="15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color w:val="auto"/>
        </w:rPr>
        <w:t>(a)  The following documents are filed as part of this report:</w:t>
      </w:r>
    </w:p>
    <w:p>
      <w:pPr>
        <w:spacing w:after="0" w:line="156" w:lineRule="exact"/>
        <w:rPr>
          <w:sz w:val="20"/>
          <w:szCs w:val="20"/>
          <w:color w:val="auto"/>
        </w:rPr>
      </w:pPr>
    </w:p>
    <w:p>
      <w:pPr>
        <w:ind w:left="242" w:hanging="242"/>
        <w:spacing w:after="0"/>
        <w:tabs>
          <w:tab w:leader="none" w:pos="242"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Financial Statements</w:t>
      </w:r>
    </w:p>
    <w:p>
      <w:pPr>
        <w:spacing w:after="0" w:line="147" w:lineRule="exact"/>
        <w:rPr>
          <w:sz w:val="20"/>
          <w:szCs w:val="20"/>
          <w:color w:val="auto"/>
        </w:rPr>
      </w:pPr>
    </w:p>
    <w:p>
      <w:pPr>
        <w:ind w:left="2"/>
        <w:spacing w:after="0" w:line="263" w:lineRule="auto"/>
        <w:rPr>
          <w:sz w:val="20"/>
          <w:szCs w:val="20"/>
          <w:color w:val="auto"/>
        </w:rPr>
      </w:pPr>
      <w:r>
        <w:rPr>
          <w:rFonts w:ascii="Times New Roman" w:cs="Times New Roman" w:eastAsia="Times New Roman" w:hAnsi="Times New Roman"/>
          <w:sz w:val="14"/>
          <w:szCs w:val="14"/>
          <w:color w:val="auto"/>
        </w:rPr>
        <w:t>The list of consolidated financial statements set forth in the accompanying Index to the Consolidated Financial Statements at page F-1 of this Annual Report on Form 10-K is incorporated herein by reference. Such consolidated financial statements are filed as part of this Annual Report on Form 10-K.</w:t>
      </w:r>
    </w:p>
    <w:p>
      <w:pPr>
        <w:spacing w:after="0" w:line="120" w:lineRule="exact"/>
        <w:rPr>
          <w:sz w:val="20"/>
          <w:szCs w:val="20"/>
          <w:color w:val="auto"/>
        </w:rPr>
      </w:pPr>
    </w:p>
    <w:p>
      <w:pPr>
        <w:ind w:left="242" w:hanging="242"/>
        <w:spacing w:after="0"/>
        <w:tabs>
          <w:tab w:leader="none" w:pos="242"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Financial Statement Schedules</w:t>
      </w:r>
    </w:p>
    <w:p>
      <w:pPr>
        <w:spacing w:after="0" w:line="148" w:lineRule="exact"/>
        <w:rPr>
          <w:sz w:val="20"/>
          <w:szCs w:val="20"/>
          <w:color w:val="auto"/>
        </w:rPr>
      </w:pPr>
    </w:p>
    <w:p>
      <w:pPr>
        <w:ind w:left="2"/>
        <w:spacing w:after="0" w:line="262" w:lineRule="auto"/>
        <w:rPr>
          <w:sz w:val="20"/>
          <w:szCs w:val="20"/>
          <w:color w:val="auto"/>
        </w:rPr>
      </w:pPr>
      <w:r>
        <w:rPr>
          <w:rFonts w:ascii="Times New Roman" w:cs="Times New Roman" w:eastAsia="Times New Roman" w:hAnsi="Times New Roman"/>
          <w:sz w:val="14"/>
          <w:szCs w:val="14"/>
          <w:color w:val="auto"/>
        </w:rPr>
        <w:t>All schedules have been omitted because the required information is either not required, not applicable or because the information required is included in the consolidated financial statements or notes thereto.</w:t>
      </w:r>
    </w:p>
    <w:p>
      <w:pPr>
        <w:spacing w:after="0" w:line="122" w:lineRule="exact"/>
        <w:rPr>
          <w:sz w:val="20"/>
          <w:szCs w:val="20"/>
          <w:color w:val="auto"/>
        </w:rPr>
      </w:pPr>
    </w:p>
    <w:tbl>
      <w:tblPr>
        <w:tblLayout w:type="fixed"/>
        <w:tblInd w:w="2" w:type="dxa"/>
        <w:tblCellMar>
          <w:top w:w="0" w:type="dxa"/>
          <w:left w:w="0" w:type="dxa"/>
          <w:bottom w:w="0" w:type="dxa"/>
          <w:right w:w="0" w:type="dxa"/>
        </w:tblCellMar>
      </w:tblPr>
      <w:tr>
        <w:trPr>
          <w:trHeight w:val="177"/>
        </w:trPr>
        <w:tc>
          <w:tcPr>
            <w:tcW w:w="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3. Exhibits</w:t>
            </w:r>
          </w:p>
        </w:tc>
        <w:tc>
          <w:tcPr>
            <w:tcW w:w="10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19"/>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tcBorders>
              <w:bottom w:val="single" w:sz="8" w:color="auto"/>
            </w:tcBorders>
            <w:gridSpan w:val="5"/>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133"/>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132"/>
              <w:spacing w:after="0" w:line="133" w:lineRule="exact"/>
              <w:rPr>
                <w:sz w:val="20"/>
                <w:szCs w:val="20"/>
                <w:color w:val="auto"/>
              </w:rPr>
            </w:pPr>
            <w:r>
              <w:rPr>
                <w:rFonts w:ascii="Times New Roman" w:cs="Times New Roman" w:eastAsia="Times New Roman" w:hAnsi="Times New Roman"/>
                <w:sz w:val="14"/>
                <w:szCs w:val="14"/>
                <w:b w:val="1"/>
                <w:bCs w:val="1"/>
                <w:color w:val="auto"/>
              </w:rPr>
              <w:t>Filing</w:t>
            </w:r>
          </w:p>
        </w:tc>
      </w:tr>
      <w:tr>
        <w:trPr>
          <w:trHeight w:val="178"/>
        </w:trPr>
        <w:tc>
          <w:tcPr>
            <w:tcW w:w="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100" w:type="dxa"/>
            <w:vAlign w:val="bottom"/>
          </w:tcPr>
          <w:p>
            <w:pPr>
              <w:spacing w:after="0"/>
              <w:rPr>
                <w:sz w:val="15"/>
                <w:szCs w:val="15"/>
                <w:color w:val="auto"/>
              </w:rPr>
            </w:pPr>
          </w:p>
        </w:tc>
        <w:tc>
          <w:tcPr>
            <w:tcW w:w="7440" w:type="dxa"/>
            <w:vAlign w:val="bottom"/>
            <w:gridSpan w:val="2"/>
          </w:tcPr>
          <w:p>
            <w:pPr>
              <w:ind w:left="3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tcPr>
          <w:p>
            <w:pPr>
              <w:spacing w:after="0"/>
              <w:rPr>
                <w:sz w:val="15"/>
                <w:szCs w:val="15"/>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38"/>
        </w:trPr>
        <w:tc>
          <w:tcPr>
            <w:tcW w:w="74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1"/>
                <w:szCs w:val="11"/>
                <w:color w:val="auto"/>
              </w:rPr>
            </w:pPr>
          </w:p>
        </w:tc>
        <w:tc>
          <w:tcPr>
            <w:tcW w:w="740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w w:val="99"/>
              </w:rPr>
              <w:t>Agreement and Plan of Merger, dated as of May 15, 2022, by and among Dragonfly Energy Holdings Corp. (f/k/a Chardan NexTech</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S-4</w:t>
            </w: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1"/>
                <w:szCs w:val="11"/>
                <w:color w:val="auto"/>
              </w:rPr>
            </w:pPr>
          </w:p>
        </w:tc>
        <w:tc>
          <w:tcPr>
            <w:tcW w:w="740" w:type="dxa"/>
            <w:vAlign w:val="bottom"/>
            <w:tcBorders>
              <w:top w:val="single" w:sz="8" w:color="auto"/>
            </w:tcBorders>
          </w:tcPr>
          <w:p>
            <w:pPr>
              <w:jc w:val="right"/>
              <w:ind w:right="52"/>
              <w:spacing w:after="0" w:line="138" w:lineRule="exact"/>
              <w:rPr>
                <w:sz w:val="20"/>
                <w:szCs w:val="20"/>
                <w:color w:val="auto"/>
              </w:rPr>
            </w:pPr>
            <w:r>
              <w:rPr>
                <w:rFonts w:ascii="Times New Roman" w:cs="Times New Roman" w:eastAsia="Times New Roman" w:hAnsi="Times New Roman"/>
                <w:sz w:val="14"/>
                <w:szCs w:val="14"/>
                <w:color w:val="auto"/>
                <w:w w:val="93"/>
              </w:rPr>
              <w:t>07/22/2022</w:t>
            </w:r>
          </w:p>
        </w:tc>
      </w:tr>
      <w:tr>
        <w:trPr>
          <w:trHeight w:val="156"/>
        </w:trPr>
        <w:tc>
          <w:tcPr>
            <w:tcW w:w="740" w:type="dxa"/>
            <w:vAlign w:val="bottom"/>
          </w:tcPr>
          <w:p>
            <w:pPr>
              <w:spacing w:after="0"/>
              <w:rPr>
                <w:sz w:val="13"/>
                <w:szCs w:val="13"/>
                <w:color w:val="auto"/>
              </w:rPr>
            </w:pPr>
          </w:p>
        </w:tc>
        <w:tc>
          <w:tcPr>
            <w:tcW w:w="754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4"/>
                <w:szCs w:val="14"/>
                <w:color w:val="auto"/>
                <w:w w:val="98"/>
              </w:rPr>
              <w:t>Acquisition 2 Corp.), Bronco Merger Sub, Inc. and Dragonfly Energy Corp. (included as Annex A to the proxy statement/prospectus).</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6"/>
        </w:trPr>
        <w:tc>
          <w:tcPr>
            <w:tcW w:w="7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2.2</w:t>
            </w:r>
          </w:p>
        </w:tc>
        <w:tc>
          <w:tcPr>
            <w:tcW w:w="754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4"/>
                <w:szCs w:val="14"/>
                <w:color w:val="auto"/>
              </w:rPr>
              <w:t>Amendment to Agreement and Plan of Merger, dated as of July 12, 2022, by and among Dragonfly Energy Holdings Corp. (f/k/a</w:t>
            </w:r>
          </w:p>
        </w:tc>
        <w:tc>
          <w:tcPr>
            <w:tcW w:w="540" w:type="dxa"/>
            <w:vAlign w:val="bottom"/>
            <w:gridSpan w:val="2"/>
          </w:tcPr>
          <w:p>
            <w:pPr>
              <w:ind w:left="60"/>
              <w:spacing w:after="0" w:line="156" w:lineRule="exact"/>
              <w:rPr>
                <w:sz w:val="20"/>
                <w:szCs w:val="20"/>
                <w:color w:val="auto"/>
              </w:rPr>
            </w:pPr>
            <w:r>
              <w:rPr>
                <w:rFonts w:ascii="Times New Roman" w:cs="Times New Roman" w:eastAsia="Times New Roman" w:hAnsi="Times New Roman"/>
                <w:sz w:val="14"/>
                <w:szCs w:val="14"/>
                <w:color w:val="auto"/>
              </w:rPr>
              <w:t>S-4</w:t>
            </w:r>
          </w:p>
        </w:tc>
        <w:tc>
          <w:tcPr>
            <w:tcW w:w="580" w:type="dxa"/>
            <w:vAlign w:val="bottom"/>
            <w:gridSpan w:val="2"/>
          </w:tcPr>
          <w:p>
            <w:pPr>
              <w:ind w:left="100"/>
              <w:spacing w:after="0" w:line="156" w:lineRule="exact"/>
              <w:rPr>
                <w:sz w:val="20"/>
                <w:szCs w:val="20"/>
                <w:color w:val="auto"/>
              </w:rPr>
            </w:pPr>
            <w:r>
              <w:rPr>
                <w:rFonts w:ascii="Times New Roman" w:cs="Times New Roman" w:eastAsia="Times New Roman" w:hAnsi="Times New Roman"/>
                <w:sz w:val="14"/>
                <w:szCs w:val="14"/>
                <w:color w:val="auto"/>
              </w:rPr>
              <w:t>2.1(a)</w:t>
            </w:r>
          </w:p>
        </w:tc>
        <w:tc>
          <w:tcPr>
            <w:tcW w:w="840" w:type="dxa"/>
            <w:vAlign w:val="bottom"/>
            <w:gridSpan w:val="2"/>
          </w:tcPr>
          <w:p>
            <w:pPr>
              <w:jc w:val="right"/>
              <w:ind w:right="52"/>
              <w:spacing w:after="0" w:line="156" w:lineRule="exact"/>
              <w:rPr>
                <w:sz w:val="20"/>
                <w:szCs w:val="20"/>
                <w:color w:val="auto"/>
              </w:rPr>
            </w:pPr>
            <w:r>
              <w:rPr>
                <w:rFonts w:ascii="Times New Roman" w:cs="Times New Roman" w:eastAsia="Times New Roman" w:hAnsi="Times New Roman"/>
                <w:sz w:val="14"/>
                <w:szCs w:val="14"/>
                <w:color w:val="auto"/>
              </w:rPr>
              <w:t>07/22/2022</w:t>
            </w:r>
          </w:p>
        </w:tc>
      </w:tr>
      <w:tr>
        <w:trPr>
          <w:trHeight w:val="157"/>
        </w:trPr>
        <w:tc>
          <w:tcPr>
            <w:tcW w:w="740" w:type="dxa"/>
            <w:vAlign w:val="bottom"/>
          </w:tcPr>
          <w:p>
            <w:pPr>
              <w:spacing w:after="0"/>
              <w:rPr>
                <w:sz w:val="13"/>
                <w:szCs w:val="13"/>
                <w:color w:val="auto"/>
              </w:rPr>
            </w:pPr>
          </w:p>
        </w:tc>
        <w:tc>
          <w:tcPr>
            <w:tcW w:w="7540" w:type="dxa"/>
            <w:vAlign w:val="bottom"/>
            <w:gridSpan w:val="3"/>
          </w:tcPr>
          <w:p>
            <w:pPr>
              <w:ind w:left="100"/>
              <w:spacing w:after="0" w:line="157" w:lineRule="exact"/>
              <w:rPr>
                <w:sz w:val="20"/>
                <w:szCs w:val="20"/>
                <w:color w:val="auto"/>
              </w:rPr>
            </w:pPr>
            <w:r>
              <w:rPr>
                <w:rFonts w:ascii="Times New Roman" w:cs="Times New Roman" w:eastAsia="Times New Roman" w:hAnsi="Times New Roman"/>
                <w:sz w:val="14"/>
                <w:szCs w:val="14"/>
                <w:color w:val="auto"/>
              </w:rPr>
              <w:t>Chardan NexTech Acquisition 2 Corp.), Bronco Merger Sub, Inc. and Dragonfly Energy Corp.</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6"/>
        </w:trPr>
        <w:tc>
          <w:tcPr>
            <w:tcW w:w="7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2.3</w:t>
            </w:r>
          </w:p>
        </w:tc>
        <w:tc>
          <w:tcPr>
            <w:tcW w:w="754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4"/>
                <w:szCs w:val="14"/>
                <w:color w:val="auto"/>
              </w:rPr>
              <w:t>Plan of Conversion.</w:t>
            </w:r>
          </w:p>
        </w:tc>
        <w:tc>
          <w:tcPr>
            <w:tcW w:w="540" w:type="dxa"/>
            <w:vAlign w:val="bottom"/>
            <w:gridSpan w:val="2"/>
          </w:tcPr>
          <w:p>
            <w:pPr>
              <w:ind w:left="60"/>
              <w:spacing w:after="0" w:line="156" w:lineRule="exact"/>
              <w:rPr>
                <w:sz w:val="20"/>
                <w:szCs w:val="20"/>
                <w:color w:val="auto"/>
              </w:rPr>
            </w:pPr>
            <w:r>
              <w:rPr>
                <w:rFonts w:ascii="Times New Roman" w:cs="Times New Roman" w:eastAsia="Times New Roman" w:hAnsi="Times New Roman"/>
                <w:sz w:val="14"/>
                <w:szCs w:val="14"/>
                <w:color w:val="auto"/>
              </w:rPr>
              <w:t>8-K</w:t>
            </w:r>
          </w:p>
        </w:tc>
        <w:tc>
          <w:tcPr>
            <w:tcW w:w="580" w:type="dxa"/>
            <w:vAlign w:val="bottom"/>
            <w:gridSpan w:val="2"/>
          </w:tcPr>
          <w:p>
            <w:pPr>
              <w:ind w:left="100"/>
              <w:spacing w:after="0" w:line="156" w:lineRule="exact"/>
              <w:rPr>
                <w:sz w:val="20"/>
                <w:szCs w:val="20"/>
                <w:color w:val="auto"/>
              </w:rPr>
            </w:pPr>
            <w:r>
              <w:rPr>
                <w:rFonts w:ascii="Times New Roman" w:cs="Times New Roman" w:eastAsia="Times New Roman" w:hAnsi="Times New Roman"/>
                <w:sz w:val="14"/>
                <w:szCs w:val="14"/>
                <w:color w:val="auto"/>
              </w:rPr>
              <w:t>2.1</w:t>
            </w:r>
          </w:p>
        </w:tc>
        <w:tc>
          <w:tcPr>
            <w:tcW w:w="840" w:type="dxa"/>
            <w:vAlign w:val="bottom"/>
            <w:gridSpan w:val="2"/>
          </w:tcPr>
          <w:p>
            <w:pPr>
              <w:jc w:val="right"/>
              <w:ind w:right="52"/>
              <w:spacing w:after="0" w:line="156" w:lineRule="exact"/>
              <w:rPr>
                <w:sz w:val="20"/>
                <w:szCs w:val="20"/>
                <w:color w:val="auto"/>
              </w:rPr>
            </w:pPr>
            <w:r>
              <w:rPr>
                <w:rFonts w:ascii="Times New Roman" w:cs="Times New Roman" w:eastAsia="Times New Roman" w:hAnsi="Times New Roman"/>
                <w:sz w:val="14"/>
                <w:szCs w:val="14"/>
                <w:color w:val="auto"/>
              </w:rPr>
              <w:t>03/31/2023</w:t>
            </w:r>
          </w:p>
        </w:tc>
      </w:tr>
      <w:tr>
        <w:trPr>
          <w:trHeight w:val="156"/>
        </w:trPr>
        <w:tc>
          <w:tcPr>
            <w:tcW w:w="7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3.1</w:t>
            </w:r>
          </w:p>
        </w:tc>
        <w:tc>
          <w:tcPr>
            <w:tcW w:w="754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4"/>
                <w:szCs w:val="14"/>
                <w:color w:val="auto"/>
              </w:rPr>
              <w:t>Articles of Incorporation of Dragonfly Energy Holdings Corp.</w:t>
            </w:r>
          </w:p>
        </w:tc>
        <w:tc>
          <w:tcPr>
            <w:tcW w:w="540" w:type="dxa"/>
            <w:vAlign w:val="bottom"/>
            <w:gridSpan w:val="2"/>
          </w:tcPr>
          <w:p>
            <w:pPr>
              <w:ind w:left="40"/>
              <w:spacing w:after="0" w:line="156" w:lineRule="exact"/>
              <w:rPr>
                <w:sz w:val="20"/>
                <w:szCs w:val="20"/>
                <w:color w:val="auto"/>
              </w:rPr>
            </w:pPr>
            <w:r>
              <w:rPr>
                <w:rFonts w:ascii="Times New Roman" w:cs="Times New Roman" w:eastAsia="Times New Roman" w:hAnsi="Times New Roman"/>
                <w:sz w:val="14"/>
                <w:szCs w:val="14"/>
                <w:color w:val="auto"/>
              </w:rPr>
              <w:t>8-K</w:t>
            </w:r>
          </w:p>
        </w:tc>
        <w:tc>
          <w:tcPr>
            <w:tcW w:w="580" w:type="dxa"/>
            <w:vAlign w:val="bottom"/>
            <w:gridSpan w:val="2"/>
          </w:tcPr>
          <w:p>
            <w:pPr>
              <w:ind w:left="100"/>
              <w:spacing w:after="0" w:line="156" w:lineRule="exact"/>
              <w:rPr>
                <w:sz w:val="20"/>
                <w:szCs w:val="20"/>
                <w:color w:val="auto"/>
              </w:rPr>
            </w:pPr>
            <w:r>
              <w:rPr>
                <w:rFonts w:ascii="Times New Roman" w:cs="Times New Roman" w:eastAsia="Times New Roman" w:hAnsi="Times New Roman"/>
                <w:sz w:val="14"/>
                <w:szCs w:val="14"/>
                <w:color w:val="auto"/>
              </w:rPr>
              <w:t>3.1</w:t>
            </w:r>
          </w:p>
        </w:tc>
        <w:tc>
          <w:tcPr>
            <w:tcW w:w="840" w:type="dxa"/>
            <w:vAlign w:val="bottom"/>
            <w:gridSpan w:val="2"/>
          </w:tcPr>
          <w:p>
            <w:pPr>
              <w:jc w:val="right"/>
              <w:ind w:right="52"/>
              <w:spacing w:after="0" w:line="156" w:lineRule="exact"/>
              <w:rPr>
                <w:sz w:val="20"/>
                <w:szCs w:val="20"/>
                <w:color w:val="auto"/>
              </w:rPr>
            </w:pPr>
            <w:r>
              <w:rPr>
                <w:rFonts w:ascii="Times New Roman" w:cs="Times New Roman" w:eastAsia="Times New Roman" w:hAnsi="Times New Roman"/>
                <w:sz w:val="14"/>
                <w:szCs w:val="14"/>
                <w:color w:val="auto"/>
              </w:rPr>
              <w:t>03/31/2023</w:t>
            </w:r>
          </w:p>
        </w:tc>
      </w:tr>
      <w:tr>
        <w:trPr>
          <w:trHeight w:val="157"/>
        </w:trPr>
        <w:tc>
          <w:tcPr>
            <w:tcW w:w="7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3.2</w:t>
            </w:r>
          </w:p>
        </w:tc>
        <w:tc>
          <w:tcPr>
            <w:tcW w:w="7540" w:type="dxa"/>
            <w:vAlign w:val="bottom"/>
            <w:gridSpan w:val="3"/>
          </w:tcPr>
          <w:p>
            <w:pPr>
              <w:ind w:left="100"/>
              <w:spacing w:after="0" w:line="157" w:lineRule="exact"/>
              <w:rPr>
                <w:sz w:val="20"/>
                <w:szCs w:val="20"/>
                <w:color w:val="auto"/>
              </w:rPr>
            </w:pPr>
            <w:r>
              <w:rPr>
                <w:rFonts w:ascii="Times New Roman" w:cs="Times New Roman" w:eastAsia="Times New Roman" w:hAnsi="Times New Roman"/>
                <w:sz w:val="14"/>
                <w:szCs w:val="14"/>
                <w:color w:val="auto"/>
              </w:rPr>
              <w:t>Bylaws of Dragonfly Energy Holdings Corp.</w:t>
            </w:r>
          </w:p>
        </w:tc>
        <w:tc>
          <w:tcPr>
            <w:tcW w:w="540" w:type="dxa"/>
            <w:vAlign w:val="bottom"/>
            <w:gridSpan w:val="2"/>
          </w:tcPr>
          <w:p>
            <w:pPr>
              <w:ind w:left="60"/>
              <w:spacing w:after="0" w:line="157" w:lineRule="exact"/>
              <w:rPr>
                <w:sz w:val="20"/>
                <w:szCs w:val="20"/>
                <w:color w:val="auto"/>
              </w:rPr>
            </w:pPr>
            <w:r>
              <w:rPr>
                <w:rFonts w:ascii="Times New Roman" w:cs="Times New Roman" w:eastAsia="Times New Roman" w:hAnsi="Times New Roman"/>
                <w:sz w:val="14"/>
                <w:szCs w:val="14"/>
                <w:color w:val="auto"/>
              </w:rPr>
              <w:t>8-K</w:t>
            </w:r>
          </w:p>
        </w:tc>
        <w:tc>
          <w:tcPr>
            <w:tcW w:w="58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4"/>
                <w:szCs w:val="14"/>
                <w:color w:val="auto"/>
              </w:rPr>
              <w:t>3.2</w:t>
            </w:r>
          </w:p>
        </w:tc>
        <w:tc>
          <w:tcPr>
            <w:tcW w:w="840" w:type="dxa"/>
            <w:vAlign w:val="bottom"/>
            <w:gridSpan w:val="2"/>
          </w:tcPr>
          <w:p>
            <w:pPr>
              <w:jc w:val="right"/>
              <w:ind w:right="52"/>
              <w:spacing w:after="0" w:line="157" w:lineRule="exact"/>
              <w:rPr>
                <w:sz w:val="20"/>
                <w:szCs w:val="20"/>
                <w:color w:val="auto"/>
              </w:rPr>
            </w:pPr>
            <w:r>
              <w:rPr>
                <w:rFonts w:ascii="Times New Roman" w:cs="Times New Roman" w:eastAsia="Times New Roman" w:hAnsi="Times New Roman"/>
                <w:sz w:val="14"/>
                <w:szCs w:val="14"/>
                <w:color w:val="auto"/>
              </w:rPr>
              <w:t>03/31/2023</w:t>
            </w:r>
          </w:p>
        </w:tc>
      </w:tr>
      <w:tr>
        <w:trPr>
          <w:trHeight w:val="156"/>
        </w:trPr>
        <w:tc>
          <w:tcPr>
            <w:tcW w:w="7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4.1</w:t>
            </w:r>
          </w:p>
        </w:tc>
        <w:tc>
          <w:tcPr>
            <w:tcW w:w="754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4"/>
                <w:szCs w:val="14"/>
                <w:color w:val="auto"/>
              </w:rPr>
              <w:t>Specimen Common Stock Certificate of Dragonfly Energy Holdings Corp.</w:t>
            </w:r>
          </w:p>
        </w:tc>
        <w:tc>
          <w:tcPr>
            <w:tcW w:w="540" w:type="dxa"/>
            <w:vAlign w:val="bottom"/>
            <w:gridSpan w:val="2"/>
          </w:tcPr>
          <w:p>
            <w:pPr>
              <w:ind w:left="60"/>
              <w:spacing w:after="0" w:line="156" w:lineRule="exact"/>
              <w:rPr>
                <w:sz w:val="20"/>
                <w:szCs w:val="20"/>
                <w:color w:val="auto"/>
              </w:rPr>
            </w:pPr>
            <w:r>
              <w:rPr>
                <w:rFonts w:ascii="Times New Roman" w:cs="Times New Roman" w:eastAsia="Times New Roman" w:hAnsi="Times New Roman"/>
                <w:sz w:val="14"/>
                <w:szCs w:val="14"/>
                <w:color w:val="auto"/>
              </w:rPr>
              <w:t>8-K</w:t>
            </w:r>
          </w:p>
        </w:tc>
        <w:tc>
          <w:tcPr>
            <w:tcW w:w="580" w:type="dxa"/>
            <w:vAlign w:val="bottom"/>
            <w:gridSpan w:val="2"/>
          </w:tcPr>
          <w:p>
            <w:pPr>
              <w:ind w:left="100"/>
              <w:spacing w:after="0" w:line="156" w:lineRule="exact"/>
              <w:rPr>
                <w:sz w:val="20"/>
                <w:szCs w:val="20"/>
                <w:color w:val="auto"/>
              </w:rPr>
            </w:pPr>
            <w:r>
              <w:rPr>
                <w:rFonts w:ascii="Times New Roman" w:cs="Times New Roman" w:eastAsia="Times New Roman" w:hAnsi="Times New Roman"/>
                <w:sz w:val="14"/>
                <w:szCs w:val="14"/>
                <w:color w:val="auto"/>
              </w:rPr>
              <w:t>4.1</w:t>
            </w:r>
          </w:p>
        </w:tc>
        <w:tc>
          <w:tcPr>
            <w:tcW w:w="840" w:type="dxa"/>
            <w:vAlign w:val="bottom"/>
            <w:gridSpan w:val="2"/>
          </w:tcPr>
          <w:p>
            <w:pPr>
              <w:jc w:val="right"/>
              <w:ind w:right="52"/>
              <w:spacing w:after="0" w:line="156" w:lineRule="exact"/>
              <w:rPr>
                <w:sz w:val="20"/>
                <w:szCs w:val="20"/>
                <w:color w:val="auto"/>
              </w:rPr>
            </w:pPr>
            <w:r>
              <w:rPr>
                <w:rFonts w:ascii="Times New Roman" w:cs="Times New Roman" w:eastAsia="Times New Roman" w:hAnsi="Times New Roman"/>
                <w:sz w:val="14"/>
                <w:szCs w:val="14"/>
                <w:color w:val="auto"/>
              </w:rPr>
              <w:t>10/11/2022</w:t>
            </w:r>
          </w:p>
        </w:tc>
      </w:tr>
      <w:tr>
        <w:trPr>
          <w:trHeight w:val="156"/>
        </w:trPr>
        <w:tc>
          <w:tcPr>
            <w:tcW w:w="7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4.2</w:t>
            </w:r>
          </w:p>
        </w:tc>
        <w:tc>
          <w:tcPr>
            <w:tcW w:w="754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4"/>
                <w:szCs w:val="14"/>
                <w:color w:val="auto"/>
              </w:rPr>
              <w:t>Form of $10 Warrant of Dragonfly Energy Holdings Corp.</w:t>
            </w:r>
          </w:p>
        </w:tc>
        <w:tc>
          <w:tcPr>
            <w:tcW w:w="540" w:type="dxa"/>
            <w:vAlign w:val="bottom"/>
            <w:gridSpan w:val="2"/>
          </w:tcPr>
          <w:p>
            <w:pPr>
              <w:ind w:left="60"/>
              <w:spacing w:after="0" w:line="156" w:lineRule="exact"/>
              <w:rPr>
                <w:sz w:val="20"/>
                <w:szCs w:val="20"/>
                <w:color w:val="auto"/>
              </w:rPr>
            </w:pPr>
            <w:r>
              <w:rPr>
                <w:rFonts w:ascii="Times New Roman" w:cs="Times New Roman" w:eastAsia="Times New Roman" w:hAnsi="Times New Roman"/>
                <w:sz w:val="14"/>
                <w:szCs w:val="14"/>
                <w:color w:val="auto"/>
              </w:rPr>
              <w:t>8-K</w:t>
            </w:r>
          </w:p>
        </w:tc>
        <w:tc>
          <w:tcPr>
            <w:tcW w:w="580" w:type="dxa"/>
            <w:vAlign w:val="bottom"/>
            <w:gridSpan w:val="2"/>
          </w:tcPr>
          <w:p>
            <w:pPr>
              <w:ind w:left="100"/>
              <w:spacing w:after="0" w:line="156" w:lineRule="exact"/>
              <w:rPr>
                <w:sz w:val="20"/>
                <w:szCs w:val="20"/>
                <w:color w:val="auto"/>
              </w:rPr>
            </w:pPr>
            <w:r>
              <w:rPr>
                <w:rFonts w:ascii="Times New Roman" w:cs="Times New Roman" w:eastAsia="Times New Roman" w:hAnsi="Times New Roman"/>
                <w:sz w:val="14"/>
                <w:szCs w:val="14"/>
                <w:color w:val="auto"/>
              </w:rPr>
              <w:t>4.2</w:t>
            </w:r>
          </w:p>
        </w:tc>
        <w:tc>
          <w:tcPr>
            <w:tcW w:w="840" w:type="dxa"/>
            <w:vAlign w:val="bottom"/>
            <w:gridSpan w:val="2"/>
          </w:tcPr>
          <w:p>
            <w:pPr>
              <w:jc w:val="right"/>
              <w:ind w:right="52"/>
              <w:spacing w:after="0" w:line="156" w:lineRule="exact"/>
              <w:rPr>
                <w:sz w:val="20"/>
                <w:szCs w:val="20"/>
                <w:color w:val="auto"/>
              </w:rPr>
            </w:pPr>
            <w:r>
              <w:rPr>
                <w:rFonts w:ascii="Times New Roman" w:cs="Times New Roman" w:eastAsia="Times New Roman" w:hAnsi="Times New Roman"/>
                <w:sz w:val="14"/>
                <w:szCs w:val="14"/>
                <w:color w:val="auto"/>
              </w:rPr>
              <w:t>10/11/2022</w:t>
            </w:r>
          </w:p>
        </w:tc>
      </w:tr>
      <w:tr>
        <w:trPr>
          <w:trHeight w:val="156"/>
        </w:trPr>
        <w:tc>
          <w:tcPr>
            <w:tcW w:w="7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4.3</w:t>
            </w:r>
          </w:p>
        </w:tc>
        <w:tc>
          <w:tcPr>
            <w:tcW w:w="754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4"/>
                <w:szCs w:val="14"/>
                <w:color w:val="auto"/>
              </w:rPr>
              <w:t>Form of Penny Warrant of Dragonfly Energy Holdings Corp.</w:t>
            </w:r>
          </w:p>
        </w:tc>
        <w:tc>
          <w:tcPr>
            <w:tcW w:w="540" w:type="dxa"/>
            <w:vAlign w:val="bottom"/>
            <w:gridSpan w:val="2"/>
          </w:tcPr>
          <w:p>
            <w:pPr>
              <w:ind w:left="60"/>
              <w:spacing w:after="0" w:line="156" w:lineRule="exact"/>
              <w:rPr>
                <w:sz w:val="20"/>
                <w:szCs w:val="20"/>
                <w:color w:val="auto"/>
              </w:rPr>
            </w:pPr>
            <w:r>
              <w:rPr>
                <w:rFonts w:ascii="Times New Roman" w:cs="Times New Roman" w:eastAsia="Times New Roman" w:hAnsi="Times New Roman"/>
                <w:sz w:val="14"/>
                <w:szCs w:val="14"/>
                <w:color w:val="auto"/>
              </w:rPr>
              <w:t>8-K</w:t>
            </w:r>
          </w:p>
        </w:tc>
        <w:tc>
          <w:tcPr>
            <w:tcW w:w="580" w:type="dxa"/>
            <w:vAlign w:val="bottom"/>
            <w:gridSpan w:val="2"/>
          </w:tcPr>
          <w:p>
            <w:pPr>
              <w:ind w:left="100"/>
              <w:spacing w:after="0" w:line="156" w:lineRule="exact"/>
              <w:rPr>
                <w:sz w:val="20"/>
                <w:szCs w:val="20"/>
                <w:color w:val="auto"/>
              </w:rPr>
            </w:pPr>
            <w:r>
              <w:rPr>
                <w:rFonts w:ascii="Times New Roman" w:cs="Times New Roman" w:eastAsia="Times New Roman" w:hAnsi="Times New Roman"/>
                <w:sz w:val="14"/>
                <w:szCs w:val="14"/>
                <w:color w:val="auto"/>
              </w:rPr>
              <w:t>4.3</w:t>
            </w:r>
          </w:p>
        </w:tc>
        <w:tc>
          <w:tcPr>
            <w:tcW w:w="840" w:type="dxa"/>
            <w:vAlign w:val="bottom"/>
            <w:gridSpan w:val="2"/>
          </w:tcPr>
          <w:p>
            <w:pPr>
              <w:jc w:val="right"/>
              <w:ind w:right="52"/>
              <w:spacing w:after="0" w:line="156" w:lineRule="exact"/>
              <w:rPr>
                <w:sz w:val="20"/>
                <w:szCs w:val="20"/>
                <w:color w:val="auto"/>
              </w:rPr>
            </w:pPr>
            <w:r>
              <w:rPr>
                <w:rFonts w:ascii="Times New Roman" w:cs="Times New Roman" w:eastAsia="Times New Roman" w:hAnsi="Times New Roman"/>
                <w:sz w:val="14"/>
                <w:szCs w:val="14"/>
                <w:color w:val="auto"/>
              </w:rPr>
              <w:t>10/11/2022</w:t>
            </w:r>
          </w:p>
        </w:tc>
      </w:tr>
      <w:tr>
        <w:trPr>
          <w:trHeight w:val="157"/>
        </w:trPr>
        <w:tc>
          <w:tcPr>
            <w:tcW w:w="7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4.4</w:t>
            </w:r>
          </w:p>
        </w:tc>
        <w:tc>
          <w:tcPr>
            <w:tcW w:w="7540" w:type="dxa"/>
            <w:vAlign w:val="bottom"/>
            <w:gridSpan w:val="3"/>
          </w:tcPr>
          <w:p>
            <w:pPr>
              <w:ind w:left="100"/>
              <w:spacing w:after="0" w:line="157" w:lineRule="exact"/>
              <w:rPr>
                <w:sz w:val="20"/>
                <w:szCs w:val="20"/>
                <w:color w:val="auto"/>
              </w:rPr>
            </w:pPr>
            <w:r>
              <w:rPr>
                <w:rFonts w:ascii="Times New Roman" w:cs="Times New Roman" w:eastAsia="Times New Roman" w:hAnsi="Times New Roman"/>
                <w:sz w:val="14"/>
                <w:szCs w:val="14"/>
                <w:color w:val="auto"/>
                <w:w w:val="99"/>
              </w:rPr>
              <w:t>Warrant Agreement, dated as of October 19, 2022, between Dragonfly Energy Holdings Corp. and American Stock Transfer &amp; Trust</w:t>
            </w:r>
          </w:p>
        </w:tc>
        <w:tc>
          <w:tcPr>
            <w:tcW w:w="540" w:type="dxa"/>
            <w:vAlign w:val="bottom"/>
            <w:gridSpan w:val="2"/>
          </w:tcPr>
          <w:p>
            <w:pPr>
              <w:ind w:left="60"/>
              <w:spacing w:after="0" w:line="157" w:lineRule="exact"/>
              <w:rPr>
                <w:sz w:val="20"/>
                <w:szCs w:val="20"/>
                <w:color w:val="auto"/>
              </w:rPr>
            </w:pPr>
            <w:r>
              <w:rPr>
                <w:rFonts w:ascii="Times New Roman" w:cs="Times New Roman" w:eastAsia="Times New Roman" w:hAnsi="Times New Roman"/>
                <w:sz w:val="14"/>
                <w:szCs w:val="14"/>
                <w:color w:val="auto"/>
              </w:rPr>
              <w:t>S-1</w:t>
            </w:r>
          </w:p>
        </w:tc>
        <w:tc>
          <w:tcPr>
            <w:tcW w:w="58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4"/>
                <w:szCs w:val="14"/>
                <w:color w:val="auto"/>
              </w:rPr>
              <w:t>4.4</w:t>
            </w:r>
          </w:p>
        </w:tc>
        <w:tc>
          <w:tcPr>
            <w:tcW w:w="840" w:type="dxa"/>
            <w:vAlign w:val="bottom"/>
            <w:gridSpan w:val="2"/>
          </w:tcPr>
          <w:p>
            <w:pPr>
              <w:jc w:val="right"/>
              <w:ind w:right="52"/>
              <w:spacing w:after="0" w:line="157" w:lineRule="exact"/>
              <w:rPr>
                <w:sz w:val="20"/>
                <w:szCs w:val="20"/>
                <w:color w:val="auto"/>
              </w:rPr>
            </w:pPr>
            <w:r>
              <w:rPr>
                <w:rFonts w:ascii="Times New Roman" w:cs="Times New Roman" w:eastAsia="Times New Roman" w:hAnsi="Times New Roman"/>
                <w:sz w:val="14"/>
                <w:szCs w:val="14"/>
                <w:color w:val="auto"/>
              </w:rPr>
              <w:t>10/21/2022</w:t>
            </w:r>
          </w:p>
        </w:tc>
      </w:tr>
      <w:tr>
        <w:trPr>
          <w:trHeight w:val="156"/>
        </w:trPr>
        <w:tc>
          <w:tcPr>
            <w:tcW w:w="740" w:type="dxa"/>
            <w:vAlign w:val="bottom"/>
          </w:tcPr>
          <w:p>
            <w:pPr>
              <w:spacing w:after="0"/>
              <w:rPr>
                <w:sz w:val="13"/>
                <w:szCs w:val="13"/>
                <w:color w:val="auto"/>
              </w:rPr>
            </w:pPr>
          </w:p>
        </w:tc>
        <w:tc>
          <w:tcPr>
            <w:tcW w:w="754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4"/>
                <w:szCs w:val="14"/>
                <w:color w:val="auto"/>
              </w:rPr>
              <w:t>Company, LLC.</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6"/>
        </w:trPr>
        <w:tc>
          <w:tcPr>
            <w:tcW w:w="7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4.5*</w:t>
            </w:r>
          </w:p>
        </w:tc>
        <w:tc>
          <w:tcPr>
            <w:tcW w:w="754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4"/>
                <w:szCs w:val="14"/>
                <w:color w:val="auto"/>
              </w:rPr>
              <w:t>Specimen Warrant Certificate of Dragonfly Energy Holdings Corp.</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7"/>
        </w:trPr>
        <w:tc>
          <w:tcPr>
            <w:tcW w:w="7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4.6</w:t>
            </w:r>
          </w:p>
        </w:tc>
        <w:tc>
          <w:tcPr>
            <w:tcW w:w="7540" w:type="dxa"/>
            <w:vAlign w:val="bottom"/>
            <w:gridSpan w:val="3"/>
          </w:tcPr>
          <w:p>
            <w:pPr>
              <w:ind w:left="100"/>
              <w:spacing w:after="0" w:line="157" w:lineRule="exact"/>
              <w:rPr>
                <w:sz w:val="20"/>
                <w:szCs w:val="20"/>
                <w:color w:val="auto"/>
              </w:rPr>
            </w:pPr>
            <w:r>
              <w:rPr>
                <w:rFonts w:ascii="Times New Roman" w:cs="Times New Roman" w:eastAsia="Times New Roman" w:hAnsi="Times New Roman"/>
                <w:sz w:val="14"/>
                <w:szCs w:val="14"/>
                <w:color w:val="auto"/>
              </w:rPr>
              <w:t>Promissory Note of the Company, dated March 5, 2023.</w:t>
            </w:r>
          </w:p>
        </w:tc>
        <w:tc>
          <w:tcPr>
            <w:tcW w:w="540" w:type="dxa"/>
            <w:vAlign w:val="bottom"/>
            <w:gridSpan w:val="2"/>
          </w:tcPr>
          <w:p>
            <w:pPr>
              <w:ind w:left="60"/>
              <w:spacing w:after="0" w:line="157" w:lineRule="exact"/>
              <w:rPr>
                <w:sz w:val="20"/>
                <w:szCs w:val="20"/>
                <w:color w:val="auto"/>
              </w:rPr>
            </w:pPr>
            <w:r>
              <w:rPr>
                <w:rFonts w:ascii="Times New Roman" w:cs="Times New Roman" w:eastAsia="Times New Roman" w:hAnsi="Times New Roman"/>
                <w:sz w:val="14"/>
                <w:szCs w:val="14"/>
                <w:color w:val="auto"/>
              </w:rPr>
              <w:t>8-K</w:t>
            </w:r>
          </w:p>
        </w:tc>
        <w:tc>
          <w:tcPr>
            <w:tcW w:w="58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4"/>
                <w:szCs w:val="14"/>
                <w:color w:val="auto"/>
              </w:rPr>
              <w:t>4.1</w:t>
            </w:r>
          </w:p>
        </w:tc>
        <w:tc>
          <w:tcPr>
            <w:tcW w:w="840" w:type="dxa"/>
            <w:vAlign w:val="bottom"/>
            <w:gridSpan w:val="2"/>
          </w:tcPr>
          <w:p>
            <w:pPr>
              <w:jc w:val="right"/>
              <w:ind w:right="52"/>
              <w:spacing w:after="0" w:line="157" w:lineRule="exact"/>
              <w:rPr>
                <w:sz w:val="20"/>
                <w:szCs w:val="20"/>
                <w:color w:val="auto"/>
              </w:rPr>
            </w:pPr>
            <w:r>
              <w:rPr>
                <w:rFonts w:ascii="Times New Roman" w:cs="Times New Roman" w:eastAsia="Times New Roman" w:hAnsi="Times New Roman"/>
                <w:sz w:val="14"/>
                <w:szCs w:val="14"/>
                <w:color w:val="auto"/>
              </w:rPr>
              <w:t>03/09/2023</w:t>
            </w:r>
          </w:p>
        </w:tc>
      </w:tr>
      <w:tr>
        <w:trPr>
          <w:trHeight w:val="156"/>
        </w:trPr>
        <w:tc>
          <w:tcPr>
            <w:tcW w:w="7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4.7*</w:t>
            </w:r>
          </w:p>
        </w:tc>
        <w:tc>
          <w:tcPr>
            <w:tcW w:w="754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4"/>
                <w:szCs w:val="14"/>
                <w:color w:val="auto"/>
              </w:rPr>
              <w:t>Description of Securities.</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6"/>
        </w:trPr>
        <w:tc>
          <w:tcPr>
            <w:tcW w:w="7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10.1</w:t>
            </w:r>
          </w:p>
        </w:tc>
        <w:tc>
          <w:tcPr>
            <w:tcW w:w="754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4"/>
                <w:szCs w:val="14"/>
                <w:color w:val="auto"/>
                <w:w w:val="98"/>
              </w:rPr>
              <w:t>Sponsor Support Agreement, dated as of May 15, 2022, by and among Chardan NexTech Investments 2 LLC, Dragonfly Energy Corp.</w:t>
            </w:r>
          </w:p>
        </w:tc>
        <w:tc>
          <w:tcPr>
            <w:tcW w:w="540" w:type="dxa"/>
            <w:vAlign w:val="bottom"/>
            <w:gridSpan w:val="2"/>
          </w:tcPr>
          <w:p>
            <w:pPr>
              <w:ind w:left="60"/>
              <w:spacing w:after="0" w:line="156" w:lineRule="exact"/>
              <w:rPr>
                <w:sz w:val="20"/>
                <w:szCs w:val="20"/>
                <w:color w:val="auto"/>
              </w:rPr>
            </w:pPr>
            <w:r>
              <w:rPr>
                <w:rFonts w:ascii="Times New Roman" w:cs="Times New Roman" w:eastAsia="Times New Roman" w:hAnsi="Times New Roman"/>
                <w:sz w:val="14"/>
                <w:szCs w:val="14"/>
                <w:color w:val="auto"/>
              </w:rPr>
              <w:t>S-4</w:t>
            </w:r>
          </w:p>
        </w:tc>
        <w:tc>
          <w:tcPr>
            <w:tcW w:w="580" w:type="dxa"/>
            <w:vAlign w:val="bottom"/>
            <w:gridSpan w:val="2"/>
          </w:tcPr>
          <w:p>
            <w:pPr>
              <w:ind w:left="100"/>
              <w:spacing w:after="0" w:line="156" w:lineRule="exact"/>
              <w:rPr>
                <w:sz w:val="20"/>
                <w:szCs w:val="20"/>
                <w:color w:val="auto"/>
              </w:rPr>
            </w:pPr>
            <w:r>
              <w:rPr>
                <w:rFonts w:ascii="Times New Roman" w:cs="Times New Roman" w:eastAsia="Times New Roman" w:hAnsi="Times New Roman"/>
                <w:sz w:val="14"/>
                <w:szCs w:val="14"/>
                <w:color w:val="auto"/>
              </w:rPr>
              <w:t>10.4</w:t>
            </w:r>
          </w:p>
        </w:tc>
        <w:tc>
          <w:tcPr>
            <w:tcW w:w="840" w:type="dxa"/>
            <w:vAlign w:val="bottom"/>
            <w:gridSpan w:val="2"/>
          </w:tcPr>
          <w:p>
            <w:pPr>
              <w:jc w:val="right"/>
              <w:ind w:right="52"/>
              <w:spacing w:after="0" w:line="156" w:lineRule="exact"/>
              <w:rPr>
                <w:sz w:val="20"/>
                <w:szCs w:val="20"/>
                <w:color w:val="auto"/>
              </w:rPr>
            </w:pPr>
            <w:r>
              <w:rPr>
                <w:rFonts w:ascii="Times New Roman" w:cs="Times New Roman" w:eastAsia="Times New Roman" w:hAnsi="Times New Roman"/>
                <w:sz w:val="14"/>
                <w:szCs w:val="14"/>
                <w:color w:val="auto"/>
              </w:rPr>
              <w:t>07/22/2022</w:t>
            </w:r>
          </w:p>
        </w:tc>
      </w:tr>
      <w:tr>
        <w:trPr>
          <w:trHeight w:val="156"/>
        </w:trPr>
        <w:tc>
          <w:tcPr>
            <w:tcW w:w="740" w:type="dxa"/>
            <w:vAlign w:val="bottom"/>
          </w:tcPr>
          <w:p>
            <w:pPr>
              <w:spacing w:after="0"/>
              <w:rPr>
                <w:sz w:val="13"/>
                <w:szCs w:val="13"/>
                <w:color w:val="auto"/>
              </w:rPr>
            </w:pPr>
          </w:p>
        </w:tc>
        <w:tc>
          <w:tcPr>
            <w:tcW w:w="754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4"/>
                <w:szCs w:val="14"/>
                <w:color w:val="auto"/>
              </w:rPr>
              <w:t>and Chardan NexTech Investments 2 LLC (included as Annex E to the proxy statement/prospectus).</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7"/>
        </w:trPr>
        <w:tc>
          <w:tcPr>
            <w:tcW w:w="7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10.2</w:t>
            </w:r>
          </w:p>
        </w:tc>
        <w:tc>
          <w:tcPr>
            <w:tcW w:w="7540" w:type="dxa"/>
            <w:vAlign w:val="bottom"/>
            <w:gridSpan w:val="3"/>
          </w:tcPr>
          <w:p>
            <w:pPr>
              <w:ind w:left="100"/>
              <w:spacing w:after="0" w:line="157" w:lineRule="exact"/>
              <w:rPr>
                <w:sz w:val="20"/>
                <w:szCs w:val="20"/>
                <w:color w:val="auto"/>
              </w:rPr>
            </w:pPr>
            <w:r>
              <w:rPr>
                <w:rFonts w:ascii="Times New Roman" w:cs="Times New Roman" w:eastAsia="Times New Roman" w:hAnsi="Times New Roman"/>
                <w:sz w:val="14"/>
                <w:szCs w:val="14"/>
                <w:color w:val="auto"/>
                <w:w w:val="97"/>
              </w:rPr>
              <w:t>Commitment Letter, dated as of May 15, 2022, by and among Dragonfly Energy Holdings Corp. (f/k/a Chardan NexTech Acquisition 2</w:t>
            </w:r>
          </w:p>
        </w:tc>
        <w:tc>
          <w:tcPr>
            <w:tcW w:w="540" w:type="dxa"/>
            <w:vAlign w:val="bottom"/>
            <w:gridSpan w:val="2"/>
          </w:tcPr>
          <w:p>
            <w:pPr>
              <w:ind w:left="60"/>
              <w:spacing w:after="0" w:line="157" w:lineRule="exact"/>
              <w:rPr>
                <w:sz w:val="20"/>
                <w:szCs w:val="20"/>
                <w:color w:val="auto"/>
              </w:rPr>
            </w:pPr>
            <w:r>
              <w:rPr>
                <w:rFonts w:ascii="Times New Roman" w:cs="Times New Roman" w:eastAsia="Times New Roman" w:hAnsi="Times New Roman"/>
                <w:sz w:val="14"/>
                <w:szCs w:val="14"/>
                <w:color w:val="auto"/>
              </w:rPr>
              <w:t>S-4</w:t>
            </w:r>
          </w:p>
        </w:tc>
        <w:tc>
          <w:tcPr>
            <w:tcW w:w="58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4"/>
                <w:szCs w:val="14"/>
                <w:color w:val="auto"/>
              </w:rPr>
              <w:t>10.5</w:t>
            </w:r>
          </w:p>
        </w:tc>
        <w:tc>
          <w:tcPr>
            <w:tcW w:w="840" w:type="dxa"/>
            <w:vAlign w:val="bottom"/>
            <w:gridSpan w:val="2"/>
          </w:tcPr>
          <w:p>
            <w:pPr>
              <w:jc w:val="right"/>
              <w:ind w:right="52"/>
              <w:spacing w:after="0" w:line="157" w:lineRule="exact"/>
              <w:rPr>
                <w:sz w:val="20"/>
                <w:szCs w:val="20"/>
                <w:color w:val="auto"/>
              </w:rPr>
            </w:pPr>
            <w:r>
              <w:rPr>
                <w:rFonts w:ascii="Times New Roman" w:cs="Times New Roman" w:eastAsia="Times New Roman" w:hAnsi="Times New Roman"/>
                <w:sz w:val="14"/>
                <w:szCs w:val="14"/>
                <w:color w:val="auto"/>
              </w:rPr>
              <w:t>07/22/2022</w:t>
            </w:r>
          </w:p>
        </w:tc>
      </w:tr>
      <w:tr>
        <w:trPr>
          <w:trHeight w:val="156"/>
        </w:trPr>
        <w:tc>
          <w:tcPr>
            <w:tcW w:w="740" w:type="dxa"/>
            <w:vAlign w:val="bottom"/>
          </w:tcPr>
          <w:p>
            <w:pPr>
              <w:spacing w:after="0"/>
              <w:rPr>
                <w:sz w:val="13"/>
                <w:szCs w:val="13"/>
                <w:color w:val="auto"/>
              </w:rPr>
            </w:pPr>
          </w:p>
        </w:tc>
        <w:tc>
          <w:tcPr>
            <w:tcW w:w="754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4"/>
                <w:szCs w:val="14"/>
                <w:color w:val="auto"/>
              </w:rPr>
              <w:t>Corp.),  Dragonfly  Energy  Corp.,  CCM  Investments  5  LLC  and  EICF  Agent  LLC  (included  as  Annex  J  to  the  proxy</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6"/>
        </w:trPr>
        <w:tc>
          <w:tcPr>
            <w:tcW w:w="740" w:type="dxa"/>
            <w:vAlign w:val="bottom"/>
          </w:tcPr>
          <w:p>
            <w:pPr>
              <w:spacing w:after="0"/>
              <w:rPr>
                <w:sz w:val="13"/>
                <w:szCs w:val="13"/>
                <w:color w:val="auto"/>
              </w:rPr>
            </w:pPr>
          </w:p>
        </w:tc>
        <w:tc>
          <w:tcPr>
            <w:tcW w:w="754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4"/>
                <w:szCs w:val="14"/>
                <w:color w:val="auto"/>
              </w:rPr>
              <w:t>statement/prospectus).</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7"/>
        </w:trPr>
        <w:tc>
          <w:tcPr>
            <w:tcW w:w="7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10.3</w:t>
            </w:r>
          </w:p>
        </w:tc>
        <w:tc>
          <w:tcPr>
            <w:tcW w:w="7540" w:type="dxa"/>
            <w:vAlign w:val="bottom"/>
            <w:gridSpan w:val="3"/>
          </w:tcPr>
          <w:p>
            <w:pPr>
              <w:ind w:left="100"/>
              <w:spacing w:after="0" w:line="157" w:lineRule="exact"/>
              <w:rPr>
                <w:sz w:val="20"/>
                <w:szCs w:val="20"/>
                <w:color w:val="auto"/>
              </w:rPr>
            </w:pPr>
            <w:r>
              <w:rPr>
                <w:rFonts w:ascii="Times New Roman" w:cs="Times New Roman" w:eastAsia="Times New Roman" w:hAnsi="Times New Roman"/>
                <w:sz w:val="14"/>
                <w:szCs w:val="14"/>
                <w:color w:val="auto"/>
                <w:w w:val="97"/>
              </w:rPr>
              <w:t>Equity Facility Letter Agreement, dated as of May 15, 2022, by and among Dragonfly Energy Corp., Dragonfly Energy Holdings Corp.</w:t>
            </w:r>
          </w:p>
        </w:tc>
        <w:tc>
          <w:tcPr>
            <w:tcW w:w="540" w:type="dxa"/>
            <w:vAlign w:val="bottom"/>
            <w:gridSpan w:val="2"/>
          </w:tcPr>
          <w:p>
            <w:pPr>
              <w:ind w:left="60"/>
              <w:spacing w:after="0" w:line="157" w:lineRule="exact"/>
              <w:rPr>
                <w:sz w:val="20"/>
                <w:szCs w:val="20"/>
                <w:color w:val="auto"/>
              </w:rPr>
            </w:pPr>
            <w:r>
              <w:rPr>
                <w:rFonts w:ascii="Times New Roman" w:cs="Times New Roman" w:eastAsia="Times New Roman" w:hAnsi="Times New Roman"/>
                <w:sz w:val="14"/>
                <w:szCs w:val="14"/>
                <w:color w:val="auto"/>
              </w:rPr>
              <w:t>S-4</w:t>
            </w:r>
          </w:p>
        </w:tc>
        <w:tc>
          <w:tcPr>
            <w:tcW w:w="58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4"/>
                <w:szCs w:val="14"/>
                <w:color w:val="auto"/>
              </w:rPr>
              <w:t>10.6</w:t>
            </w:r>
          </w:p>
        </w:tc>
        <w:tc>
          <w:tcPr>
            <w:tcW w:w="840" w:type="dxa"/>
            <w:vAlign w:val="bottom"/>
            <w:gridSpan w:val="2"/>
          </w:tcPr>
          <w:p>
            <w:pPr>
              <w:jc w:val="right"/>
              <w:ind w:right="52"/>
              <w:spacing w:after="0" w:line="157" w:lineRule="exact"/>
              <w:rPr>
                <w:sz w:val="20"/>
                <w:szCs w:val="20"/>
                <w:color w:val="auto"/>
              </w:rPr>
            </w:pPr>
            <w:r>
              <w:rPr>
                <w:rFonts w:ascii="Times New Roman" w:cs="Times New Roman" w:eastAsia="Times New Roman" w:hAnsi="Times New Roman"/>
                <w:sz w:val="14"/>
                <w:szCs w:val="14"/>
                <w:color w:val="auto"/>
              </w:rPr>
              <w:t>07/22/2022</w:t>
            </w:r>
          </w:p>
        </w:tc>
      </w:tr>
      <w:tr>
        <w:trPr>
          <w:trHeight w:val="156"/>
        </w:trPr>
        <w:tc>
          <w:tcPr>
            <w:tcW w:w="740" w:type="dxa"/>
            <w:vAlign w:val="bottom"/>
          </w:tcPr>
          <w:p>
            <w:pPr>
              <w:spacing w:after="0"/>
              <w:rPr>
                <w:sz w:val="13"/>
                <w:szCs w:val="13"/>
                <w:color w:val="auto"/>
              </w:rPr>
            </w:pPr>
          </w:p>
        </w:tc>
        <w:tc>
          <w:tcPr>
            <w:tcW w:w="754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4"/>
                <w:szCs w:val="14"/>
                <w:color w:val="auto"/>
                <w:w w:val="98"/>
              </w:rPr>
              <w:t>(f/k/a Chardan NexTech Acquisition 2 Corp.) and CCM Investments 5 LLC (included as Annex K to the proxy statement/prospectus).</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6"/>
        </w:trPr>
        <w:tc>
          <w:tcPr>
            <w:tcW w:w="7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10.4</w:t>
            </w:r>
          </w:p>
        </w:tc>
        <w:tc>
          <w:tcPr>
            <w:tcW w:w="754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4"/>
                <w:szCs w:val="14"/>
                <w:color w:val="auto"/>
                <w:w w:val="98"/>
              </w:rPr>
              <w:t>Subscription Agreement, dated as of May 15, 2022, between Dragonfly Energy Holdings Corp. (f/k/a Chardan NexTech Acquisition 2</w:t>
            </w:r>
          </w:p>
        </w:tc>
        <w:tc>
          <w:tcPr>
            <w:tcW w:w="540" w:type="dxa"/>
            <w:vAlign w:val="bottom"/>
            <w:gridSpan w:val="2"/>
          </w:tcPr>
          <w:p>
            <w:pPr>
              <w:ind w:left="60"/>
              <w:spacing w:after="0" w:line="156" w:lineRule="exact"/>
              <w:rPr>
                <w:sz w:val="20"/>
                <w:szCs w:val="20"/>
                <w:color w:val="auto"/>
              </w:rPr>
            </w:pPr>
            <w:r>
              <w:rPr>
                <w:rFonts w:ascii="Times New Roman" w:cs="Times New Roman" w:eastAsia="Times New Roman" w:hAnsi="Times New Roman"/>
                <w:sz w:val="14"/>
                <w:szCs w:val="14"/>
                <w:color w:val="auto"/>
              </w:rPr>
              <w:t>S-4</w:t>
            </w:r>
          </w:p>
        </w:tc>
        <w:tc>
          <w:tcPr>
            <w:tcW w:w="580" w:type="dxa"/>
            <w:vAlign w:val="bottom"/>
            <w:gridSpan w:val="2"/>
          </w:tcPr>
          <w:p>
            <w:pPr>
              <w:ind w:left="100"/>
              <w:spacing w:after="0" w:line="156" w:lineRule="exact"/>
              <w:rPr>
                <w:sz w:val="20"/>
                <w:szCs w:val="20"/>
                <w:color w:val="auto"/>
              </w:rPr>
            </w:pPr>
            <w:r>
              <w:rPr>
                <w:rFonts w:ascii="Times New Roman" w:cs="Times New Roman" w:eastAsia="Times New Roman" w:hAnsi="Times New Roman"/>
                <w:sz w:val="14"/>
                <w:szCs w:val="14"/>
                <w:color w:val="auto"/>
              </w:rPr>
              <w:t>10.7</w:t>
            </w:r>
          </w:p>
        </w:tc>
        <w:tc>
          <w:tcPr>
            <w:tcW w:w="840" w:type="dxa"/>
            <w:vAlign w:val="bottom"/>
            <w:gridSpan w:val="2"/>
          </w:tcPr>
          <w:p>
            <w:pPr>
              <w:jc w:val="right"/>
              <w:ind w:right="52"/>
              <w:spacing w:after="0" w:line="156" w:lineRule="exact"/>
              <w:rPr>
                <w:sz w:val="20"/>
                <w:szCs w:val="20"/>
                <w:color w:val="auto"/>
              </w:rPr>
            </w:pPr>
            <w:r>
              <w:rPr>
                <w:rFonts w:ascii="Times New Roman" w:cs="Times New Roman" w:eastAsia="Times New Roman" w:hAnsi="Times New Roman"/>
                <w:sz w:val="14"/>
                <w:szCs w:val="14"/>
                <w:color w:val="auto"/>
              </w:rPr>
              <w:t>07/22/2022</w:t>
            </w:r>
          </w:p>
        </w:tc>
      </w:tr>
      <w:tr>
        <w:trPr>
          <w:trHeight w:val="156"/>
        </w:trPr>
        <w:tc>
          <w:tcPr>
            <w:tcW w:w="740" w:type="dxa"/>
            <w:vAlign w:val="bottom"/>
          </w:tcPr>
          <w:p>
            <w:pPr>
              <w:spacing w:after="0"/>
              <w:rPr>
                <w:sz w:val="13"/>
                <w:szCs w:val="13"/>
                <w:color w:val="auto"/>
              </w:rPr>
            </w:pPr>
          </w:p>
        </w:tc>
        <w:tc>
          <w:tcPr>
            <w:tcW w:w="754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4"/>
                <w:szCs w:val="14"/>
                <w:color w:val="auto"/>
              </w:rPr>
              <w:t>Corp.) and Chardan NexTech Investments 2 LLC (included as Annex F to the proxy statement/prospectus).</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7"/>
        </w:trPr>
        <w:tc>
          <w:tcPr>
            <w:tcW w:w="7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10.5++</w:t>
            </w:r>
          </w:p>
        </w:tc>
        <w:tc>
          <w:tcPr>
            <w:tcW w:w="7540" w:type="dxa"/>
            <w:vAlign w:val="bottom"/>
            <w:gridSpan w:val="3"/>
          </w:tcPr>
          <w:p>
            <w:pPr>
              <w:ind w:left="100"/>
              <w:spacing w:after="0" w:line="157" w:lineRule="exact"/>
              <w:rPr>
                <w:sz w:val="20"/>
                <w:szCs w:val="20"/>
                <w:color w:val="auto"/>
              </w:rPr>
            </w:pPr>
            <w:r>
              <w:rPr>
                <w:rFonts w:ascii="Times New Roman" w:cs="Times New Roman" w:eastAsia="Times New Roman" w:hAnsi="Times New Roman"/>
                <w:sz w:val="14"/>
                <w:szCs w:val="14"/>
                <w:color w:val="auto"/>
              </w:rPr>
              <w:t>Dragonfly Energy Holdings Corp. 2022 Equity Incentive Plan.</w:t>
            </w:r>
          </w:p>
        </w:tc>
        <w:tc>
          <w:tcPr>
            <w:tcW w:w="60" w:type="dxa"/>
            <w:vAlign w:val="bottom"/>
          </w:tcPr>
          <w:p>
            <w:pPr>
              <w:spacing w:after="0"/>
              <w:rPr>
                <w:sz w:val="13"/>
                <w:szCs w:val="13"/>
                <w:color w:val="auto"/>
              </w:rPr>
            </w:pPr>
          </w:p>
        </w:tc>
        <w:tc>
          <w:tcPr>
            <w:tcW w:w="4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8-K</w:t>
            </w:r>
          </w:p>
        </w:tc>
        <w:tc>
          <w:tcPr>
            <w:tcW w:w="58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4"/>
                <w:szCs w:val="14"/>
                <w:color w:val="auto"/>
              </w:rPr>
              <w:t>10.5</w:t>
            </w:r>
          </w:p>
        </w:tc>
        <w:tc>
          <w:tcPr>
            <w:tcW w:w="840" w:type="dxa"/>
            <w:vAlign w:val="bottom"/>
            <w:gridSpan w:val="2"/>
          </w:tcPr>
          <w:p>
            <w:pPr>
              <w:jc w:val="right"/>
              <w:ind w:right="52"/>
              <w:spacing w:after="0" w:line="157" w:lineRule="exact"/>
              <w:rPr>
                <w:sz w:val="20"/>
                <w:szCs w:val="20"/>
                <w:color w:val="auto"/>
              </w:rPr>
            </w:pPr>
            <w:r>
              <w:rPr>
                <w:rFonts w:ascii="Times New Roman" w:cs="Times New Roman" w:eastAsia="Times New Roman" w:hAnsi="Times New Roman"/>
                <w:sz w:val="14"/>
                <w:szCs w:val="14"/>
                <w:color w:val="auto"/>
              </w:rPr>
              <w:t>10/11/2022</w:t>
            </w:r>
          </w:p>
        </w:tc>
      </w:tr>
      <w:tr>
        <w:trPr>
          <w:trHeight w:val="156"/>
        </w:trPr>
        <w:tc>
          <w:tcPr>
            <w:tcW w:w="7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10.6++</w:t>
            </w:r>
          </w:p>
        </w:tc>
        <w:tc>
          <w:tcPr>
            <w:tcW w:w="754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4"/>
                <w:szCs w:val="14"/>
                <w:color w:val="auto"/>
              </w:rPr>
              <w:t>Dragonfly Energy Holdings Corp. Employee Stock Purchase Plan.</w:t>
            </w:r>
          </w:p>
        </w:tc>
        <w:tc>
          <w:tcPr>
            <w:tcW w:w="60" w:type="dxa"/>
            <w:vAlign w:val="bottom"/>
          </w:tcPr>
          <w:p>
            <w:pPr>
              <w:spacing w:after="0"/>
              <w:rPr>
                <w:sz w:val="13"/>
                <w:szCs w:val="13"/>
                <w:color w:val="auto"/>
              </w:rPr>
            </w:pPr>
          </w:p>
        </w:tc>
        <w:tc>
          <w:tcPr>
            <w:tcW w:w="4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8-K</w:t>
            </w:r>
          </w:p>
        </w:tc>
        <w:tc>
          <w:tcPr>
            <w:tcW w:w="580" w:type="dxa"/>
            <w:vAlign w:val="bottom"/>
            <w:gridSpan w:val="2"/>
          </w:tcPr>
          <w:p>
            <w:pPr>
              <w:ind w:left="100"/>
              <w:spacing w:after="0" w:line="156" w:lineRule="exact"/>
              <w:rPr>
                <w:sz w:val="20"/>
                <w:szCs w:val="20"/>
                <w:color w:val="auto"/>
              </w:rPr>
            </w:pPr>
            <w:r>
              <w:rPr>
                <w:rFonts w:ascii="Times New Roman" w:cs="Times New Roman" w:eastAsia="Times New Roman" w:hAnsi="Times New Roman"/>
                <w:sz w:val="14"/>
                <w:szCs w:val="14"/>
                <w:color w:val="auto"/>
              </w:rPr>
              <w:t>10.6</w:t>
            </w:r>
          </w:p>
        </w:tc>
        <w:tc>
          <w:tcPr>
            <w:tcW w:w="840" w:type="dxa"/>
            <w:vAlign w:val="bottom"/>
            <w:gridSpan w:val="2"/>
          </w:tcPr>
          <w:p>
            <w:pPr>
              <w:jc w:val="right"/>
              <w:ind w:right="52"/>
              <w:spacing w:after="0" w:line="156" w:lineRule="exact"/>
              <w:rPr>
                <w:sz w:val="20"/>
                <w:szCs w:val="20"/>
                <w:color w:val="auto"/>
              </w:rPr>
            </w:pPr>
            <w:r>
              <w:rPr>
                <w:rFonts w:ascii="Times New Roman" w:cs="Times New Roman" w:eastAsia="Times New Roman" w:hAnsi="Times New Roman"/>
                <w:sz w:val="14"/>
                <w:szCs w:val="14"/>
                <w:color w:val="auto"/>
              </w:rPr>
              <w:t>10/11/2022</w:t>
            </w:r>
          </w:p>
        </w:tc>
      </w:tr>
      <w:tr>
        <w:trPr>
          <w:trHeight w:val="156"/>
        </w:trPr>
        <w:tc>
          <w:tcPr>
            <w:tcW w:w="7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10.7++</w:t>
            </w:r>
          </w:p>
        </w:tc>
        <w:tc>
          <w:tcPr>
            <w:tcW w:w="754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4"/>
                <w:szCs w:val="14"/>
                <w:color w:val="auto"/>
              </w:rPr>
              <w:t>Form of Director Indemnification Agreement.</w:t>
            </w:r>
          </w:p>
        </w:tc>
        <w:tc>
          <w:tcPr>
            <w:tcW w:w="540" w:type="dxa"/>
            <w:vAlign w:val="bottom"/>
            <w:gridSpan w:val="2"/>
          </w:tcPr>
          <w:p>
            <w:pPr>
              <w:ind w:left="60"/>
              <w:spacing w:after="0" w:line="156" w:lineRule="exact"/>
              <w:rPr>
                <w:sz w:val="20"/>
                <w:szCs w:val="20"/>
                <w:color w:val="auto"/>
              </w:rPr>
            </w:pPr>
            <w:r>
              <w:rPr>
                <w:rFonts w:ascii="Times New Roman" w:cs="Times New Roman" w:eastAsia="Times New Roman" w:hAnsi="Times New Roman"/>
                <w:sz w:val="14"/>
                <w:szCs w:val="14"/>
                <w:color w:val="auto"/>
              </w:rPr>
              <w:t>S-4/A</w:t>
            </w:r>
          </w:p>
        </w:tc>
        <w:tc>
          <w:tcPr>
            <w:tcW w:w="580" w:type="dxa"/>
            <w:vAlign w:val="bottom"/>
            <w:gridSpan w:val="2"/>
          </w:tcPr>
          <w:p>
            <w:pPr>
              <w:ind w:left="100"/>
              <w:spacing w:after="0" w:line="156" w:lineRule="exact"/>
              <w:rPr>
                <w:sz w:val="20"/>
                <w:szCs w:val="20"/>
                <w:color w:val="auto"/>
              </w:rPr>
            </w:pPr>
            <w:r>
              <w:rPr>
                <w:rFonts w:ascii="Times New Roman" w:cs="Times New Roman" w:eastAsia="Times New Roman" w:hAnsi="Times New Roman"/>
                <w:sz w:val="14"/>
                <w:szCs w:val="14"/>
                <w:color w:val="auto"/>
              </w:rPr>
              <w:t>10.10</w:t>
            </w:r>
          </w:p>
        </w:tc>
        <w:tc>
          <w:tcPr>
            <w:tcW w:w="840" w:type="dxa"/>
            <w:vAlign w:val="bottom"/>
            <w:gridSpan w:val="2"/>
          </w:tcPr>
          <w:p>
            <w:pPr>
              <w:jc w:val="right"/>
              <w:ind w:right="52"/>
              <w:spacing w:after="0" w:line="156" w:lineRule="exact"/>
              <w:rPr>
                <w:sz w:val="20"/>
                <w:szCs w:val="20"/>
                <w:color w:val="auto"/>
              </w:rPr>
            </w:pPr>
            <w:r>
              <w:rPr>
                <w:rFonts w:ascii="Times New Roman" w:cs="Times New Roman" w:eastAsia="Times New Roman" w:hAnsi="Times New Roman"/>
                <w:sz w:val="14"/>
                <w:szCs w:val="14"/>
                <w:color w:val="auto"/>
              </w:rPr>
              <w:t>09/14/2022</w:t>
            </w:r>
          </w:p>
        </w:tc>
      </w:tr>
      <w:tr>
        <w:trPr>
          <w:trHeight w:val="157"/>
        </w:trPr>
        <w:tc>
          <w:tcPr>
            <w:tcW w:w="7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10.8</w:t>
            </w:r>
          </w:p>
        </w:tc>
        <w:tc>
          <w:tcPr>
            <w:tcW w:w="7540" w:type="dxa"/>
            <w:vAlign w:val="bottom"/>
            <w:gridSpan w:val="3"/>
          </w:tcPr>
          <w:p>
            <w:pPr>
              <w:ind w:left="100"/>
              <w:spacing w:after="0" w:line="157" w:lineRule="exact"/>
              <w:rPr>
                <w:sz w:val="20"/>
                <w:szCs w:val="20"/>
                <w:color w:val="auto"/>
              </w:rPr>
            </w:pPr>
            <w:r>
              <w:rPr>
                <w:rFonts w:ascii="Times New Roman" w:cs="Times New Roman" w:eastAsia="Times New Roman" w:hAnsi="Times New Roman"/>
                <w:sz w:val="14"/>
                <w:szCs w:val="14"/>
                <w:color w:val="auto"/>
                <w:w w:val="98"/>
              </w:rPr>
              <w:t>Multi-tenant Industrial Triple Net Lease, dated as of March 1, 2021, between Dragonfly Energy Corp. and Icon Reno Property Owner</w:t>
            </w:r>
          </w:p>
        </w:tc>
        <w:tc>
          <w:tcPr>
            <w:tcW w:w="540" w:type="dxa"/>
            <w:vAlign w:val="bottom"/>
            <w:gridSpan w:val="2"/>
          </w:tcPr>
          <w:p>
            <w:pPr>
              <w:ind w:left="60"/>
              <w:spacing w:after="0" w:line="157" w:lineRule="exact"/>
              <w:rPr>
                <w:sz w:val="20"/>
                <w:szCs w:val="20"/>
                <w:color w:val="auto"/>
              </w:rPr>
            </w:pPr>
            <w:r>
              <w:rPr>
                <w:rFonts w:ascii="Times New Roman" w:cs="Times New Roman" w:eastAsia="Times New Roman" w:hAnsi="Times New Roman"/>
                <w:sz w:val="14"/>
                <w:szCs w:val="14"/>
                <w:color w:val="auto"/>
              </w:rPr>
              <w:t>S-4</w:t>
            </w:r>
          </w:p>
        </w:tc>
        <w:tc>
          <w:tcPr>
            <w:tcW w:w="58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4"/>
                <w:szCs w:val="14"/>
                <w:color w:val="auto"/>
              </w:rPr>
              <w:t>10.11</w:t>
            </w:r>
          </w:p>
        </w:tc>
        <w:tc>
          <w:tcPr>
            <w:tcW w:w="840" w:type="dxa"/>
            <w:vAlign w:val="bottom"/>
            <w:gridSpan w:val="2"/>
          </w:tcPr>
          <w:p>
            <w:pPr>
              <w:jc w:val="right"/>
              <w:ind w:right="52"/>
              <w:spacing w:after="0" w:line="157" w:lineRule="exact"/>
              <w:rPr>
                <w:sz w:val="20"/>
                <w:szCs w:val="20"/>
                <w:color w:val="auto"/>
              </w:rPr>
            </w:pPr>
            <w:r>
              <w:rPr>
                <w:rFonts w:ascii="Times New Roman" w:cs="Times New Roman" w:eastAsia="Times New Roman" w:hAnsi="Times New Roman"/>
                <w:sz w:val="14"/>
                <w:szCs w:val="14"/>
                <w:color w:val="auto"/>
              </w:rPr>
              <w:t>07/22/2022</w:t>
            </w:r>
          </w:p>
        </w:tc>
      </w:tr>
      <w:tr>
        <w:trPr>
          <w:trHeight w:val="156"/>
        </w:trPr>
        <w:tc>
          <w:tcPr>
            <w:tcW w:w="740" w:type="dxa"/>
            <w:vAlign w:val="bottom"/>
          </w:tcPr>
          <w:p>
            <w:pPr>
              <w:spacing w:after="0"/>
              <w:rPr>
                <w:sz w:val="13"/>
                <w:szCs w:val="13"/>
                <w:color w:val="auto"/>
              </w:rPr>
            </w:pPr>
          </w:p>
        </w:tc>
        <w:tc>
          <w:tcPr>
            <w:tcW w:w="754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4"/>
                <w:szCs w:val="14"/>
                <w:color w:val="auto"/>
              </w:rPr>
              <w:t>Pool 3 Nevada, LLC.</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1"/>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10.9</w:t>
            </w:r>
          </w:p>
        </w:tc>
        <w:tc>
          <w:tcPr>
            <w:tcW w:w="75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Lease, dated as of February 8, 2022, between Dragonfly Energy Corp. and Prologis, L.P.</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S-4</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10.12</w:t>
            </w:r>
          </w:p>
        </w:tc>
        <w:tc>
          <w:tcPr>
            <w:tcW w:w="8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07/22/2022</w:t>
            </w:r>
          </w:p>
        </w:tc>
      </w:tr>
      <w:tr>
        <w:trPr>
          <w:trHeight w:val="309"/>
        </w:trPr>
        <w:tc>
          <w:tcPr>
            <w:tcW w:w="7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gridSpan w:val="2"/>
          </w:tcPr>
          <w:p>
            <w:pPr>
              <w:ind w:left="4320"/>
              <w:spacing w:after="0"/>
              <w:rPr>
                <w:sz w:val="20"/>
                <w:szCs w:val="20"/>
                <w:color w:val="auto"/>
              </w:rPr>
            </w:pPr>
            <w:r>
              <w:rPr>
                <w:rFonts w:ascii="Times New Roman" w:cs="Times New Roman" w:eastAsia="Times New Roman" w:hAnsi="Times New Roman"/>
                <w:sz w:val="14"/>
                <w:szCs w:val="14"/>
                <w:color w:val="auto"/>
              </w:rPr>
              <w:t>58</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2240" w:h="15840" w:orient="portrait"/>
          <w:cols w:equalWidth="0" w:num="1">
            <w:col w:w="10242"/>
          </w:cols>
          <w:pgMar w:left="998" w:top="1208" w:right="1000" w:bottom="1440" w:gutter="0" w:footer="0" w:header="0"/>
        </w:sectPr>
      </w:pPr>
    </w:p>
    <w:bookmarkStart w:id="62" w:name="page63"/>
    <w:bookmarkEnd w:id="62"/>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Agreement, dated as of October 7, 2022, between Dragonfly Energy Holdings Corp. and Chardan Capital Markets LLC.</w:t>
            </w:r>
          </w:p>
        </w:tc>
        <w:tc>
          <w:tcPr>
            <w:tcW w:w="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10.10</w:t>
            </w:r>
          </w:p>
        </w:tc>
        <w:tc>
          <w:tcPr>
            <w:tcW w:w="76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3"/>
              </w:rPr>
              <w:t>10/11/2022</w:t>
            </w:r>
          </w:p>
        </w:tc>
      </w:tr>
      <w:tr>
        <w:trPr>
          <w:trHeight w:val="157"/>
        </w:trPr>
        <w:tc>
          <w:tcPr>
            <w:tcW w:w="7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10.11</w:t>
            </w:r>
          </w:p>
        </w:tc>
        <w:tc>
          <w:tcPr>
            <w:tcW w:w="75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w w:val="98"/>
              </w:rPr>
              <w:t>Registration Rights Agreement, dated as of October 7, 2022, between Dragonfly Energy Holdings Corp. and Chardan Capital Markets</w:t>
            </w:r>
          </w:p>
        </w:tc>
        <w:tc>
          <w:tcPr>
            <w:tcW w:w="460" w:type="dxa"/>
            <w:vAlign w:val="bottom"/>
          </w:tcPr>
          <w:p>
            <w:pPr>
              <w:ind w:left="60"/>
              <w:spacing w:after="0" w:line="157" w:lineRule="exact"/>
              <w:rPr>
                <w:sz w:val="20"/>
                <w:szCs w:val="20"/>
                <w:color w:val="auto"/>
              </w:rPr>
            </w:pPr>
            <w:r>
              <w:rPr>
                <w:rFonts w:ascii="Times New Roman" w:cs="Times New Roman" w:eastAsia="Times New Roman" w:hAnsi="Times New Roman"/>
                <w:sz w:val="14"/>
                <w:szCs w:val="14"/>
                <w:color w:val="auto"/>
              </w:rPr>
              <w:t>8-K</w:t>
            </w:r>
          </w:p>
        </w:tc>
        <w:tc>
          <w:tcPr>
            <w:tcW w:w="62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color w:val="auto"/>
              </w:rPr>
              <w:t>10.11</w:t>
            </w:r>
          </w:p>
        </w:tc>
        <w:tc>
          <w:tcPr>
            <w:tcW w:w="76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w w:val="93"/>
              </w:rPr>
              <w:t>10/11/2022</w:t>
            </w:r>
          </w:p>
        </w:tc>
      </w:tr>
      <w:tr>
        <w:trPr>
          <w:trHeight w:val="156"/>
        </w:trPr>
        <w:tc>
          <w:tcPr>
            <w:tcW w:w="700" w:type="dxa"/>
            <w:vAlign w:val="bottom"/>
          </w:tcPr>
          <w:p>
            <w:pPr>
              <w:spacing w:after="0"/>
              <w:rPr>
                <w:sz w:val="13"/>
                <w:szCs w:val="13"/>
                <w:color w:val="auto"/>
              </w:rPr>
            </w:pP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LLC.</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10.12</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w w:val="97"/>
              </w:rPr>
              <w:t>Term Loan Agreement, dated as of October 7, 2022, by and among the Dragonfly Energy Holdings Corp., Dragonfly Energy Corp., the</w:t>
            </w:r>
          </w:p>
        </w:tc>
        <w:tc>
          <w:tcPr>
            <w:tcW w:w="460" w:type="dxa"/>
            <w:vAlign w:val="bottom"/>
          </w:tcPr>
          <w:p>
            <w:pPr>
              <w:ind w:left="60"/>
              <w:spacing w:after="0" w:line="156" w:lineRule="exact"/>
              <w:rPr>
                <w:sz w:val="20"/>
                <w:szCs w:val="20"/>
                <w:color w:val="auto"/>
              </w:rPr>
            </w:pPr>
            <w:r>
              <w:rPr>
                <w:rFonts w:ascii="Times New Roman" w:cs="Times New Roman" w:eastAsia="Times New Roman" w:hAnsi="Times New Roman"/>
                <w:sz w:val="14"/>
                <w:szCs w:val="14"/>
                <w:color w:val="auto"/>
              </w:rPr>
              <w:t>8-K</w:t>
            </w:r>
          </w:p>
        </w:tc>
        <w:tc>
          <w:tcPr>
            <w:tcW w:w="62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color w:val="auto"/>
              </w:rPr>
              <w:t>10.12</w:t>
            </w:r>
          </w:p>
        </w:tc>
        <w:tc>
          <w:tcPr>
            <w:tcW w:w="76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w w:val="93"/>
              </w:rPr>
              <w:t>10/11/2022</w:t>
            </w:r>
          </w:p>
        </w:tc>
      </w:tr>
      <w:tr>
        <w:trPr>
          <w:trHeight w:val="156"/>
        </w:trPr>
        <w:tc>
          <w:tcPr>
            <w:tcW w:w="700" w:type="dxa"/>
            <w:vAlign w:val="bottom"/>
          </w:tcPr>
          <w:p>
            <w:pPr>
              <w:spacing w:after="0"/>
              <w:rPr>
                <w:sz w:val="13"/>
                <w:szCs w:val="13"/>
                <w:color w:val="auto"/>
              </w:rPr>
            </w:pP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lenders from time to time party thereto and Alter Domus (US) LLC.</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7"/>
        </w:trPr>
        <w:tc>
          <w:tcPr>
            <w:tcW w:w="7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10.13</w:t>
            </w:r>
          </w:p>
        </w:tc>
        <w:tc>
          <w:tcPr>
            <w:tcW w:w="75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Pledge Agreement, dated as of October 7, 2022, by and among Dragonfly Energy Holdings Corp. and Alter Domus (US) LLC.</w:t>
            </w:r>
          </w:p>
        </w:tc>
        <w:tc>
          <w:tcPr>
            <w:tcW w:w="460" w:type="dxa"/>
            <w:vAlign w:val="bottom"/>
          </w:tcPr>
          <w:p>
            <w:pPr>
              <w:ind w:left="60"/>
              <w:spacing w:after="0" w:line="157" w:lineRule="exact"/>
              <w:rPr>
                <w:sz w:val="20"/>
                <w:szCs w:val="20"/>
                <w:color w:val="auto"/>
              </w:rPr>
            </w:pPr>
            <w:r>
              <w:rPr>
                <w:rFonts w:ascii="Times New Roman" w:cs="Times New Roman" w:eastAsia="Times New Roman" w:hAnsi="Times New Roman"/>
                <w:sz w:val="14"/>
                <w:szCs w:val="14"/>
                <w:color w:val="auto"/>
              </w:rPr>
              <w:t>8-K</w:t>
            </w:r>
          </w:p>
        </w:tc>
        <w:tc>
          <w:tcPr>
            <w:tcW w:w="62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color w:val="auto"/>
              </w:rPr>
              <w:t>10.13</w:t>
            </w:r>
          </w:p>
        </w:tc>
        <w:tc>
          <w:tcPr>
            <w:tcW w:w="76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w w:val="93"/>
              </w:rPr>
              <w:t>10/11/2022</w:t>
            </w: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10.14++</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Employment Agreement, dated as of January 1, 2022, by and between Dragonfly Energy Corp. and Denis Phares.</w:t>
            </w:r>
          </w:p>
        </w:tc>
        <w:tc>
          <w:tcPr>
            <w:tcW w:w="460" w:type="dxa"/>
            <w:vAlign w:val="bottom"/>
          </w:tcPr>
          <w:p>
            <w:pPr>
              <w:ind w:left="60"/>
              <w:spacing w:after="0" w:line="156" w:lineRule="exact"/>
              <w:rPr>
                <w:sz w:val="20"/>
                <w:szCs w:val="20"/>
                <w:color w:val="auto"/>
              </w:rPr>
            </w:pPr>
            <w:r>
              <w:rPr>
                <w:rFonts w:ascii="Times New Roman" w:cs="Times New Roman" w:eastAsia="Times New Roman" w:hAnsi="Times New Roman"/>
                <w:sz w:val="14"/>
                <w:szCs w:val="14"/>
                <w:color w:val="auto"/>
              </w:rPr>
              <w:t>8-K</w:t>
            </w:r>
          </w:p>
        </w:tc>
        <w:tc>
          <w:tcPr>
            <w:tcW w:w="62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color w:val="auto"/>
              </w:rPr>
              <w:t>10.14</w:t>
            </w:r>
          </w:p>
        </w:tc>
        <w:tc>
          <w:tcPr>
            <w:tcW w:w="76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w w:val="93"/>
              </w:rPr>
              <w:t>10/11/2022</w:t>
            </w: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10.15++</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Amendment to Employment Agreement, dated as of May 15, 2022, by and between Dragonfly Energy Corp. and Denis Phares.</w:t>
            </w:r>
          </w:p>
        </w:tc>
        <w:tc>
          <w:tcPr>
            <w:tcW w:w="460" w:type="dxa"/>
            <w:vAlign w:val="bottom"/>
          </w:tcPr>
          <w:p>
            <w:pPr>
              <w:ind w:left="60"/>
              <w:spacing w:after="0" w:line="156" w:lineRule="exact"/>
              <w:rPr>
                <w:sz w:val="20"/>
                <w:szCs w:val="20"/>
                <w:color w:val="auto"/>
              </w:rPr>
            </w:pPr>
            <w:r>
              <w:rPr>
                <w:rFonts w:ascii="Times New Roman" w:cs="Times New Roman" w:eastAsia="Times New Roman" w:hAnsi="Times New Roman"/>
                <w:sz w:val="14"/>
                <w:szCs w:val="14"/>
                <w:color w:val="auto"/>
              </w:rPr>
              <w:t>8-K</w:t>
            </w:r>
          </w:p>
        </w:tc>
        <w:tc>
          <w:tcPr>
            <w:tcW w:w="62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color w:val="auto"/>
              </w:rPr>
              <w:t>10.15</w:t>
            </w:r>
          </w:p>
        </w:tc>
        <w:tc>
          <w:tcPr>
            <w:tcW w:w="76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w w:val="93"/>
              </w:rPr>
              <w:t>10/11/2022</w:t>
            </w:r>
          </w:p>
        </w:tc>
      </w:tr>
      <w:tr>
        <w:trPr>
          <w:trHeight w:val="157"/>
        </w:trPr>
        <w:tc>
          <w:tcPr>
            <w:tcW w:w="7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10.16++</w:t>
            </w:r>
          </w:p>
        </w:tc>
        <w:tc>
          <w:tcPr>
            <w:tcW w:w="75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Employment Agreement, dated as of January 1, 2022, by and between Dragonfly Energy Corp. and Sean Nichols.</w:t>
            </w:r>
          </w:p>
        </w:tc>
        <w:tc>
          <w:tcPr>
            <w:tcW w:w="460" w:type="dxa"/>
            <w:vAlign w:val="bottom"/>
          </w:tcPr>
          <w:p>
            <w:pPr>
              <w:ind w:left="60"/>
              <w:spacing w:after="0" w:line="157" w:lineRule="exact"/>
              <w:rPr>
                <w:sz w:val="20"/>
                <w:szCs w:val="20"/>
                <w:color w:val="auto"/>
              </w:rPr>
            </w:pPr>
            <w:r>
              <w:rPr>
                <w:rFonts w:ascii="Times New Roman" w:cs="Times New Roman" w:eastAsia="Times New Roman" w:hAnsi="Times New Roman"/>
                <w:sz w:val="14"/>
                <w:szCs w:val="14"/>
                <w:color w:val="auto"/>
              </w:rPr>
              <w:t>8-K</w:t>
            </w:r>
          </w:p>
        </w:tc>
        <w:tc>
          <w:tcPr>
            <w:tcW w:w="62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color w:val="auto"/>
              </w:rPr>
              <w:t>10.16</w:t>
            </w:r>
          </w:p>
        </w:tc>
        <w:tc>
          <w:tcPr>
            <w:tcW w:w="76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w w:val="93"/>
              </w:rPr>
              <w:t>10/11/2022</w:t>
            </w: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10.17++</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Amendment to Employment Agreement, dated as of May 15, 2022, by and between Dragonfly Energy Corp. and Sean Nichols.</w:t>
            </w:r>
          </w:p>
        </w:tc>
        <w:tc>
          <w:tcPr>
            <w:tcW w:w="460" w:type="dxa"/>
            <w:vAlign w:val="bottom"/>
          </w:tcPr>
          <w:p>
            <w:pPr>
              <w:ind w:left="60"/>
              <w:spacing w:after="0" w:line="156" w:lineRule="exact"/>
              <w:rPr>
                <w:sz w:val="20"/>
                <w:szCs w:val="20"/>
                <w:color w:val="auto"/>
              </w:rPr>
            </w:pPr>
            <w:r>
              <w:rPr>
                <w:rFonts w:ascii="Times New Roman" w:cs="Times New Roman" w:eastAsia="Times New Roman" w:hAnsi="Times New Roman"/>
                <w:sz w:val="14"/>
                <w:szCs w:val="14"/>
                <w:color w:val="auto"/>
              </w:rPr>
              <w:t>8-K</w:t>
            </w:r>
          </w:p>
        </w:tc>
        <w:tc>
          <w:tcPr>
            <w:tcW w:w="62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color w:val="auto"/>
              </w:rPr>
              <w:t>10.17</w:t>
            </w:r>
          </w:p>
        </w:tc>
        <w:tc>
          <w:tcPr>
            <w:tcW w:w="76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w w:val="93"/>
              </w:rPr>
              <w:t>10/11/2022</w:t>
            </w: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10.18++</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Employment Agreement, dated as of August 17, 2021, by and between Dragonfly Energy Corp. and John Marchetti.</w:t>
            </w:r>
          </w:p>
        </w:tc>
        <w:tc>
          <w:tcPr>
            <w:tcW w:w="460" w:type="dxa"/>
            <w:vAlign w:val="bottom"/>
          </w:tcPr>
          <w:p>
            <w:pPr>
              <w:ind w:left="60"/>
              <w:spacing w:after="0" w:line="156" w:lineRule="exact"/>
              <w:rPr>
                <w:sz w:val="20"/>
                <w:szCs w:val="20"/>
                <w:color w:val="auto"/>
              </w:rPr>
            </w:pPr>
            <w:r>
              <w:rPr>
                <w:rFonts w:ascii="Times New Roman" w:cs="Times New Roman" w:eastAsia="Times New Roman" w:hAnsi="Times New Roman"/>
                <w:sz w:val="14"/>
                <w:szCs w:val="14"/>
                <w:color w:val="auto"/>
              </w:rPr>
              <w:t>8-K</w:t>
            </w:r>
          </w:p>
        </w:tc>
        <w:tc>
          <w:tcPr>
            <w:tcW w:w="62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color w:val="auto"/>
              </w:rPr>
              <w:t>10.18</w:t>
            </w:r>
          </w:p>
        </w:tc>
        <w:tc>
          <w:tcPr>
            <w:tcW w:w="760" w:type="dxa"/>
            <w:vAlign w:val="bottom"/>
          </w:tcPr>
          <w:p>
            <w:pPr>
              <w:ind w:left="160"/>
              <w:spacing w:after="0" w:line="156" w:lineRule="exact"/>
              <w:rPr>
                <w:sz w:val="20"/>
                <w:szCs w:val="20"/>
                <w:color w:val="auto"/>
              </w:rPr>
            </w:pPr>
            <w:r>
              <w:rPr>
                <w:rFonts w:ascii="Times New Roman" w:cs="Times New Roman" w:eastAsia="Times New Roman" w:hAnsi="Times New Roman"/>
                <w:sz w:val="14"/>
                <w:szCs w:val="14"/>
                <w:color w:val="auto"/>
                <w:w w:val="90"/>
              </w:rPr>
              <w:t>10/11/2022</w:t>
            </w:r>
          </w:p>
        </w:tc>
      </w:tr>
      <w:tr>
        <w:trPr>
          <w:trHeight w:val="157"/>
        </w:trPr>
        <w:tc>
          <w:tcPr>
            <w:tcW w:w="7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10.19++</w:t>
            </w:r>
          </w:p>
        </w:tc>
        <w:tc>
          <w:tcPr>
            <w:tcW w:w="75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Dragonfly Energy Corp. 2019 Stock Incentive Plan.</w:t>
            </w:r>
          </w:p>
        </w:tc>
        <w:tc>
          <w:tcPr>
            <w:tcW w:w="460" w:type="dxa"/>
            <w:vAlign w:val="bottom"/>
          </w:tcPr>
          <w:p>
            <w:pPr>
              <w:ind w:left="60"/>
              <w:spacing w:after="0" w:line="157" w:lineRule="exact"/>
              <w:rPr>
                <w:sz w:val="20"/>
                <w:szCs w:val="20"/>
                <w:color w:val="auto"/>
              </w:rPr>
            </w:pPr>
            <w:r>
              <w:rPr>
                <w:rFonts w:ascii="Times New Roman" w:cs="Times New Roman" w:eastAsia="Times New Roman" w:hAnsi="Times New Roman"/>
                <w:sz w:val="14"/>
                <w:szCs w:val="14"/>
                <w:color w:val="auto"/>
              </w:rPr>
              <w:t>8-K</w:t>
            </w:r>
          </w:p>
        </w:tc>
        <w:tc>
          <w:tcPr>
            <w:tcW w:w="62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color w:val="auto"/>
              </w:rPr>
              <w:t>10.19</w:t>
            </w:r>
          </w:p>
        </w:tc>
        <w:tc>
          <w:tcPr>
            <w:tcW w:w="76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w w:val="93"/>
              </w:rPr>
              <w:t>10/11/2022</w:t>
            </w: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10.20++</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Dragonfly Energy Corp. 2021 Stock Incentive Plan.</w:t>
            </w:r>
          </w:p>
        </w:tc>
        <w:tc>
          <w:tcPr>
            <w:tcW w:w="460" w:type="dxa"/>
            <w:vAlign w:val="bottom"/>
          </w:tcPr>
          <w:p>
            <w:pPr>
              <w:ind w:left="60"/>
              <w:spacing w:after="0" w:line="156" w:lineRule="exact"/>
              <w:rPr>
                <w:sz w:val="20"/>
                <w:szCs w:val="20"/>
                <w:color w:val="auto"/>
              </w:rPr>
            </w:pPr>
            <w:r>
              <w:rPr>
                <w:rFonts w:ascii="Times New Roman" w:cs="Times New Roman" w:eastAsia="Times New Roman" w:hAnsi="Times New Roman"/>
                <w:sz w:val="14"/>
                <w:szCs w:val="14"/>
                <w:color w:val="auto"/>
              </w:rPr>
              <w:t>8-K</w:t>
            </w:r>
          </w:p>
        </w:tc>
        <w:tc>
          <w:tcPr>
            <w:tcW w:w="62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color w:val="auto"/>
              </w:rPr>
              <w:t>10.20</w:t>
            </w:r>
          </w:p>
        </w:tc>
        <w:tc>
          <w:tcPr>
            <w:tcW w:w="76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w w:val="93"/>
              </w:rPr>
              <w:t>10/11/2022</w:t>
            </w: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10.21</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w w:val="98"/>
              </w:rPr>
              <w:t>Amended and Restated Registration Rights Agreement, dated as of October 7, 2022, by and among Dragonfly Energy Holdings Corp.</w:t>
            </w:r>
          </w:p>
        </w:tc>
        <w:tc>
          <w:tcPr>
            <w:tcW w:w="460" w:type="dxa"/>
            <w:vAlign w:val="bottom"/>
          </w:tcPr>
          <w:p>
            <w:pPr>
              <w:ind w:left="60"/>
              <w:spacing w:after="0" w:line="156" w:lineRule="exact"/>
              <w:rPr>
                <w:sz w:val="20"/>
                <w:szCs w:val="20"/>
                <w:color w:val="auto"/>
              </w:rPr>
            </w:pPr>
            <w:r>
              <w:rPr>
                <w:rFonts w:ascii="Times New Roman" w:cs="Times New Roman" w:eastAsia="Times New Roman" w:hAnsi="Times New Roman"/>
                <w:sz w:val="14"/>
                <w:szCs w:val="14"/>
                <w:color w:val="auto"/>
              </w:rPr>
              <w:t>8-K</w:t>
            </w:r>
          </w:p>
        </w:tc>
        <w:tc>
          <w:tcPr>
            <w:tcW w:w="62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color w:val="auto"/>
              </w:rPr>
              <w:t>10.21</w:t>
            </w:r>
          </w:p>
        </w:tc>
        <w:tc>
          <w:tcPr>
            <w:tcW w:w="76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w w:val="93"/>
              </w:rPr>
              <w:t>10/11/2022</w:t>
            </w:r>
          </w:p>
        </w:tc>
      </w:tr>
      <w:tr>
        <w:trPr>
          <w:trHeight w:val="156"/>
        </w:trPr>
        <w:tc>
          <w:tcPr>
            <w:tcW w:w="700" w:type="dxa"/>
            <w:vAlign w:val="bottom"/>
          </w:tcPr>
          <w:p>
            <w:pPr>
              <w:spacing w:after="0"/>
              <w:rPr>
                <w:sz w:val="13"/>
                <w:szCs w:val="13"/>
                <w:color w:val="auto"/>
              </w:rPr>
            </w:pP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and each of the stockholders thereto.</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7"/>
        </w:trPr>
        <w:tc>
          <w:tcPr>
            <w:tcW w:w="7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10.22++</w:t>
            </w:r>
          </w:p>
        </w:tc>
        <w:tc>
          <w:tcPr>
            <w:tcW w:w="75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Director Compensation Policy.</w:t>
            </w:r>
          </w:p>
        </w:tc>
        <w:tc>
          <w:tcPr>
            <w:tcW w:w="460" w:type="dxa"/>
            <w:vAlign w:val="bottom"/>
          </w:tcPr>
          <w:p>
            <w:pPr>
              <w:ind w:left="60"/>
              <w:spacing w:after="0" w:line="157" w:lineRule="exact"/>
              <w:rPr>
                <w:sz w:val="20"/>
                <w:szCs w:val="20"/>
                <w:color w:val="auto"/>
              </w:rPr>
            </w:pPr>
            <w:r>
              <w:rPr>
                <w:rFonts w:ascii="Times New Roman" w:cs="Times New Roman" w:eastAsia="Times New Roman" w:hAnsi="Times New Roman"/>
                <w:sz w:val="14"/>
                <w:szCs w:val="14"/>
                <w:color w:val="auto"/>
              </w:rPr>
              <w:t>S-1</w:t>
            </w:r>
          </w:p>
        </w:tc>
        <w:tc>
          <w:tcPr>
            <w:tcW w:w="62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color w:val="auto"/>
              </w:rPr>
              <w:t>10.22</w:t>
            </w:r>
          </w:p>
        </w:tc>
        <w:tc>
          <w:tcPr>
            <w:tcW w:w="76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11/4/2022</w:t>
            </w: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10.23++</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Employment Agreement, dated as of October 11, 2022, by and between Dragonfly Energy Holdings Corp. and Denis Phares.</w:t>
            </w:r>
          </w:p>
        </w:tc>
        <w:tc>
          <w:tcPr>
            <w:tcW w:w="460" w:type="dxa"/>
            <w:vAlign w:val="bottom"/>
          </w:tcPr>
          <w:p>
            <w:pPr>
              <w:ind w:left="60"/>
              <w:spacing w:after="0" w:line="156" w:lineRule="exact"/>
              <w:rPr>
                <w:sz w:val="20"/>
                <w:szCs w:val="20"/>
                <w:color w:val="auto"/>
              </w:rPr>
            </w:pPr>
            <w:r>
              <w:rPr>
                <w:rFonts w:ascii="Times New Roman" w:cs="Times New Roman" w:eastAsia="Times New Roman" w:hAnsi="Times New Roman"/>
                <w:sz w:val="14"/>
                <w:szCs w:val="14"/>
                <w:color w:val="auto"/>
              </w:rPr>
              <w:t>S-1</w:t>
            </w:r>
          </w:p>
        </w:tc>
        <w:tc>
          <w:tcPr>
            <w:tcW w:w="62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color w:val="auto"/>
              </w:rPr>
              <w:t>10.23</w:t>
            </w:r>
          </w:p>
        </w:tc>
        <w:tc>
          <w:tcPr>
            <w:tcW w:w="76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11/4/2022</w:t>
            </w: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10.24++</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Employment Agreement, dated as of October 11, 2022, by and between Dragonfly Energy Holdings Corp. and John Marchetti.</w:t>
            </w:r>
          </w:p>
        </w:tc>
        <w:tc>
          <w:tcPr>
            <w:tcW w:w="460" w:type="dxa"/>
            <w:vAlign w:val="bottom"/>
          </w:tcPr>
          <w:p>
            <w:pPr>
              <w:ind w:left="60"/>
              <w:spacing w:after="0" w:line="156" w:lineRule="exact"/>
              <w:rPr>
                <w:sz w:val="20"/>
                <w:szCs w:val="20"/>
                <w:color w:val="auto"/>
              </w:rPr>
            </w:pPr>
            <w:r>
              <w:rPr>
                <w:rFonts w:ascii="Times New Roman" w:cs="Times New Roman" w:eastAsia="Times New Roman" w:hAnsi="Times New Roman"/>
                <w:sz w:val="14"/>
                <w:szCs w:val="14"/>
                <w:color w:val="auto"/>
              </w:rPr>
              <w:t>S-1</w:t>
            </w:r>
          </w:p>
        </w:tc>
        <w:tc>
          <w:tcPr>
            <w:tcW w:w="62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color w:val="auto"/>
              </w:rPr>
              <w:t>10.24</w:t>
            </w:r>
          </w:p>
        </w:tc>
        <w:tc>
          <w:tcPr>
            <w:tcW w:w="76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11/4/2022</w:t>
            </w:r>
          </w:p>
        </w:tc>
      </w:tr>
      <w:tr>
        <w:trPr>
          <w:trHeight w:val="157"/>
        </w:trPr>
        <w:tc>
          <w:tcPr>
            <w:tcW w:w="7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10.25++</w:t>
            </w:r>
          </w:p>
        </w:tc>
        <w:tc>
          <w:tcPr>
            <w:tcW w:w="75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w w:val="97"/>
              </w:rPr>
              <w:t>First Amended and Restated Employment Agreement, dated February 24, 2023, by and between Dragonfly Energy Holdings Corp. and</w:t>
            </w:r>
          </w:p>
        </w:tc>
        <w:tc>
          <w:tcPr>
            <w:tcW w:w="460" w:type="dxa"/>
            <w:vAlign w:val="bottom"/>
          </w:tcPr>
          <w:p>
            <w:pPr>
              <w:ind w:left="60"/>
              <w:spacing w:after="0" w:line="157" w:lineRule="exact"/>
              <w:rPr>
                <w:sz w:val="20"/>
                <w:szCs w:val="20"/>
                <w:color w:val="auto"/>
              </w:rPr>
            </w:pPr>
            <w:r>
              <w:rPr>
                <w:rFonts w:ascii="Times New Roman" w:cs="Times New Roman" w:eastAsia="Times New Roman" w:hAnsi="Times New Roman"/>
                <w:sz w:val="14"/>
                <w:szCs w:val="14"/>
                <w:color w:val="auto"/>
              </w:rPr>
              <w:t>8-K</w:t>
            </w:r>
          </w:p>
        </w:tc>
        <w:tc>
          <w:tcPr>
            <w:tcW w:w="62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color w:val="auto"/>
              </w:rPr>
              <w:t>10.1</w:t>
            </w:r>
          </w:p>
        </w:tc>
        <w:tc>
          <w:tcPr>
            <w:tcW w:w="76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w w:val="93"/>
              </w:rPr>
              <w:t>03/02/2023</w:t>
            </w:r>
          </w:p>
        </w:tc>
      </w:tr>
      <w:tr>
        <w:trPr>
          <w:trHeight w:val="156"/>
        </w:trPr>
        <w:tc>
          <w:tcPr>
            <w:tcW w:w="700" w:type="dxa"/>
            <w:vAlign w:val="bottom"/>
          </w:tcPr>
          <w:p>
            <w:pPr>
              <w:spacing w:after="0"/>
              <w:rPr>
                <w:sz w:val="13"/>
                <w:szCs w:val="13"/>
                <w:color w:val="auto"/>
              </w:rPr>
            </w:pP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John Marchetti.</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10.26*</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Separation Agreement by and between Dragonfly Energy Holdings Corp. and Sean Nichols, dated October 25, 2022.</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10.27*</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w w:val="98"/>
              </w:rPr>
              <w:t>First Amendment to Separation Agreement by and between Dragonfly Energy Holdings Corp. and Sean Nichols, dated November 14,</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7"/>
        </w:trPr>
        <w:tc>
          <w:tcPr>
            <w:tcW w:w="700" w:type="dxa"/>
            <w:vAlign w:val="bottom"/>
          </w:tcPr>
          <w:p>
            <w:pPr>
              <w:spacing w:after="0"/>
              <w:rPr>
                <w:sz w:val="13"/>
                <w:szCs w:val="13"/>
                <w:color w:val="auto"/>
              </w:rPr>
            </w:pPr>
          </w:p>
        </w:tc>
        <w:tc>
          <w:tcPr>
            <w:tcW w:w="75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2022.</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10.28*</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w w:val="99"/>
              </w:rPr>
              <w:t>Asset Purchase Agreement, dated April 22, 2022, by and among Dragonfly Energy Corp., Thomason Jones Company, LLC, William</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rPr>
                <w:sz w:val="13"/>
                <w:szCs w:val="13"/>
                <w:color w:val="auto"/>
              </w:rPr>
            </w:pP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Thomason and Richard Jones.</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7"/>
        </w:trPr>
        <w:tc>
          <w:tcPr>
            <w:tcW w:w="7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10.29*</w:t>
            </w:r>
          </w:p>
        </w:tc>
        <w:tc>
          <w:tcPr>
            <w:tcW w:w="75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Manufacturing Supply Agreement, dated November 19, 2021, by and between Dragonfly Energy Holdings Corp. and Keystone RV</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rPr>
                <w:sz w:val="13"/>
                <w:szCs w:val="13"/>
                <w:color w:val="auto"/>
              </w:rPr>
            </w:pP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Company.</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10.30*</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Asset Purchase Agreement, dated January 1, 2022, by and between Dragonfly Energy Holdings Corp. and Bourns Productions, Inc.</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10.31*</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w w:val="97"/>
              </w:rPr>
              <w:t>Assignment and Assumption Agreement, dated January 1, 2022, by and between Dragonfly Energy Corp. and Bourns Productions, Inc.</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7"/>
        </w:trPr>
        <w:tc>
          <w:tcPr>
            <w:tcW w:w="7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10.32*</w:t>
            </w:r>
          </w:p>
        </w:tc>
        <w:tc>
          <w:tcPr>
            <w:tcW w:w="75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w w:val="98"/>
              </w:rPr>
              <w:t>Assignment and Assumption of Lease Agreement, dated January 1, 2022, by and among Dragonfly Energy Corp., Bourns Productions,</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rPr>
                <w:sz w:val="13"/>
                <w:szCs w:val="13"/>
                <w:color w:val="auto"/>
              </w:rPr>
            </w:pP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Inc. and Los Angeles &amp; Steel Co.</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10.33*</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w w:val="98"/>
              </w:rPr>
              <w:t>Research and Development Lab Lease, dated April 25, 2019, by and between Dragonfly Energy Corp. and BRE RS Greg Park Owner</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7"/>
        </w:trPr>
        <w:tc>
          <w:tcPr>
            <w:tcW w:w="700" w:type="dxa"/>
            <w:vAlign w:val="bottom"/>
          </w:tcPr>
          <w:p>
            <w:pPr>
              <w:spacing w:after="0"/>
              <w:rPr>
                <w:sz w:val="13"/>
                <w:szCs w:val="13"/>
                <w:color w:val="auto"/>
              </w:rPr>
            </w:pPr>
          </w:p>
        </w:tc>
        <w:tc>
          <w:tcPr>
            <w:tcW w:w="75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LLC.</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10.34*</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w w:val="97"/>
              </w:rPr>
              <w:t>Amendment No. 1 to Research and Lab Lease, dated March 12, 2020, by and between Dragonfly Energy Corp. and DRE RS Greg Park</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rPr>
                <w:sz w:val="13"/>
                <w:szCs w:val="13"/>
                <w:color w:val="auto"/>
              </w:rPr>
            </w:pP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Owner LLC.</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10.35*</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w w:val="99"/>
              </w:rPr>
              <w:t>Amendment No. 2 to Research and Lab Lease, dated July 27, 2020, by and between Dragonfly Energy Corp. and DRE RS Greg Park</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7"/>
        </w:trPr>
        <w:tc>
          <w:tcPr>
            <w:tcW w:w="700" w:type="dxa"/>
            <w:vAlign w:val="bottom"/>
          </w:tcPr>
          <w:p>
            <w:pPr>
              <w:spacing w:after="0"/>
              <w:rPr>
                <w:sz w:val="13"/>
                <w:szCs w:val="13"/>
                <w:color w:val="auto"/>
              </w:rPr>
            </w:pPr>
          </w:p>
        </w:tc>
        <w:tc>
          <w:tcPr>
            <w:tcW w:w="75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Owner LLC.</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10.36*</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Amendment No. 3 to Research and Lab Lease, dated August 26, 2020, by and between Dragonfly Energy Corp. and DRE RS Greg</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rPr>
                <w:sz w:val="13"/>
                <w:szCs w:val="13"/>
                <w:color w:val="auto"/>
              </w:rPr>
            </w:pP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Park Owner LLC.</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7"/>
        </w:trPr>
        <w:tc>
          <w:tcPr>
            <w:tcW w:w="7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10.37*</w:t>
            </w:r>
          </w:p>
        </w:tc>
        <w:tc>
          <w:tcPr>
            <w:tcW w:w="75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w w:val="98"/>
              </w:rPr>
              <w:t>Amendment No. 4 to Research and Lab Lease, dated December 16, 2020, by and between Dragonfly Energy Corp. and BRS RS Greg</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rPr>
                <w:sz w:val="13"/>
                <w:szCs w:val="13"/>
                <w:color w:val="auto"/>
              </w:rPr>
            </w:pP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Park Owner LLC.</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10.38*</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Amendment No. 5 to Research and Lab Lease, dated January 28, 2022, by and between Dragonfly Energy Corp. and BRS RS Greg</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rPr>
                <w:sz w:val="13"/>
                <w:szCs w:val="13"/>
                <w:color w:val="auto"/>
              </w:rPr>
            </w:pP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Park Owner LLC.</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7"/>
        </w:trPr>
        <w:tc>
          <w:tcPr>
            <w:tcW w:w="7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10.39</w:t>
            </w:r>
          </w:p>
        </w:tc>
        <w:tc>
          <w:tcPr>
            <w:tcW w:w="75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Limited Waiver, dated as of March 29, 2023, to the Term Loan, Guarantee and Security Agreement, dated as of October 7, 2022, by</w:t>
            </w:r>
          </w:p>
        </w:tc>
        <w:tc>
          <w:tcPr>
            <w:tcW w:w="460" w:type="dxa"/>
            <w:vAlign w:val="bottom"/>
          </w:tcPr>
          <w:p>
            <w:pPr>
              <w:ind w:left="60"/>
              <w:spacing w:after="0" w:line="157" w:lineRule="exact"/>
              <w:rPr>
                <w:sz w:val="20"/>
                <w:szCs w:val="20"/>
                <w:color w:val="auto"/>
              </w:rPr>
            </w:pPr>
            <w:r>
              <w:rPr>
                <w:rFonts w:ascii="Times New Roman" w:cs="Times New Roman" w:eastAsia="Times New Roman" w:hAnsi="Times New Roman"/>
                <w:sz w:val="14"/>
                <w:szCs w:val="14"/>
                <w:color w:val="auto"/>
              </w:rPr>
              <w:t>8-K</w:t>
            </w:r>
          </w:p>
        </w:tc>
        <w:tc>
          <w:tcPr>
            <w:tcW w:w="62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color w:val="auto"/>
              </w:rPr>
              <w:t>10.1</w:t>
            </w:r>
          </w:p>
        </w:tc>
        <w:tc>
          <w:tcPr>
            <w:tcW w:w="76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w w:val="93"/>
              </w:rPr>
              <w:t>03/29/2023</w:t>
            </w:r>
          </w:p>
        </w:tc>
      </w:tr>
      <w:tr>
        <w:trPr>
          <w:trHeight w:val="156"/>
        </w:trPr>
        <w:tc>
          <w:tcPr>
            <w:tcW w:w="700" w:type="dxa"/>
            <w:vAlign w:val="bottom"/>
          </w:tcPr>
          <w:p>
            <w:pPr>
              <w:spacing w:after="0"/>
              <w:rPr>
                <w:sz w:val="13"/>
                <w:szCs w:val="13"/>
                <w:color w:val="auto"/>
              </w:rPr>
            </w:pP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w w:val="99"/>
              </w:rPr>
              <w:t>and among Dragonfly Energy Holdings Corp., Dragonfly Energy Corp., the lenders from time to time party thereto and Alter Domus</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rPr>
                <w:sz w:val="13"/>
                <w:szCs w:val="13"/>
                <w:color w:val="auto"/>
              </w:rPr>
            </w:pP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(US) LLC.</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7"/>
        </w:trPr>
        <w:tc>
          <w:tcPr>
            <w:tcW w:w="7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21.1</w:t>
            </w:r>
          </w:p>
        </w:tc>
        <w:tc>
          <w:tcPr>
            <w:tcW w:w="75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List of Subsidiaries.</w:t>
            </w:r>
          </w:p>
        </w:tc>
        <w:tc>
          <w:tcPr>
            <w:tcW w:w="460" w:type="dxa"/>
            <w:vAlign w:val="bottom"/>
          </w:tcPr>
          <w:p>
            <w:pPr>
              <w:ind w:left="60"/>
              <w:spacing w:after="0" w:line="157" w:lineRule="exact"/>
              <w:rPr>
                <w:sz w:val="20"/>
                <w:szCs w:val="20"/>
                <w:color w:val="auto"/>
              </w:rPr>
            </w:pPr>
            <w:r>
              <w:rPr>
                <w:rFonts w:ascii="Times New Roman" w:cs="Times New Roman" w:eastAsia="Times New Roman" w:hAnsi="Times New Roman"/>
                <w:sz w:val="14"/>
                <w:szCs w:val="14"/>
                <w:color w:val="auto"/>
              </w:rPr>
              <w:t>8-K</w:t>
            </w:r>
          </w:p>
        </w:tc>
        <w:tc>
          <w:tcPr>
            <w:tcW w:w="62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color w:val="auto"/>
              </w:rPr>
              <w:t>21.1</w:t>
            </w:r>
          </w:p>
        </w:tc>
        <w:tc>
          <w:tcPr>
            <w:tcW w:w="76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w w:val="93"/>
              </w:rPr>
              <w:t>10/11/2022</w:t>
            </w: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23.1*</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Consent of BDO USA, LLP.</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31.1*</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w w:val="99"/>
              </w:rPr>
              <w:t>Certification of Principal Executive Officer Required Under Rule 13a-14(a) and 15d-14(a) of the Securities Exchange Act of 1934, as</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rPr>
                <w:sz w:val="13"/>
                <w:szCs w:val="13"/>
                <w:color w:val="auto"/>
              </w:rPr>
            </w:pP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amended.</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7"/>
        </w:trPr>
        <w:tc>
          <w:tcPr>
            <w:tcW w:w="7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31.2*</w:t>
            </w:r>
          </w:p>
        </w:tc>
        <w:tc>
          <w:tcPr>
            <w:tcW w:w="75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w w:val="99"/>
              </w:rPr>
              <w:t>Certification of Principal Financial Officer Required Under Rule 13a-14(a) and 15d-14(a) of the Securities Exchange Act of 1934, as</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rPr>
                <w:sz w:val="13"/>
                <w:szCs w:val="13"/>
                <w:color w:val="auto"/>
              </w:rPr>
            </w:pP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amended.</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32.1**</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w w:val="99"/>
              </w:rPr>
              <w:t>Certification of Chief Executive Officer Required Under Rule 13a-14(b) of the Securities Exchange Act of 1934, as amended, and 18</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7"/>
        </w:trPr>
        <w:tc>
          <w:tcPr>
            <w:tcW w:w="700" w:type="dxa"/>
            <w:vAlign w:val="bottom"/>
          </w:tcPr>
          <w:p>
            <w:pPr>
              <w:spacing w:after="0"/>
              <w:rPr>
                <w:sz w:val="13"/>
                <w:szCs w:val="13"/>
                <w:color w:val="auto"/>
              </w:rPr>
            </w:pPr>
          </w:p>
        </w:tc>
        <w:tc>
          <w:tcPr>
            <w:tcW w:w="75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U.S.C. §1350.</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101.INS*</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Inline XBRL Instance Document.</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101.SCH*</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7"/>
        </w:trPr>
        <w:tc>
          <w:tcPr>
            <w:tcW w:w="7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101.CAL*</w:t>
            </w:r>
          </w:p>
        </w:tc>
        <w:tc>
          <w:tcPr>
            <w:tcW w:w="75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101.DEF*</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101.LAB*</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101.PRE*</w:t>
            </w:r>
          </w:p>
        </w:tc>
        <w:tc>
          <w:tcPr>
            <w:tcW w:w="75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1"/>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pacing w:after="0" w:line="132" w:lineRule="exact"/>
        <w:rPr>
          <w:sz w:val="20"/>
          <w:szCs w:val="20"/>
          <w:color w:val="auto"/>
        </w:rPr>
      </w:pPr>
    </w:p>
    <w:p>
      <w:pPr>
        <w:ind w:left="242" w:hanging="242"/>
        <w:spacing w:after="0"/>
        <w:tabs>
          <w:tab w:leader="none" w:pos="24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4" w:lineRule="exact"/>
        <w:rPr>
          <w:rFonts w:ascii="Times New Roman" w:cs="Times New Roman" w:eastAsia="Times New Roman" w:hAnsi="Times New Roman"/>
          <w:sz w:val="14"/>
          <w:szCs w:val="14"/>
          <w:color w:val="auto"/>
        </w:rPr>
      </w:pPr>
    </w:p>
    <w:p>
      <w:pPr>
        <w:ind w:left="242" w:hanging="242"/>
        <w:spacing w:after="0" w:line="234" w:lineRule="auto"/>
        <w:tabs>
          <w:tab w:leader="none" w:pos="24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ind w:left="242" w:hanging="242"/>
        <w:spacing w:after="0"/>
        <w:tabs>
          <w:tab w:leader="none" w:pos="242"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Portions of schedules and exhibits to the agreement have been omitted pursuant to Item 601(b)(2) of Regulation S-K. A copy of any omitted schedule and/or exhibit will be furnished</w:t>
      </w:r>
    </w:p>
    <w:p>
      <w:pPr>
        <w:spacing w:after="0" w:line="13" w:lineRule="exact"/>
        <w:rPr>
          <w:sz w:val="20"/>
          <w:szCs w:val="20"/>
          <w:color w:val="auto"/>
        </w:rPr>
      </w:pPr>
    </w:p>
    <w:p>
      <w:pPr>
        <w:ind w:left="242"/>
        <w:spacing w:after="0"/>
        <w:rPr>
          <w:sz w:val="20"/>
          <w:szCs w:val="20"/>
          <w:color w:val="auto"/>
        </w:rPr>
      </w:pPr>
      <w:r>
        <w:rPr>
          <w:rFonts w:ascii="Times New Roman" w:cs="Times New Roman" w:eastAsia="Times New Roman" w:hAnsi="Times New Roman"/>
          <w:sz w:val="14"/>
          <w:szCs w:val="14"/>
          <w:color w:val="auto"/>
        </w:rPr>
        <w:t>to the Securities and Exchange Commission upon request.</w:t>
      </w:r>
    </w:p>
    <w:p>
      <w:pPr>
        <w:ind w:left="2"/>
        <w:spacing w:after="0"/>
        <w:rPr>
          <w:sz w:val="20"/>
          <w:szCs w:val="20"/>
          <w:color w:val="auto"/>
        </w:rPr>
      </w:pPr>
      <w:r>
        <w:rPr>
          <w:rFonts w:ascii="Times New Roman" w:cs="Times New Roman" w:eastAsia="Times New Roman" w:hAnsi="Times New Roman"/>
          <w:sz w:val="14"/>
          <w:szCs w:val="14"/>
          <w:color w:val="auto"/>
        </w:rPr>
        <w:t>++  Indicates a management contract or compensatory plan.</w:t>
      </w:r>
    </w:p>
    <w:p>
      <w:pPr>
        <w:spacing w:after="0" w:line="1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53"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14"/>
          <w:szCs w:val="14"/>
          <w:color w:val="auto"/>
        </w:rPr>
        <w:t>None.</w:t>
      </w:r>
    </w:p>
    <w:p>
      <w:pPr>
        <w:spacing w:after="0" w:line="15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11430</wp:posOffset>
                </wp:positionV>
                <wp:extent cx="650875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8750" cy="4763"/>
                        </a:xfrm>
                        <a:prstGeom prst="line">
                          <a:avLst/>
                        </a:prstGeom>
                        <a:solidFill>
                          <a:srgbClr val="FFFFFF"/>
                        </a:solidFill>
                        <a:ln w="1600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0.9pt" to="512.3pt,0.9pt" o:allowincell="f" strokecolor="#000000" strokeweight="1.2598pt"/>
            </w:pict>
          </mc:Fallback>
        </mc:AlternateContent>
      </w:r>
    </w:p>
    <w:p>
      <w:pPr>
        <w:sectPr>
          <w:pgSz w:w="12240" w:h="15840" w:orient="portrait"/>
          <w:cols w:equalWidth="0" w:num="1">
            <w:col w:w="10242"/>
          </w:cols>
          <w:pgMar w:left="998" w:top="1205" w:right="1000"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4" w:lineRule="exact"/>
        <w:rPr>
          <w:sz w:val="20"/>
          <w:szCs w:val="20"/>
          <w:color w:val="auto"/>
        </w:rPr>
      </w:pPr>
    </w:p>
    <w:p>
      <w:pPr>
        <w:ind w:firstLine="490"/>
        <w:spacing w:after="0" w:line="29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Annual Report to be signed on its behalf by the undersigned, thereunto duly authorized, in Reno, Nevada, on the 17</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of April, 2023.</w:t>
      </w:r>
    </w:p>
    <w:p>
      <w:pPr>
        <w:spacing w:after="0" w:line="4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57" w:lineRule="exact"/>
        <w:rPr>
          <w:sz w:val="20"/>
          <w:szCs w:val="20"/>
          <w:color w:val="auto"/>
        </w:rPr>
      </w:pPr>
    </w:p>
    <w:p>
      <w:pPr>
        <w:ind w:left="5120"/>
        <w:spacing w:after="0"/>
        <w:tabs>
          <w:tab w:leader="none" w:pos="54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2"/>
          <w:szCs w:val="12"/>
          <w:i w:val="1"/>
          <w:iCs w:val="1"/>
          <w:color w:val="auto"/>
        </w:rPr>
        <w:t>/s/ Denis Phares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3445510</wp:posOffset>
                </wp:positionH>
                <wp:positionV relativeFrom="paragraph">
                  <wp:posOffset>11430</wp:posOffset>
                </wp:positionV>
                <wp:extent cx="306006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6006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1.3pt,0.9pt" to="512.25pt,0.9pt" o:allowincell="f" strokecolor="#000000" strokeweight="1.26pt"/>
            </w:pict>
          </mc:Fallback>
        </mc:AlternateContent>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color w:val="auto"/>
        </w:rPr>
        <w:t>Chief Executive Officer and President</w:t>
      </w:r>
    </w:p>
    <w:p>
      <w:pPr>
        <w:spacing w:after="0" w:line="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35" w:lineRule="exact"/>
        <w:rPr>
          <w:sz w:val="20"/>
          <w:szCs w:val="20"/>
          <w:color w:val="auto"/>
        </w:rPr>
      </w:pPr>
    </w:p>
    <w:p>
      <w:pPr>
        <w:ind w:left="5120"/>
        <w:spacing w:after="0"/>
        <w:tabs>
          <w:tab w:leader="none" w:pos="54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2"/>
          <w:szCs w:val="12"/>
          <w:i w:val="1"/>
          <w:iCs w:val="1"/>
          <w:color w:val="auto"/>
        </w:rPr>
        <w:t>/s/John Marchetti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3445510</wp:posOffset>
                </wp:positionH>
                <wp:positionV relativeFrom="paragraph">
                  <wp:posOffset>14605</wp:posOffset>
                </wp:positionV>
                <wp:extent cx="306006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6006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1.3pt,1.15pt" to="512.25pt,1.15pt" o:allowincell="f" strokecolor="#000000" strokeweight="1.26pt"/>
            </w:pict>
          </mc:Fallback>
        </mc:AlternateContent>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Annual Report has been signed by the following persons in the capacities and on the dates indicated:</w:t>
      </w:r>
    </w:p>
    <w:p>
      <w:pPr>
        <w:sectPr>
          <w:pgSz w:w="12240" w:h="15840" w:orient="portrait"/>
          <w:cols w:equalWidth="0" w:num="1">
            <w:col w:w="10240"/>
          </w:cols>
          <w:pgMar w:left="1000" w:top="1208" w:right="1000" w:bottom="1440" w:gutter="0" w:footer="0" w:header="0"/>
        </w:sectPr>
      </w:pPr>
    </w:p>
    <w:p>
      <w:pPr>
        <w:spacing w:after="0" w:line="150" w:lineRule="exact"/>
        <w:rPr>
          <w:sz w:val="20"/>
          <w:szCs w:val="20"/>
          <w:color w:val="auto"/>
        </w:rPr>
      </w:pPr>
    </w:p>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208026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0260"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pt" to="163.5pt,1.3pt" o:allowincell="f" strokecolor="#000000" strokeweight="1.26pt"/>
            </w:pict>
          </mc:Fallback>
        </mc:AlternateConten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Denis Phares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11430</wp:posOffset>
                </wp:positionV>
                <wp:extent cx="208026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0260"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9pt" to="163.5pt,0.9pt" o:allowincell="f" strokecolor="#000000" strokeweight="1.26pt"/>
            </w:pict>
          </mc:Fallback>
        </mc:AlternateContent>
      </w:r>
    </w:p>
    <w:p>
      <w:pPr>
        <w:spacing w:after="0"/>
        <w:rPr>
          <w:sz w:val="20"/>
          <w:szCs w:val="20"/>
          <w:color w:val="auto"/>
        </w:rPr>
      </w:pPr>
      <w:r>
        <w:rPr>
          <w:rFonts w:ascii="Times New Roman" w:cs="Times New Roman" w:eastAsia="Times New Roman" w:hAnsi="Times New Roman"/>
          <w:sz w:val="14"/>
          <w:szCs w:val="14"/>
          <w:color w:val="auto"/>
        </w:rPr>
        <w:t>Denis Phares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John Marchetti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8890</wp:posOffset>
                </wp:positionV>
                <wp:extent cx="208026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0260"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7pt" to="163.5pt,0.7pt" o:allowincell="f" strokecolor="#000000" strokeweight="1.26pt"/>
            </w:pict>
          </mc:Fallback>
        </mc:AlternateContent>
      </w:r>
    </w:p>
    <w:p>
      <w:pPr>
        <w:spacing w:after="0"/>
        <w:rPr>
          <w:sz w:val="20"/>
          <w:szCs w:val="20"/>
          <w:color w:val="auto"/>
        </w:rPr>
      </w:pPr>
      <w:r>
        <w:rPr>
          <w:rFonts w:ascii="Times New Roman" w:cs="Times New Roman" w:eastAsia="Times New Roman" w:hAnsi="Times New Roman"/>
          <w:sz w:val="14"/>
          <w:szCs w:val="14"/>
          <w:color w:val="auto"/>
        </w:rPr>
        <w:t>John Marchetti</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Jay Bellows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13970</wp:posOffset>
                </wp:positionV>
                <wp:extent cx="208026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0260"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1pt" to="163.5pt,1.1pt" o:allowincell="f" strokecolor="#000000" strokeweight="1.26pt"/>
            </w:pict>
          </mc:Fallback>
        </mc:AlternateContent>
      </w:r>
    </w:p>
    <w:p>
      <w:pPr>
        <w:spacing w:after="0"/>
        <w:rPr>
          <w:sz w:val="20"/>
          <w:szCs w:val="20"/>
          <w:color w:val="auto"/>
        </w:rPr>
      </w:pPr>
      <w:r>
        <w:rPr>
          <w:rFonts w:ascii="Times New Roman" w:cs="Times New Roman" w:eastAsia="Times New Roman" w:hAnsi="Times New Roman"/>
          <w:sz w:val="14"/>
          <w:szCs w:val="14"/>
          <w:color w:val="auto"/>
        </w:rPr>
        <w:t>Jay Bellows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Perry Boyle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wp:posOffset>
                </wp:positionV>
                <wp:extent cx="208026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0260"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85pt" to="163.5pt,0.85pt" o:allowincell="f" strokecolor="#000000" strokeweight="1.26pt"/>
            </w:pict>
          </mc:Fallback>
        </mc:AlternateContent>
      </w:r>
    </w:p>
    <w:p>
      <w:pPr>
        <w:spacing w:after="0"/>
        <w:rPr>
          <w:sz w:val="20"/>
          <w:szCs w:val="20"/>
          <w:color w:val="auto"/>
        </w:rPr>
      </w:pPr>
      <w:r>
        <w:rPr>
          <w:rFonts w:ascii="Times New Roman" w:cs="Times New Roman" w:eastAsia="Times New Roman" w:hAnsi="Times New Roman"/>
          <w:sz w:val="14"/>
          <w:szCs w:val="14"/>
          <w:color w:val="auto"/>
        </w:rPr>
        <w:t>Perry Boyle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Karina Edmonds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7620</wp:posOffset>
                </wp:positionV>
                <wp:extent cx="208026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0260"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6pt" to="163.5pt,0.6pt" o:allowincell="f" strokecolor="#000000" strokeweight="1.26pt"/>
            </w:pict>
          </mc:Fallback>
        </mc:AlternateContent>
      </w:r>
    </w:p>
    <w:p>
      <w:pPr>
        <w:spacing w:after="0"/>
        <w:rPr>
          <w:sz w:val="20"/>
          <w:szCs w:val="20"/>
          <w:color w:val="auto"/>
        </w:rPr>
      </w:pPr>
      <w:r>
        <w:rPr>
          <w:rFonts w:ascii="Times New Roman" w:cs="Times New Roman" w:eastAsia="Times New Roman" w:hAnsi="Times New Roman"/>
          <w:sz w:val="14"/>
          <w:szCs w:val="14"/>
          <w:color w:val="auto"/>
        </w:rPr>
        <w:t>Karina Edmonds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Luisa Ingargiola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12065</wp:posOffset>
                </wp:positionV>
                <wp:extent cx="208026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0260" cy="4763"/>
                        </a:xfrm>
                        <a:prstGeom prst="line">
                          <a:avLst/>
                        </a:prstGeom>
                        <a:solidFill>
                          <a:srgbClr val="FFFFFF"/>
                        </a:solidFill>
                        <a:ln w="1600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95pt" to="163.5pt,0.95pt" o:allowincell="f" strokecolor="#000000" strokeweight="1.2598pt"/>
            </w:pict>
          </mc:Fallback>
        </mc:AlternateContent>
      </w:r>
    </w:p>
    <w:p>
      <w:pPr>
        <w:spacing w:after="0"/>
        <w:rPr>
          <w:sz w:val="20"/>
          <w:szCs w:val="20"/>
          <w:color w:val="auto"/>
        </w:rPr>
      </w:pPr>
      <w:r>
        <w:rPr>
          <w:rFonts w:ascii="Times New Roman" w:cs="Times New Roman" w:eastAsia="Times New Roman" w:hAnsi="Times New Roman"/>
          <w:sz w:val="14"/>
          <w:szCs w:val="14"/>
          <w:color w:val="auto"/>
        </w:rPr>
        <w:t>Luisa Ingargiola</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Brian Nelson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10160</wp:posOffset>
                </wp:positionV>
                <wp:extent cx="208026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0260"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8pt" to="163.5pt,0.8pt" o:allowincell="f" strokecolor="#000000" strokeweight="1.2599pt"/>
            </w:pict>
          </mc:Fallback>
        </mc:AlternateContent>
      </w:r>
    </w:p>
    <w:p>
      <w:pPr>
        <w:spacing w:after="0"/>
        <w:rPr>
          <w:sz w:val="20"/>
          <w:szCs w:val="20"/>
          <w:color w:val="auto"/>
        </w:rPr>
      </w:pPr>
      <w:r>
        <w:rPr>
          <w:rFonts w:ascii="Times New Roman" w:cs="Times New Roman" w:eastAsia="Times New Roman" w:hAnsi="Times New Roman"/>
          <w:sz w:val="14"/>
          <w:szCs w:val="14"/>
          <w:color w:val="auto"/>
        </w:rPr>
        <w:t>Brian Nelson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Rick Parod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14605</wp:posOffset>
                </wp:positionV>
                <wp:extent cx="208026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0260"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15pt" to="163.5pt,1.15pt" o:allowincell="f" strokecolor="#000000" strokeweight="1.26pt"/>
            </w:pict>
          </mc:Fallback>
        </mc:AlternateContent>
      </w:r>
    </w:p>
    <w:p>
      <w:pPr>
        <w:spacing w:after="0"/>
        <w:rPr>
          <w:sz w:val="20"/>
          <w:szCs w:val="20"/>
          <w:color w:val="auto"/>
        </w:rPr>
      </w:pPr>
      <w:r>
        <w:rPr>
          <w:rFonts w:ascii="Times New Roman" w:cs="Times New Roman" w:eastAsia="Times New Roman" w:hAnsi="Times New Roman"/>
          <w:sz w:val="14"/>
          <w:szCs w:val="14"/>
          <w:color w:val="auto"/>
        </w:rPr>
        <w:t>Rick Parod</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2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12"/>
        </w:trPr>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Chief Executive Officer, President and Chairman</w:t>
            </w: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April 17, 2023</w:t>
            </w:r>
          </w:p>
        </w:tc>
      </w:tr>
      <w:tr>
        <w:trPr>
          <w:trHeight w:val="181"/>
        </w:trPr>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(Principal Executive Officer)</w:t>
            </w: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309"/>
        </w:trPr>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Chief Financial Officer</w:t>
            </w: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April 17, 2023</w:t>
            </w:r>
          </w:p>
        </w:tc>
      </w:tr>
      <w:tr>
        <w:trPr>
          <w:trHeight w:val="181"/>
        </w:trPr>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(Principal Financial and Accounting Officer)</w:t>
            </w: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323"/>
        </w:trPr>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April 17, 2023</w:t>
            </w:r>
          </w:p>
        </w:tc>
      </w:tr>
      <w:tr>
        <w:trPr>
          <w:trHeight w:val="488"/>
        </w:trPr>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April 17, 2023</w:t>
            </w:r>
          </w:p>
        </w:tc>
      </w:tr>
      <w:tr>
        <w:trPr>
          <w:trHeight w:val="490"/>
        </w:trPr>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April 17, 2023</w:t>
            </w:r>
          </w:p>
        </w:tc>
      </w:tr>
      <w:tr>
        <w:trPr>
          <w:trHeight w:val="490"/>
        </w:trPr>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April 17, 2023</w:t>
            </w:r>
          </w:p>
        </w:tc>
      </w:tr>
      <w:tr>
        <w:trPr>
          <w:trHeight w:val="490"/>
        </w:trPr>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April 17, 2023</w:t>
            </w:r>
          </w:p>
        </w:tc>
      </w:tr>
      <w:tr>
        <w:trPr>
          <w:trHeight w:val="490"/>
        </w:trPr>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April 17, 2023</w:t>
            </w:r>
          </w:p>
        </w:tc>
      </w:tr>
      <w:tr>
        <w:trPr>
          <w:trHeight w:val="479"/>
        </w:trPr>
        <w:tc>
          <w:tcPr>
            <w:tcW w:w="4500" w:type="dxa"/>
            <w:vAlign w:val="bottom"/>
          </w:tcPr>
          <w:p>
            <w:pPr>
              <w:jc w:val="right"/>
              <w:ind w:right="2732"/>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-2213610</wp:posOffset>
                </wp:positionH>
                <wp:positionV relativeFrom="paragraph">
                  <wp:posOffset>1270</wp:posOffset>
                </wp:positionV>
                <wp:extent cx="650938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2999pt,0.1pt" to="338.25pt,0.1pt" o:allowincell="f" strokecolor="#000000" strokeweight="1.26pt"/>
            </w:pict>
          </mc:Fallback>
        </mc:AlternateContent>
      </w:r>
    </w:p>
    <w:p>
      <w:pPr>
        <w:sectPr>
          <w:pgSz w:w="12240" w:h="15840" w:orient="portrait"/>
          <w:cols w:equalWidth="0" w:num="2">
            <w:col w:w="2760" w:space="720"/>
            <w:col w:w="6760"/>
          </w:cols>
          <w:pgMar w:left="1000" w:top="1208" w:right="1000"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187"/>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Supplemental Data</w:t>
            </w:r>
          </w:p>
        </w:tc>
        <w:tc>
          <w:tcPr>
            <w:tcW w:w="1840" w:type="dxa"/>
            <w:vAlign w:val="bottom"/>
          </w:tcPr>
          <w:p>
            <w:pPr>
              <w:spacing w:after="0"/>
              <w:rPr>
                <w:sz w:val="16"/>
                <w:szCs w:val="16"/>
                <w:color w:val="auto"/>
              </w:rPr>
            </w:pPr>
          </w:p>
        </w:tc>
      </w:tr>
      <w:tr>
        <w:trPr>
          <w:trHeight w:val="313"/>
        </w:trPr>
        <w:tc>
          <w:tcPr>
            <w:tcW w:w="8400" w:type="dxa"/>
            <w:vAlign w:val="bottom"/>
          </w:tcPr>
          <w:p>
            <w:pPr>
              <w:jc w:val="center"/>
              <w:ind w:left="1772"/>
              <w:spacing w:after="0"/>
              <w:rPr>
                <w:sz w:val="20"/>
                <w:szCs w:val="20"/>
                <w:color w:val="auto"/>
              </w:rPr>
            </w:pPr>
            <w:r>
              <w:rPr>
                <w:rFonts w:ascii="Times New Roman" w:cs="Times New Roman" w:eastAsia="Times New Roman" w:hAnsi="Times New Roman"/>
                <w:sz w:val="14"/>
                <w:szCs w:val="14"/>
                <w:b w:val="1"/>
                <w:bCs w:val="1"/>
                <w:color w:val="auto"/>
                <w:w w:val="97"/>
              </w:rPr>
              <w:t>DRAGONFLY ENERGY HOLDINGS CORP.</w:t>
            </w:r>
          </w:p>
        </w:tc>
        <w:tc>
          <w:tcPr>
            <w:tcW w:w="1840" w:type="dxa"/>
            <w:vAlign w:val="bottom"/>
          </w:tcPr>
          <w:p>
            <w:pPr>
              <w:spacing w:after="0"/>
              <w:rPr>
                <w:sz w:val="24"/>
                <w:szCs w:val="24"/>
                <w:color w:val="auto"/>
              </w:rPr>
            </w:pPr>
          </w:p>
        </w:tc>
      </w:tr>
      <w:tr>
        <w:trPr>
          <w:trHeight w:val="312"/>
        </w:trPr>
        <w:tc>
          <w:tcPr>
            <w:tcW w:w="8400" w:type="dxa"/>
            <w:vAlign w:val="bottom"/>
          </w:tcPr>
          <w:p>
            <w:pPr>
              <w:jc w:val="center"/>
              <w:ind w:left="1772"/>
              <w:spacing w:after="0"/>
              <w:rPr>
                <w:sz w:val="20"/>
                <w:szCs w:val="20"/>
                <w:color w:val="auto"/>
              </w:rPr>
            </w:pPr>
            <w:r>
              <w:rPr>
                <w:rFonts w:ascii="Times New Roman" w:cs="Times New Roman" w:eastAsia="Times New Roman" w:hAnsi="Times New Roman"/>
                <w:sz w:val="14"/>
                <w:szCs w:val="14"/>
                <w:b w:val="1"/>
                <w:bCs w:val="1"/>
                <w:color w:val="auto"/>
                <w:w w:val="96"/>
              </w:rPr>
              <w:t>INDEX TO CONSOLIDATED FINANCIAL STATEMENTS</w:t>
            </w:r>
          </w:p>
        </w:tc>
        <w:tc>
          <w:tcPr>
            <w:tcW w:w="1840" w:type="dxa"/>
            <w:vAlign w:val="bottom"/>
          </w:tcPr>
          <w:p>
            <w:pPr>
              <w:spacing w:after="0"/>
              <w:rPr>
                <w:sz w:val="24"/>
                <w:szCs w:val="24"/>
                <w:color w:val="auto"/>
              </w:rPr>
            </w:pPr>
          </w:p>
        </w:tc>
      </w:tr>
      <w:tr>
        <w:trPr>
          <w:trHeight w:val="148"/>
        </w:trPr>
        <w:tc>
          <w:tcPr>
            <w:tcW w:w="840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156"/>
        </w:trPr>
        <w:tc>
          <w:tcPr>
            <w:tcW w:w="8400" w:type="dxa"/>
            <w:vAlign w:val="bottom"/>
            <w:shd w:val="clear" w:color="auto" w:fill="D1ECF4"/>
          </w:tcPr>
          <w:p>
            <w:pPr>
              <w:spacing w:after="0" w:line="156" w:lineRule="exact"/>
              <w:rPr>
                <w:sz w:val="20"/>
                <w:szCs w:val="20"/>
                <w:color w:val="auto"/>
              </w:rPr>
            </w:pPr>
            <w:r>
              <w:rPr>
                <w:rFonts w:ascii="Times New Roman" w:cs="Times New Roman" w:eastAsia="Times New Roman" w:hAnsi="Times New Roman"/>
                <w:sz w:val="14"/>
                <w:szCs w:val="14"/>
                <w:color w:val="auto"/>
              </w:rPr>
              <w:t>Report of Independent Registered Public Accounting Firm (PCAOB ID# 243)</w:t>
            </w:r>
          </w:p>
        </w:tc>
        <w:tc>
          <w:tcPr>
            <w:tcW w:w="1840" w:type="dxa"/>
            <w:vAlign w:val="bottom"/>
            <w:shd w:val="clear" w:color="auto" w:fill="D1ECF4"/>
          </w:tcPr>
          <w:p>
            <w:pPr>
              <w:ind w:left="1500"/>
              <w:spacing w:after="0" w:line="156" w:lineRule="exact"/>
              <w:rPr>
                <w:sz w:val="20"/>
                <w:szCs w:val="20"/>
                <w:color w:val="auto"/>
              </w:rPr>
            </w:pPr>
            <w:r>
              <w:rPr>
                <w:rFonts w:ascii="Times New Roman" w:cs="Times New Roman" w:eastAsia="Times New Roman" w:hAnsi="Times New Roman"/>
                <w:sz w:val="14"/>
                <w:szCs w:val="14"/>
                <w:color w:val="auto"/>
              </w:rPr>
              <w:t>F-2</w:t>
            </w:r>
          </w:p>
        </w:tc>
      </w:tr>
      <w:tr>
        <w:trPr>
          <w:trHeight w:val="156"/>
        </w:trPr>
        <w:tc>
          <w:tcPr>
            <w:tcW w:w="84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Consolidated Balance Sheets as of December 31, 2022 and 2021</w:t>
            </w:r>
          </w:p>
        </w:tc>
        <w:tc>
          <w:tcPr>
            <w:tcW w:w="1840" w:type="dxa"/>
            <w:vAlign w:val="bottom"/>
          </w:tcPr>
          <w:p>
            <w:pPr>
              <w:ind w:left="1500"/>
              <w:spacing w:after="0" w:line="156" w:lineRule="exact"/>
              <w:rPr>
                <w:sz w:val="20"/>
                <w:szCs w:val="20"/>
                <w:color w:val="auto"/>
              </w:rPr>
            </w:pPr>
            <w:r>
              <w:rPr>
                <w:rFonts w:ascii="Times New Roman" w:cs="Times New Roman" w:eastAsia="Times New Roman" w:hAnsi="Times New Roman"/>
                <w:sz w:val="14"/>
                <w:szCs w:val="14"/>
                <w:color w:val="auto"/>
              </w:rPr>
              <w:t>F-3</w:t>
            </w:r>
          </w:p>
        </w:tc>
      </w:tr>
      <w:tr>
        <w:trPr>
          <w:trHeight w:val="157"/>
        </w:trPr>
        <w:tc>
          <w:tcPr>
            <w:tcW w:w="8400" w:type="dxa"/>
            <w:vAlign w:val="bottom"/>
            <w:shd w:val="clear" w:color="auto" w:fill="D1ECF4"/>
          </w:tcPr>
          <w:p>
            <w:pPr>
              <w:spacing w:after="0" w:line="157" w:lineRule="exact"/>
              <w:rPr>
                <w:sz w:val="20"/>
                <w:szCs w:val="20"/>
                <w:color w:val="auto"/>
              </w:rPr>
            </w:pPr>
            <w:r>
              <w:rPr>
                <w:rFonts w:ascii="Times New Roman" w:cs="Times New Roman" w:eastAsia="Times New Roman" w:hAnsi="Times New Roman"/>
                <w:sz w:val="14"/>
                <w:szCs w:val="14"/>
                <w:color w:val="auto"/>
              </w:rPr>
              <w:t>Consolidated Statements of Operations for the years ended December 31, 2022 and 2021</w:t>
            </w:r>
          </w:p>
        </w:tc>
        <w:tc>
          <w:tcPr>
            <w:tcW w:w="1840" w:type="dxa"/>
            <w:vAlign w:val="bottom"/>
            <w:shd w:val="clear" w:color="auto" w:fill="D1ECF4"/>
          </w:tcPr>
          <w:p>
            <w:pPr>
              <w:ind w:left="1500"/>
              <w:spacing w:after="0" w:line="157" w:lineRule="exact"/>
              <w:rPr>
                <w:sz w:val="20"/>
                <w:szCs w:val="20"/>
                <w:color w:val="auto"/>
              </w:rPr>
            </w:pPr>
            <w:r>
              <w:rPr>
                <w:rFonts w:ascii="Times New Roman" w:cs="Times New Roman" w:eastAsia="Times New Roman" w:hAnsi="Times New Roman"/>
                <w:sz w:val="14"/>
                <w:szCs w:val="14"/>
                <w:color w:val="auto"/>
              </w:rPr>
              <w:t>F-4</w:t>
            </w:r>
          </w:p>
        </w:tc>
      </w:tr>
      <w:tr>
        <w:trPr>
          <w:trHeight w:val="156"/>
        </w:trPr>
        <w:tc>
          <w:tcPr>
            <w:tcW w:w="84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Consolidated Statements of Changes in Stockholders’ Equity for the years ended December 31, 2022 and 2021</w:t>
            </w:r>
          </w:p>
        </w:tc>
        <w:tc>
          <w:tcPr>
            <w:tcW w:w="1840" w:type="dxa"/>
            <w:vAlign w:val="bottom"/>
          </w:tcPr>
          <w:p>
            <w:pPr>
              <w:ind w:left="1500"/>
              <w:spacing w:after="0" w:line="156" w:lineRule="exact"/>
              <w:rPr>
                <w:sz w:val="20"/>
                <w:szCs w:val="20"/>
                <w:color w:val="auto"/>
              </w:rPr>
            </w:pPr>
            <w:r>
              <w:rPr>
                <w:rFonts w:ascii="Times New Roman" w:cs="Times New Roman" w:eastAsia="Times New Roman" w:hAnsi="Times New Roman"/>
                <w:sz w:val="14"/>
                <w:szCs w:val="14"/>
                <w:color w:val="auto"/>
              </w:rPr>
              <w:t>F-5</w:t>
            </w:r>
          </w:p>
        </w:tc>
      </w:tr>
      <w:tr>
        <w:trPr>
          <w:trHeight w:val="156"/>
        </w:trPr>
        <w:tc>
          <w:tcPr>
            <w:tcW w:w="8400" w:type="dxa"/>
            <w:vAlign w:val="bottom"/>
            <w:shd w:val="clear" w:color="auto" w:fill="D1ECF4"/>
          </w:tcPr>
          <w:p>
            <w:pPr>
              <w:spacing w:after="0" w:line="156" w:lineRule="exact"/>
              <w:rPr>
                <w:sz w:val="20"/>
                <w:szCs w:val="20"/>
                <w:color w:val="auto"/>
              </w:rPr>
            </w:pPr>
            <w:r>
              <w:rPr>
                <w:rFonts w:ascii="Times New Roman" w:cs="Times New Roman" w:eastAsia="Times New Roman" w:hAnsi="Times New Roman"/>
                <w:sz w:val="14"/>
                <w:szCs w:val="14"/>
                <w:color w:val="auto"/>
              </w:rPr>
              <w:t>Statements of Cash Flows for the years ended December 31, 2022 and 2021</w:t>
            </w:r>
          </w:p>
        </w:tc>
        <w:tc>
          <w:tcPr>
            <w:tcW w:w="1840" w:type="dxa"/>
            <w:vAlign w:val="bottom"/>
            <w:shd w:val="clear" w:color="auto" w:fill="D1ECF4"/>
          </w:tcPr>
          <w:p>
            <w:pPr>
              <w:ind w:left="1500"/>
              <w:spacing w:after="0" w:line="156" w:lineRule="exact"/>
              <w:rPr>
                <w:sz w:val="20"/>
                <w:szCs w:val="20"/>
                <w:color w:val="auto"/>
              </w:rPr>
            </w:pPr>
            <w:r>
              <w:rPr>
                <w:rFonts w:ascii="Times New Roman" w:cs="Times New Roman" w:eastAsia="Times New Roman" w:hAnsi="Times New Roman"/>
                <w:sz w:val="14"/>
                <w:szCs w:val="14"/>
                <w:color w:val="auto"/>
              </w:rPr>
              <w:t>F-6</w:t>
            </w:r>
          </w:p>
        </w:tc>
      </w:tr>
      <w:tr>
        <w:trPr>
          <w:trHeight w:val="181"/>
        </w:trPr>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Notes to Financial Statements</w:t>
            </w:r>
          </w:p>
        </w:tc>
        <w:tc>
          <w:tcPr>
            <w:tcW w:w="1840" w:type="dxa"/>
            <w:vAlign w:val="bottom"/>
          </w:tcPr>
          <w:p>
            <w:pPr>
              <w:ind w:left="1500"/>
              <w:spacing w:after="0"/>
              <w:rPr>
                <w:sz w:val="20"/>
                <w:szCs w:val="20"/>
                <w:color w:val="auto"/>
              </w:rPr>
            </w:pPr>
            <w:r>
              <w:rPr>
                <w:rFonts w:ascii="Times New Roman" w:cs="Times New Roman" w:eastAsia="Times New Roman" w:hAnsi="Times New Roman"/>
                <w:sz w:val="14"/>
                <w:szCs w:val="14"/>
                <w:color w:val="auto"/>
              </w:rPr>
              <w:t>F-7</w:t>
            </w:r>
          </w:p>
        </w:tc>
      </w:tr>
      <w:tr>
        <w:trPr>
          <w:trHeight w:val="291"/>
        </w:trPr>
        <w:tc>
          <w:tcPr>
            <w:tcW w:w="8400" w:type="dxa"/>
            <w:vAlign w:val="bottom"/>
            <w:tcBorders>
              <w:bottom w:val="single" w:sz="8" w:color="auto"/>
            </w:tcBorders>
          </w:tcPr>
          <w:p>
            <w:pPr>
              <w:jc w:val="center"/>
              <w:ind w:left="1772"/>
              <w:spacing w:after="0"/>
              <w:rPr>
                <w:sz w:val="20"/>
                <w:szCs w:val="20"/>
                <w:color w:val="auto"/>
              </w:rPr>
            </w:pPr>
            <w:r>
              <w:rPr>
                <w:rFonts w:ascii="Times New Roman" w:cs="Times New Roman" w:eastAsia="Times New Roman" w:hAnsi="Times New Roman"/>
                <w:sz w:val="14"/>
                <w:szCs w:val="14"/>
                <w:color w:val="auto"/>
              </w:rPr>
              <w:t>F-1</w:t>
            </w:r>
          </w:p>
        </w:tc>
        <w:tc>
          <w:tcPr>
            <w:tcW w:w="1840" w:type="dxa"/>
            <w:vAlign w:val="bottom"/>
            <w:tcBorders>
              <w:bottom w:val="single" w:sz="8" w:color="auto"/>
            </w:tcBorders>
          </w:tcPr>
          <w:p>
            <w:pPr>
              <w:spacing w:after="0"/>
              <w:rPr>
                <w:sz w:val="24"/>
                <w:szCs w:val="24"/>
                <w:color w:val="auto"/>
              </w:rPr>
            </w:pPr>
          </w:p>
        </w:tc>
      </w:tr>
    </w:tbl>
    <w:p>
      <w:pPr>
        <w:sectPr>
          <w:pgSz w:w="12240" w:h="15840" w:orient="portrait"/>
          <w:cols w:equalWidth="0" w:num="1">
            <w:col w:w="10240"/>
          </w:cols>
          <w:pgMar w:left="1000" w:top="1208" w:right="1000"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Shareholders and Board of Directors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Dragonfly Energy Holdings Corp.</w:t>
      </w:r>
    </w:p>
    <w:p>
      <w:pPr>
        <w:spacing w:after="0"/>
        <w:rPr>
          <w:sz w:val="20"/>
          <w:szCs w:val="20"/>
          <w:color w:val="auto"/>
        </w:rPr>
      </w:pPr>
      <w:r>
        <w:rPr>
          <w:rFonts w:ascii="Times New Roman" w:cs="Times New Roman" w:eastAsia="Times New Roman" w:hAnsi="Times New Roman"/>
          <w:sz w:val="14"/>
          <w:szCs w:val="14"/>
          <w:color w:val="auto"/>
        </w:rPr>
        <w:t>Reno, Nevada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Dragonfly Energy Holdings Corp. (the “Company”) as of December 31, 2022 and 2021, the related consolidated statements of operations,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accounting principles generally accepted in the United States of America.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Going Concern</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that the Company will continue as a going concern. As discussed in Note 2 to the consolidated financial statements, the Company has incurred losses and has a negative cash flow from operations and concluded it is probable the Company will not comply with future covenants of the Term Loan and does not have sufficient resources to repay the Term Loan, which raises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BDO USA LLP</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Spokane, Washington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17, 2023</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12700</wp:posOffset>
                </wp:positionV>
                <wp:extent cx="650938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pt" to="512.25pt,1pt" o:allowincell="f" strokecolor="#000000" strokeweight="1.2598pt"/>
            </w:pict>
          </mc:Fallback>
        </mc:AlternateContent>
      </w:r>
    </w:p>
    <w:p>
      <w:pPr>
        <w:sectPr>
          <w:pgSz w:w="12240" w:h="15840" w:orient="portrait"/>
          <w:cols w:equalWidth="0" w:num="1">
            <w:col w:w="10240"/>
          </w:cols>
          <w:pgMar w:left="1000" w:top="1208" w:right="1000"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120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78"/>
        </w:trPr>
        <w:tc>
          <w:tcPr>
            <w:tcW w:w="656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00" w:type="dxa"/>
            <w:vAlign w:val="bottom"/>
            <w:tcBorders>
              <w:top w:val="single" w:sz="8" w:color="D1EEF5"/>
            </w:tcBorders>
            <w:shd w:val="clear" w:color="auto" w:fill="D1EEF5"/>
          </w:tcPr>
          <w:p>
            <w:pPr>
              <w:spacing w:after="0"/>
              <w:rPr>
                <w:sz w:val="15"/>
                <w:szCs w:val="15"/>
                <w:color w:val="auto"/>
              </w:rPr>
            </w:pPr>
          </w:p>
        </w:tc>
        <w:tc>
          <w:tcPr>
            <w:tcW w:w="1000" w:type="dxa"/>
            <w:vAlign w:val="bottom"/>
            <w:tcBorders>
              <w:top w:val="single" w:sz="8" w:color="auto"/>
            </w:tcBorders>
            <w:shd w:val="clear" w:color="auto" w:fill="D1EEF5"/>
          </w:tcPr>
          <w:p>
            <w:pPr>
              <w:spacing w:after="0"/>
              <w:rPr>
                <w:sz w:val="15"/>
                <w:szCs w:val="15"/>
                <w:color w:val="auto"/>
              </w:rPr>
            </w:pPr>
          </w:p>
        </w:tc>
        <w:tc>
          <w:tcPr>
            <w:tcW w:w="540" w:type="dxa"/>
            <w:vAlign w:val="bottom"/>
            <w:tcBorders>
              <w:top w:val="single" w:sz="8" w:color="auto"/>
            </w:tcBorders>
            <w:shd w:val="clear" w:color="auto" w:fill="D1EEF5"/>
          </w:tcPr>
          <w:p>
            <w:pPr>
              <w:spacing w:after="0"/>
              <w:rPr>
                <w:sz w:val="15"/>
                <w:szCs w:val="15"/>
                <w:color w:val="auto"/>
              </w:rPr>
            </w:pPr>
          </w:p>
        </w:tc>
        <w:tc>
          <w:tcPr>
            <w:tcW w:w="300" w:type="dxa"/>
            <w:vAlign w:val="bottom"/>
            <w:tcBorders>
              <w:top w:val="single" w:sz="8" w:color="D1EEF5"/>
            </w:tcBorders>
            <w:shd w:val="clear" w:color="auto" w:fill="D1EEF5"/>
          </w:tcPr>
          <w:p>
            <w:pPr>
              <w:spacing w:after="0"/>
              <w:rPr>
                <w:sz w:val="15"/>
                <w:szCs w:val="15"/>
                <w:color w:val="auto"/>
              </w:rPr>
            </w:pPr>
          </w:p>
        </w:tc>
        <w:tc>
          <w:tcPr>
            <w:tcW w:w="360" w:type="dxa"/>
            <w:vAlign w:val="bottom"/>
            <w:tcBorders>
              <w:top w:val="single" w:sz="8" w:color="auto"/>
            </w:tcBorders>
            <w:shd w:val="clear" w:color="auto" w:fill="D1EEF5"/>
          </w:tcPr>
          <w:p>
            <w:pPr>
              <w:spacing w:after="0"/>
              <w:rPr>
                <w:sz w:val="15"/>
                <w:szCs w:val="15"/>
                <w:color w:val="auto"/>
              </w:rPr>
            </w:pPr>
          </w:p>
        </w:tc>
        <w:tc>
          <w:tcPr>
            <w:tcW w:w="1180" w:type="dxa"/>
            <w:vAlign w:val="bottom"/>
            <w:tcBorders>
              <w:top w:val="single" w:sz="8" w:color="auto"/>
            </w:tcBorders>
            <w:shd w:val="clear" w:color="auto" w:fill="D1EEF5"/>
          </w:tcPr>
          <w:p>
            <w:pPr>
              <w:spacing w:after="0"/>
              <w:rPr>
                <w:sz w:val="15"/>
                <w:szCs w:val="15"/>
                <w:color w:val="auto"/>
              </w:rPr>
            </w:pPr>
          </w:p>
        </w:tc>
        <w:tc>
          <w:tcPr>
            <w:tcW w:w="100" w:type="dxa"/>
            <w:vAlign w:val="bottom"/>
            <w:tcBorders>
              <w:top w:val="single" w:sz="8" w:color="D1EEF5"/>
            </w:tcBorders>
            <w:shd w:val="clear" w:color="auto" w:fill="D1EEF5"/>
          </w:tcPr>
          <w:p>
            <w:pPr>
              <w:spacing w:after="0"/>
              <w:rPr>
                <w:sz w:val="15"/>
                <w:szCs w:val="15"/>
                <w:color w:val="auto"/>
              </w:rPr>
            </w:pPr>
          </w:p>
        </w:tc>
      </w:tr>
      <w:tr>
        <w:trPr>
          <w:trHeight w:val="156"/>
        </w:trPr>
        <w:tc>
          <w:tcPr>
            <w:tcW w:w="656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Cash</w:t>
            </w:r>
          </w:p>
        </w:tc>
        <w:tc>
          <w:tcPr>
            <w:tcW w:w="1200" w:type="dxa"/>
            <w:vAlign w:val="bottom"/>
            <w:gridSpan w:val="2"/>
          </w:tcPr>
          <w:p>
            <w:pPr>
              <w:jc w:val="right"/>
              <w:ind w:right="884"/>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17,781</w:t>
            </w:r>
          </w:p>
        </w:tc>
        <w:tc>
          <w:tcPr>
            <w:tcW w:w="300" w:type="dxa"/>
            <w:vAlign w:val="bottom"/>
          </w:tcPr>
          <w:p>
            <w:pPr>
              <w:spacing w:after="0"/>
              <w:rPr>
                <w:sz w:val="13"/>
                <w:szCs w:val="13"/>
                <w:color w:val="auto"/>
              </w:rPr>
            </w:pP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25,586</w:t>
            </w:r>
          </w:p>
        </w:tc>
        <w:tc>
          <w:tcPr>
            <w:tcW w:w="100" w:type="dxa"/>
            <w:vAlign w:val="bottom"/>
          </w:tcPr>
          <w:p>
            <w:pPr>
              <w:spacing w:after="0"/>
              <w:rPr>
                <w:sz w:val="13"/>
                <w:szCs w:val="13"/>
                <w:color w:val="auto"/>
              </w:rPr>
            </w:pPr>
          </w:p>
        </w:tc>
      </w:tr>
      <w:tr>
        <w:trPr>
          <w:trHeight w:val="156"/>
        </w:trPr>
        <w:tc>
          <w:tcPr>
            <w:tcW w:w="6560" w:type="dxa"/>
            <w:vAlign w:val="bottom"/>
            <w:shd w:val="clear" w:color="auto" w:fill="D1EEF5"/>
          </w:tcPr>
          <w:p>
            <w:pPr>
              <w:ind w:left="140"/>
              <w:spacing w:after="0" w:line="156" w:lineRule="exact"/>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shd w:val="clear" w:color="auto" w:fill="D1EEF5"/>
          </w:tcPr>
          <w:p>
            <w:pPr>
              <w:spacing w:after="0"/>
              <w:rPr>
                <w:sz w:val="13"/>
                <w:szCs w:val="13"/>
                <w:color w:val="auto"/>
              </w:rPr>
            </w:pPr>
          </w:p>
        </w:tc>
        <w:tc>
          <w:tcPr>
            <w:tcW w:w="1000" w:type="dxa"/>
            <w:vAlign w:val="bottom"/>
            <w:shd w:val="clear" w:color="auto" w:fill="D1EEF5"/>
          </w:tcPr>
          <w:p>
            <w:pPr>
              <w:spacing w:after="0"/>
              <w:rPr>
                <w:sz w:val="13"/>
                <w:szCs w:val="13"/>
                <w:color w:val="auto"/>
              </w:rPr>
            </w:pPr>
          </w:p>
        </w:tc>
        <w:tc>
          <w:tcPr>
            <w:tcW w:w="54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1EEF5"/>
          </w:tcPr>
          <w:p>
            <w:pPr>
              <w:spacing w:after="0"/>
              <w:rPr>
                <w:sz w:val="13"/>
                <w:szCs w:val="13"/>
                <w:color w:val="auto"/>
              </w:rPr>
            </w:pPr>
          </w:p>
        </w:tc>
        <w:tc>
          <w:tcPr>
            <w:tcW w:w="360" w:type="dxa"/>
            <w:vAlign w:val="bottom"/>
            <w:shd w:val="clear" w:color="auto" w:fill="D1EEF5"/>
          </w:tcPr>
          <w:p>
            <w:pPr>
              <w:spacing w:after="0"/>
              <w:rPr>
                <w:sz w:val="13"/>
                <w:szCs w:val="13"/>
                <w:color w:val="auto"/>
              </w:rPr>
            </w:pPr>
          </w:p>
        </w:tc>
        <w:tc>
          <w:tcPr>
            <w:tcW w:w="11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3,044</w:t>
            </w:r>
          </w:p>
        </w:tc>
        <w:tc>
          <w:tcPr>
            <w:tcW w:w="100" w:type="dxa"/>
            <w:vAlign w:val="bottom"/>
            <w:shd w:val="clear" w:color="auto" w:fill="D1EEF5"/>
          </w:tcPr>
          <w:p>
            <w:pPr>
              <w:spacing w:after="0"/>
              <w:rPr>
                <w:sz w:val="13"/>
                <w:szCs w:val="13"/>
                <w:color w:val="auto"/>
              </w:rPr>
            </w:pPr>
          </w:p>
        </w:tc>
      </w:tr>
      <w:tr>
        <w:trPr>
          <w:trHeight w:val="157"/>
        </w:trPr>
        <w:tc>
          <w:tcPr>
            <w:tcW w:w="656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Accounts receivable, net of allowance for doubtful accounts</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1,444</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783</w:t>
            </w:r>
          </w:p>
        </w:tc>
        <w:tc>
          <w:tcPr>
            <w:tcW w:w="100" w:type="dxa"/>
            <w:vAlign w:val="bottom"/>
          </w:tcPr>
          <w:p>
            <w:pPr>
              <w:spacing w:after="0"/>
              <w:rPr>
                <w:sz w:val="13"/>
                <w:szCs w:val="13"/>
                <w:color w:val="auto"/>
              </w:rPr>
            </w:pPr>
          </w:p>
        </w:tc>
      </w:tr>
      <w:tr>
        <w:trPr>
          <w:trHeight w:val="156"/>
        </w:trPr>
        <w:tc>
          <w:tcPr>
            <w:tcW w:w="6560" w:type="dxa"/>
            <w:vAlign w:val="bottom"/>
            <w:shd w:val="clear" w:color="auto" w:fill="D1EEF5"/>
          </w:tcPr>
          <w:p>
            <w:pPr>
              <w:ind w:left="140"/>
              <w:spacing w:after="0" w:line="156" w:lineRule="exact"/>
              <w:rPr>
                <w:sz w:val="20"/>
                <w:szCs w:val="20"/>
                <w:color w:val="auto"/>
              </w:rPr>
            </w:pPr>
            <w:r>
              <w:rPr>
                <w:rFonts w:ascii="Times New Roman" w:cs="Times New Roman" w:eastAsia="Times New Roman" w:hAnsi="Times New Roman"/>
                <w:sz w:val="14"/>
                <w:szCs w:val="14"/>
                <w:color w:val="auto"/>
              </w:rPr>
              <w:t>Inventory</w:t>
            </w:r>
          </w:p>
        </w:tc>
        <w:tc>
          <w:tcPr>
            <w:tcW w:w="200" w:type="dxa"/>
            <w:vAlign w:val="bottom"/>
            <w:shd w:val="clear" w:color="auto" w:fill="D1EEF5"/>
          </w:tcPr>
          <w:p>
            <w:pPr>
              <w:spacing w:after="0"/>
              <w:rPr>
                <w:sz w:val="13"/>
                <w:szCs w:val="13"/>
                <w:color w:val="auto"/>
              </w:rPr>
            </w:pPr>
          </w:p>
        </w:tc>
        <w:tc>
          <w:tcPr>
            <w:tcW w:w="1000" w:type="dxa"/>
            <w:vAlign w:val="bottom"/>
            <w:shd w:val="clear" w:color="auto" w:fill="D1EEF5"/>
          </w:tcPr>
          <w:p>
            <w:pPr>
              <w:spacing w:after="0"/>
              <w:rPr>
                <w:sz w:val="13"/>
                <w:szCs w:val="13"/>
                <w:color w:val="auto"/>
              </w:rPr>
            </w:pPr>
          </w:p>
        </w:tc>
        <w:tc>
          <w:tcPr>
            <w:tcW w:w="54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49,846</w:t>
            </w:r>
          </w:p>
        </w:tc>
        <w:tc>
          <w:tcPr>
            <w:tcW w:w="300" w:type="dxa"/>
            <w:vAlign w:val="bottom"/>
            <w:shd w:val="clear" w:color="auto" w:fill="D1EEF5"/>
          </w:tcPr>
          <w:p>
            <w:pPr>
              <w:spacing w:after="0"/>
              <w:rPr>
                <w:sz w:val="13"/>
                <w:szCs w:val="13"/>
                <w:color w:val="auto"/>
              </w:rPr>
            </w:pPr>
          </w:p>
        </w:tc>
        <w:tc>
          <w:tcPr>
            <w:tcW w:w="360" w:type="dxa"/>
            <w:vAlign w:val="bottom"/>
            <w:shd w:val="clear" w:color="auto" w:fill="D1EEF5"/>
          </w:tcPr>
          <w:p>
            <w:pPr>
              <w:spacing w:after="0"/>
              <w:rPr>
                <w:sz w:val="13"/>
                <w:szCs w:val="13"/>
                <w:color w:val="auto"/>
              </w:rPr>
            </w:pPr>
          </w:p>
        </w:tc>
        <w:tc>
          <w:tcPr>
            <w:tcW w:w="11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27,127</w:t>
            </w:r>
          </w:p>
        </w:tc>
        <w:tc>
          <w:tcPr>
            <w:tcW w:w="100" w:type="dxa"/>
            <w:vAlign w:val="bottom"/>
            <w:shd w:val="clear" w:color="auto" w:fill="D1EEF5"/>
          </w:tcPr>
          <w:p>
            <w:pPr>
              <w:spacing w:after="0"/>
              <w:rPr>
                <w:sz w:val="13"/>
                <w:szCs w:val="13"/>
                <w:color w:val="auto"/>
              </w:rPr>
            </w:pPr>
          </w:p>
        </w:tc>
      </w:tr>
      <w:tr>
        <w:trPr>
          <w:trHeight w:val="156"/>
        </w:trPr>
        <w:tc>
          <w:tcPr>
            <w:tcW w:w="656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Prepaid expenses</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1,624</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3"/>
                <w:szCs w:val="13"/>
                <w:color w:val="auto"/>
              </w:rPr>
            </w:pPr>
          </w:p>
        </w:tc>
      </w:tr>
      <w:tr>
        <w:trPr>
          <w:trHeight w:val="156"/>
        </w:trPr>
        <w:tc>
          <w:tcPr>
            <w:tcW w:w="6560" w:type="dxa"/>
            <w:vAlign w:val="bottom"/>
            <w:shd w:val="clear" w:color="auto" w:fill="D1EEF5"/>
          </w:tcPr>
          <w:p>
            <w:pPr>
              <w:ind w:left="140"/>
              <w:spacing w:after="0" w:line="156" w:lineRule="exact"/>
              <w:rPr>
                <w:sz w:val="20"/>
                <w:szCs w:val="20"/>
                <w:color w:val="auto"/>
              </w:rPr>
            </w:pPr>
            <w:r>
              <w:rPr>
                <w:rFonts w:ascii="Times New Roman" w:cs="Times New Roman" w:eastAsia="Times New Roman" w:hAnsi="Times New Roman"/>
                <w:sz w:val="14"/>
                <w:szCs w:val="14"/>
                <w:color w:val="auto"/>
              </w:rPr>
              <w:t>Prepaid inventory</w:t>
            </w:r>
          </w:p>
        </w:tc>
        <w:tc>
          <w:tcPr>
            <w:tcW w:w="200" w:type="dxa"/>
            <w:vAlign w:val="bottom"/>
            <w:shd w:val="clear" w:color="auto" w:fill="D1EEF5"/>
          </w:tcPr>
          <w:p>
            <w:pPr>
              <w:spacing w:after="0"/>
              <w:rPr>
                <w:sz w:val="13"/>
                <w:szCs w:val="13"/>
                <w:color w:val="auto"/>
              </w:rPr>
            </w:pPr>
          </w:p>
        </w:tc>
        <w:tc>
          <w:tcPr>
            <w:tcW w:w="1000" w:type="dxa"/>
            <w:vAlign w:val="bottom"/>
            <w:shd w:val="clear" w:color="auto" w:fill="D1EEF5"/>
          </w:tcPr>
          <w:p>
            <w:pPr>
              <w:spacing w:after="0"/>
              <w:rPr>
                <w:sz w:val="13"/>
                <w:szCs w:val="13"/>
                <w:color w:val="auto"/>
              </w:rPr>
            </w:pPr>
          </w:p>
        </w:tc>
        <w:tc>
          <w:tcPr>
            <w:tcW w:w="54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2,002</w:t>
            </w:r>
          </w:p>
        </w:tc>
        <w:tc>
          <w:tcPr>
            <w:tcW w:w="300" w:type="dxa"/>
            <w:vAlign w:val="bottom"/>
            <w:shd w:val="clear" w:color="auto" w:fill="D1EEF5"/>
          </w:tcPr>
          <w:p>
            <w:pPr>
              <w:spacing w:after="0"/>
              <w:rPr>
                <w:sz w:val="13"/>
                <w:szCs w:val="13"/>
                <w:color w:val="auto"/>
              </w:rPr>
            </w:pPr>
          </w:p>
        </w:tc>
        <w:tc>
          <w:tcPr>
            <w:tcW w:w="360" w:type="dxa"/>
            <w:vAlign w:val="bottom"/>
            <w:shd w:val="clear" w:color="auto" w:fill="D1EEF5"/>
          </w:tcPr>
          <w:p>
            <w:pPr>
              <w:spacing w:after="0"/>
              <w:rPr>
                <w:sz w:val="13"/>
                <w:szCs w:val="13"/>
                <w:color w:val="auto"/>
              </w:rPr>
            </w:pPr>
          </w:p>
        </w:tc>
        <w:tc>
          <w:tcPr>
            <w:tcW w:w="11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7,461</w:t>
            </w:r>
          </w:p>
        </w:tc>
        <w:tc>
          <w:tcPr>
            <w:tcW w:w="100" w:type="dxa"/>
            <w:vAlign w:val="bottom"/>
            <w:shd w:val="clear" w:color="auto" w:fill="D1EEF5"/>
          </w:tcPr>
          <w:p>
            <w:pPr>
              <w:spacing w:after="0"/>
              <w:rPr>
                <w:sz w:val="13"/>
                <w:szCs w:val="13"/>
                <w:color w:val="auto"/>
              </w:rPr>
            </w:pPr>
          </w:p>
        </w:tc>
      </w:tr>
      <w:tr>
        <w:trPr>
          <w:trHeight w:val="157"/>
        </w:trPr>
        <w:tc>
          <w:tcPr>
            <w:tcW w:w="656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Prepaid income tax</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525</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r>
      <w:tr>
        <w:trPr>
          <w:trHeight w:val="187"/>
        </w:trPr>
        <w:tc>
          <w:tcPr>
            <w:tcW w:w="6560" w:type="dxa"/>
            <w:vAlign w:val="bottom"/>
            <w:tcBorders>
              <w:bottom w:val="single" w:sz="8" w:color="D1EEF5"/>
            </w:tcBorders>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Other current assets</w:t>
            </w:r>
          </w:p>
        </w:tc>
        <w:tc>
          <w:tcPr>
            <w:tcW w:w="200" w:type="dxa"/>
            <w:vAlign w:val="bottom"/>
            <w:tcBorders>
              <w:bottom w:val="single" w:sz="8" w:color="D1EEF5"/>
            </w:tcBorders>
            <w:shd w:val="clear" w:color="auto" w:fill="D1EEF5"/>
          </w:tcPr>
          <w:p>
            <w:pPr>
              <w:spacing w:after="0"/>
              <w:rPr>
                <w:sz w:val="16"/>
                <w:szCs w:val="16"/>
                <w:color w:val="auto"/>
              </w:rPr>
            </w:pPr>
          </w:p>
        </w:tc>
        <w:tc>
          <w:tcPr>
            <w:tcW w:w="1000" w:type="dxa"/>
            <w:vAlign w:val="bottom"/>
            <w:tcBorders>
              <w:bottom w:val="single" w:sz="8" w:color="auto"/>
            </w:tcBorders>
            <w:shd w:val="clear" w:color="auto" w:fill="D1EEF5"/>
          </w:tcPr>
          <w:p>
            <w:pPr>
              <w:spacing w:after="0"/>
              <w:rPr>
                <w:sz w:val="16"/>
                <w:szCs w:val="16"/>
                <w:color w:val="auto"/>
              </w:rPr>
            </w:pPr>
          </w:p>
        </w:tc>
        <w:tc>
          <w:tcPr>
            <w:tcW w:w="54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300" w:type="dxa"/>
            <w:vAlign w:val="bottom"/>
            <w:tcBorders>
              <w:bottom w:val="single" w:sz="8" w:color="D1EEF5"/>
            </w:tcBorders>
            <w:shd w:val="clear" w:color="auto" w:fill="D1EEF5"/>
          </w:tcPr>
          <w:p>
            <w:pPr>
              <w:spacing w:after="0"/>
              <w:rPr>
                <w:sz w:val="16"/>
                <w:szCs w:val="16"/>
                <w:color w:val="auto"/>
              </w:rPr>
            </w:pPr>
          </w:p>
        </w:tc>
        <w:tc>
          <w:tcPr>
            <w:tcW w:w="360" w:type="dxa"/>
            <w:vAlign w:val="bottom"/>
            <w:tcBorders>
              <w:bottom w:val="single" w:sz="8" w:color="auto"/>
            </w:tcBorders>
            <w:shd w:val="clear" w:color="auto" w:fill="D1EEF5"/>
          </w:tcPr>
          <w:p>
            <w:pPr>
              <w:spacing w:after="0"/>
              <w:rPr>
                <w:sz w:val="16"/>
                <w:szCs w:val="16"/>
                <w:color w:val="auto"/>
              </w:rPr>
            </w:pPr>
          </w:p>
        </w:tc>
        <w:tc>
          <w:tcPr>
            <w:tcW w:w="118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100" w:type="dxa"/>
            <w:vAlign w:val="bottom"/>
            <w:tcBorders>
              <w:bottom w:val="single" w:sz="8" w:color="D1EEF5"/>
            </w:tcBorders>
            <w:shd w:val="clear" w:color="auto" w:fill="D1EEF5"/>
          </w:tcPr>
          <w:p>
            <w:pPr>
              <w:spacing w:after="0"/>
              <w:rPr>
                <w:sz w:val="16"/>
                <w:szCs w:val="16"/>
                <w:color w:val="auto"/>
              </w:rPr>
            </w:pPr>
          </w:p>
        </w:tc>
      </w:tr>
      <w:tr>
        <w:trPr>
          <w:trHeight w:val="146"/>
        </w:trPr>
        <w:tc>
          <w:tcPr>
            <w:tcW w:w="6560" w:type="dxa"/>
            <w:vAlign w:val="bottom"/>
            <w:tcBorders>
              <w:bottom w:val="single" w:sz="8" w:color="D1EEF5"/>
            </w:tcBorders>
          </w:tcPr>
          <w:p>
            <w:pPr>
              <w:ind w:left="280"/>
              <w:spacing w:after="0" w:line="126" w:lineRule="exact"/>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D1EEF5"/>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73,489</w:t>
            </w:r>
          </w:p>
        </w:tc>
        <w:tc>
          <w:tcPr>
            <w:tcW w:w="300" w:type="dxa"/>
            <w:vAlign w:val="bottom"/>
            <w:tcBorders>
              <w:bottom w:val="single" w:sz="8" w:color="D1EEF5"/>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66,081</w:t>
            </w:r>
          </w:p>
        </w:tc>
        <w:tc>
          <w:tcPr>
            <w:tcW w:w="100" w:type="dxa"/>
            <w:vAlign w:val="bottom"/>
            <w:tcBorders>
              <w:bottom w:val="single" w:sz="8" w:color="D1EEF5"/>
            </w:tcBorders>
          </w:tcPr>
          <w:p>
            <w:pPr>
              <w:spacing w:after="0"/>
              <w:rPr>
                <w:sz w:val="12"/>
                <w:szCs w:val="12"/>
                <w:color w:val="auto"/>
              </w:rPr>
            </w:pPr>
          </w:p>
        </w:tc>
      </w:tr>
      <w:tr>
        <w:trPr>
          <w:trHeight w:val="178"/>
        </w:trPr>
        <w:tc>
          <w:tcPr>
            <w:tcW w:w="65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Property and Equipment</w:t>
            </w:r>
          </w:p>
        </w:tc>
        <w:tc>
          <w:tcPr>
            <w:tcW w:w="200" w:type="dxa"/>
            <w:vAlign w:val="bottom"/>
            <w:shd w:val="clear" w:color="auto" w:fill="D1EEF5"/>
          </w:tcPr>
          <w:p>
            <w:pPr>
              <w:spacing w:after="0"/>
              <w:rPr>
                <w:sz w:val="15"/>
                <w:szCs w:val="15"/>
                <w:color w:val="auto"/>
              </w:rPr>
            </w:pPr>
          </w:p>
        </w:tc>
        <w:tc>
          <w:tcPr>
            <w:tcW w:w="1000" w:type="dxa"/>
            <w:vAlign w:val="bottom"/>
            <w:shd w:val="clear" w:color="auto" w:fill="D1EEF5"/>
          </w:tcPr>
          <w:p>
            <w:pPr>
              <w:spacing w:after="0"/>
              <w:rPr>
                <w:sz w:val="15"/>
                <w:szCs w:val="15"/>
                <w:color w:val="auto"/>
              </w:rPr>
            </w:pPr>
          </w:p>
        </w:tc>
        <w:tc>
          <w:tcPr>
            <w:tcW w:w="540" w:type="dxa"/>
            <w:vAlign w:val="bottom"/>
            <w:shd w:val="clear" w:color="auto" w:fill="D1EEF5"/>
          </w:tcPr>
          <w:p>
            <w:pPr>
              <w:spacing w:after="0"/>
              <w:rPr>
                <w:sz w:val="15"/>
                <w:szCs w:val="15"/>
                <w:color w:val="auto"/>
              </w:rPr>
            </w:pPr>
          </w:p>
        </w:tc>
        <w:tc>
          <w:tcPr>
            <w:tcW w:w="300" w:type="dxa"/>
            <w:vAlign w:val="bottom"/>
            <w:shd w:val="clear" w:color="auto" w:fill="D1EEF5"/>
          </w:tcPr>
          <w:p>
            <w:pPr>
              <w:spacing w:after="0"/>
              <w:rPr>
                <w:sz w:val="15"/>
                <w:szCs w:val="15"/>
                <w:color w:val="auto"/>
              </w:rPr>
            </w:pPr>
          </w:p>
        </w:tc>
        <w:tc>
          <w:tcPr>
            <w:tcW w:w="360" w:type="dxa"/>
            <w:vAlign w:val="bottom"/>
            <w:shd w:val="clear" w:color="auto" w:fill="D1EEF5"/>
          </w:tcPr>
          <w:p>
            <w:pPr>
              <w:spacing w:after="0"/>
              <w:rPr>
                <w:sz w:val="15"/>
                <w:szCs w:val="15"/>
                <w:color w:val="auto"/>
              </w:rPr>
            </w:pPr>
          </w:p>
        </w:tc>
        <w:tc>
          <w:tcPr>
            <w:tcW w:w="1180" w:type="dxa"/>
            <w:vAlign w:val="bottom"/>
            <w:shd w:val="clear" w:color="auto" w:fill="D1EEF5"/>
          </w:tcPr>
          <w:p>
            <w:pPr>
              <w:spacing w:after="0"/>
              <w:rPr>
                <w:sz w:val="15"/>
                <w:szCs w:val="15"/>
                <w:color w:val="auto"/>
              </w:rPr>
            </w:pPr>
          </w:p>
        </w:tc>
        <w:tc>
          <w:tcPr>
            <w:tcW w:w="100" w:type="dxa"/>
            <w:vAlign w:val="bottom"/>
            <w:shd w:val="clear" w:color="auto" w:fill="D1EEF5"/>
          </w:tcPr>
          <w:p>
            <w:pPr>
              <w:spacing w:after="0"/>
              <w:rPr>
                <w:sz w:val="15"/>
                <w:szCs w:val="15"/>
                <w:color w:val="auto"/>
              </w:rPr>
            </w:pPr>
          </w:p>
        </w:tc>
      </w:tr>
      <w:tr>
        <w:trPr>
          <w:trHeight w:val="156"/>
        </w:trPr>
        <w:tc>
          <w:tcPr>
            <w:tcW w:w="65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Machinery and equipment</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10,214</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3,615</w:t>
            </w:r>
          </w:p>
        </w:tc>
        <w:tc>
          <w:tcPr>
            <w:tcW w:w="100" w:type="dxa"/>
            <w:vAlign w:val="bottom"/>
          </w:tcPr>
          <w:p>
            <w:pPr>
              <w:spacing w:after="0"/>
              <w:rPr>
                <w:sz w:val="13"/>
                <w:szCs w:val="13"/>
                <w:color w:val="auto"/>
              </w:rPr>
            </w:pPr>
          </w:p>
        </w:tc>
      </w:tr>
      <w:tr>
        <w:trPr>
          <w:trHeight w:val="157"/>
        </w:trPr>
        <w:tc>
          <w:tcPr>
            <w:tcW w:w="6560" w:type="dxa"/>
            <w:vAlign w:val="bottom"/>
            <w:shd w:val="clear" w:color="auto" w:fill="D1EEF5"/>
          </w:tcPr>
          <w:p>
            <w:pPr>
              <w:ind w:left="140"/>
              <w:spacing w:after="0" w:line="157" w:lineRule="exact"/>
              <w:rPr>
                <w:sz w:val="20"/>
                <w:szCs w:val="20"/>
                <w:color w:val="auto"/>
              </w:rPr>
            </w:pPr>
            <w:r>
              <w:rPr>
                <w:rFonts w:ascii="Times New Roman" w:cs="Times New Roman" w:eastAsia="Times New Roman" w:hAnsi="Times New Roman"/>
                <w:sz w:val="14"/>
                <w:szCs w:val="14"/>
                <w:color w:val="auto"/>
              </w:rPr>
              <w:t>Office furniture and equipment</w:t>
            </w:r>
          </w:p>
        </w:tc>
        <w:tc>
          <w:tcPr>
            <w:tcW w:w="200" w:type="dxa"/>
            <w:vAlign w:val="bottom"/>
            <w:shd w:val="clear" w:color="auto" w:fill="D1EEF5"/>
          </w:tcPr>
          <w:p>
            <w:pPr>
              <w:spacing w:after="0"/>
              <w:rPr>
                <w:sz w:val="13"/>
                <w:szCs w:val="13"/>
                <w:color w:val="auto"/>
              </w:rPr>
            </w:pPr>
          </w:p>
        </w:tc>
        <w:tc>
          <w:tcPr>
            <w:tcW w:w="1000" w:type="dxa"/>
            <w:vAlign w:val="bottom"/>
            <w:shd w:val="clear" w:color="auto" w:fill="D1EEF5"/>
          </w:tcPr>
          <w:p>
            <w:pPr>
              <w:spacing w:after="0"/>
              <w:rPr>
                <w:sz w:val="13"/>
                <w:szCs w:val="13"/>
                <w:color w:val="auto"/>
              </w:rPr>
            </w:pPr>
          </w:p>
        </w:tc>
        <w:tc>
          <w:tcPr>
            <w:tcW w:w="54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275</w:t>
            </w:r>
          </w:p>
        </w:tc>
        <w:tc>
          <w:tcPr>
            <w:tcW w:w="300" w:type="dxa"/>
            <w:vAlign w:val="bottom"/>
            <w:shd w:val="clear" w:color="auto" w:fill="D1EEF5"/>
          </w:tcPr>
          <w:p>
            <w:pPr>
              <w:spacing w:after="0"/>
              <w:rPr>
                <w:sz w:val="13"/>
                <w:szCs w:val="13"/>
                <w:color w:val="auto"/>
              </w:rPr>
            </w:pPr>
          </w:p>
        </w:tc>
        <w:tc>
          <w:tcPr>
            <w:tcW w:w="360" w:type="dxa"/>
            <w:vAlign w:val="bottom"/>
            <w:shd w:val="clear" w:color="auto" w:fill="D1EEF5"/>
          </w:tcPr>
          <w:p>
            <w:pPr>
              <w:spacing w:after="0"/>
              <w:rPr>
                <w:sz w:val="13"/>
                <w:szCs w:val="13"/>
                <w:color w:val="auto"/>
              </w:rPr>
            </w:pPr>
          </w:p>
        </w:tc>
        <w:tc>
          <w:tcPr>
            <w:tcW w:w="118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D1EEF5"/>
          </w:tcPr>
          <w:p>
            <w:pPr>
              <w:spacing w:after="0"/>
              <w:rPr>
                <w:sz w:val="13"/>
                <w:szCs w:val="13"/>
                <w:color w:val="auto"/>
              </w:rPr>
            </w:pPr>
          </w:p>
        </w:tc>
      </w:tr>
      <w:tr>
        <w:trPr>
          <w:trHeight w:val="156"/>
        </w:trPr>
        <w:tc>
          <w:tcPr>
            <w:tcW w:w="656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Leasehold improvements</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1,709</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1,307</w:t>
            </w:r>
          </w:p>
        </w:tc>
        <w:tc>
          <w:tcPr>
            <w:tcW w:w="100" w:type="dxa"/>
            <w:vAlign w:val="bottom"/>
          </w:tcPr>
          <w:p>
            <w:pPr>
              <w:spacing w:after="0"/>
              <w:rPr>
                <w:sz w:val="13"/>
                <w:szCs w:val="13"/>
                <w:color w:val="auto"/>
              </w:rPr>
            </w:pPr>
          </w:p>
        </w:tc>
      </w:tr>
      <w:tr>
        <w:trPr>
          <w:trHeight w:val="187"/>
        </w:trPr>
        <w:tc>
          <w:tcPr>
            <w:tcW w:w="6560" w:type="dxa"/>
            <w:vAlign w:val="bottom"/>
            <w:tcBorders>
              <w:bottom w:val="single" w:sz="8" w:color="D1EEF5"/>
            </w:tcBorders>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Vehicle</w:t>
            </w:r>
          </w:p>
        </w:tc>
        <w:tc>
          <w:tcPr>
            <w:tcW w:w="200" w:type="dxa"/>
            <w:vAlign w:val="bottom"/>
            <w:tcBorders>
              <w:bottom w:val="single" w:sz="8" w:color="D1EEF5"/>
            </w:tcBorders>
            <w:shd w:val="clear" w:color="auto" w:fill="D1EEF5"/>
          </w:tcPr>
          <w:p>
            <w:pPr>
              <w:spacing w:after="0"/>
              <w:rPr>
                <w:sz w:val="16"/>
                <w:szCs w:val="16"/>
                <w:color w:val="auto"/>
              </w:rPr>
            </w:pPr>
          </w:p>
        </w:tc>
        <w:tc>
          <w:tcPr>
            <w:tcW w:w="1000" w:type="dxa"/>
            <w:vAlign w:val="bottom"/>
            <w:tcBorders>
              <w:bottom w:val="single" w:sz="8" w:color="auto"/>
            </w:tcBorders>
            <w:shd w:val="clear" w:color="auto" w:fill="D1EEF5"/>
          </w:tcPr>
          <w:p>
            <w:pPr>
              <w:spacing w:after="0"/>
              <w:rPr>
                <w:sz w:val="16"/>
                <w:szCs w:val="16"/>
                <w:color w:val="auto"/>
              </w:rPr>
            </w:pPr>
          </w:p>
        </w:tc>
        <w:tc>
          <w:tcPr>
            <w:tcW w:w="54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300" w:type="dxa"/>
            <w:vAlign w:val="bottom"/>
            <w:tcBorders>
              <w:bottom w:val="single" w:sz="8" w:color="D1EEF5"/>
            </w:tcBorders>
            <w:shd w:val="clear" w:color="auto" w:fill="D1EEF5"/>
          </w:tcPr>
          <w:p>
            <w:pPr>
              <w:spacing w:after="0"/>
              <w:rPr>
                <w:sz w:val="16"/>
                <w:szCs w:val="16"/>
                <w:color w:val="auto"/>
              </w:rPr>
            </w:pPr>
          </w:p>
        </w:tc>
        <w:tc>
          <w:tcPr>
            <w:tcW w:w="360" w:type="dxa"/>
            <w:vAlign w:val="bottom"/>
            <w:tcBorders>
              <w:bottom w:val="single" w:sz="8" w:color="auto"/>
            </w:tcBorders>
            <w:shd w:val="clear" w:color="auto" w:fill="D1EEF5"/>
          </w:tcPr>
          <w:p>
            <w:pPr>
              <w:spacing w:after="0"/>
              <w:rPr>
                <w:sz w:val="16"/>
                <w:szCs w:val="16"/>
                <w:color w:val="auto"/>
              </w:rPr>
            </w:pPr>
          </w:p>
        </w:tc>
        <w:tc>
          <w:tcPr>
            <w:tcW w:w="118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D1EEF5"/>
            </w:tcBorders>
            <w:shd w:val="clear" w:color="auto" w:fill="D1EEF5"/>
          </w:tcPr>
          <w:p>
            <w:pPr>
              <w:spacing w:after="0"/>
              <w:rPr>
                <w:sz w:val="16"/>
                <w:szCs w:val="16"/>
                <w:color w:val="auto"/>
              </w:rPr>
            </w:pPr>
          </w:p>
        </w:tc>
      </w:tr>
      <w:tr>
        <w:trPr>
          <w:trHeight w:val="136"/>
        </w:trPr>
        <w:tc>
          <w:tcPr>
            <w:tcW w:w="6560" w:type="dxa"/>
            <w:vAlign w:val="bottom"/>
          </w:tcPr>
          <w:p>
            <w:pPr>
              <w:ind w:left="280"/>
              <w:spacing w:after="0" w:line="137" w:lineRule="exact"/>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12,393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5,318</w:t>
            </w:r>
          </w:p>
        </w:tc>
        <w:tc>
          <w:tcPr>
            <w:tcW w:w="100" w:type="dxa"/>
            <w:vAlign w:val="bottom"/>
          </w:tcPr>
          <w:p>
            <w:pPr>
              <w:spacing w:after="0"/>
              <w:rPr>
                <w:sz w:val="11"/>
                <w:szCs w:val="11"/>
                <w:color w:val="auto"/>
              </w:rPr>
            </w:pPr>
          </w:p>
        </w:tc>
      </w:tr>
      <w:tr>
        <w:trPr>
          <w:trHeight w:val="176"/>
        </w:trPr>
        <w:tc>
          <w:tcPr>
            <w:tcW w:w="6560" w:type="dxa"/>
            <w:vAlign w:val="bottom"/>
            <w:shd w:val="clear" w:color="auto" w:fill="D1EEF5"/>
          </w:tcPr>
          <w:p>
            <w:pPr>
              <w:ind w:left="140"/>
              <w:spacing w:after="0" w:line="155" w:lineRule="exact"/>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00" w:type="dxa"/>
            <w:vAlign w:val="bottom"/>
            <w:shd w:val="clear" w:color="auto" w:fill="D1EEF5"/>
          </w:tcPr>
          <w:p>
            <w:pPr>
              <w:spacing w:after="0"/>
              <w:rPr>
                <w:sz w:val="15"/>
                <w:szCs w:val="15"/>
                <w:color w:val="auto"/>
              </w:rPr>
            </w:pPr>
          </w:p>
        </w:tc>
        <w:tc>
          <w:tcPr>
            <w:tcW w:w="1000" w:type="dxa"/>
            <w:vAlign w:val="bottom"/>
            <w:shd w:val="clear" w:color="auto" w:fill="D1EEF5"/>
          </w:tcPr>
          <w:p>
            <w:pPr>
              <w:spacing w:after="0"/>
              <w:rPr>
                <w:sz w:val="15"/>
                <w:szCs w:val="15"/>
                <w:color w:val="auto"/>
              </w:rPr>
            </w:pPr>
          </w:p>
        </w:tc>
        <w:tc>
          <w:tcPr>
            <w:tcW w:w="840" w:type="dxa"/>
            <w:vAlign w:val="bottom"/>
            <w:gridSpan w:val="2"/>
            <w:shd w:val="clear" w:color="auto" w:fill="D1EEF5"/>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(1,633)</w:t>
            </w:r>
          </w:p>
        </w:tc>
        <w:tc>
          <w:tcPr>
            <w:tcW w:w="360" w:type="dxa"/>
            <w:vAlign w:val="bottom"/>
            <w:shd w:val="clear" w:color="auto" w:fill="D1EEF5"/>
          </w:tcPr>
          <w:p>
            <w:pPr>
              <w:spacing w:after="0"/>
              <w:rPr>
                <w:sz w:val="15"/>
                <w:szCs w:val="15"/>
                <w:color w:val="auto"/>
              </w:rPr>
            </w:pPr>
          </w:p>
        </w:tc>
        <w:tc>
          <w:tcPr>
            <w:tcW w:w="1280" w:type="dxa"/>
            <w:vAlign w:val="bottom"/>
            <w:gridSpan w:val="2"/>
            <w:shd w:val="clear" w:color="auto" w:fill="D1EEF5"/>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(857)</w:t>
            </w:r>
          </w:p>
        </w:tc>
      </w:tr>
      <w:tr>
        <w:trPr>
          <w:trHeight w:val="147"/>
        </w:trPr>
        <w:tc>
          <w:tcPr>
            <w:tcW w:w="6560" w:type="dxa"/>
            <w:vAlign w:val="bottom"/>
            <w:tcBorders>
              <w:top w:val="single" w:sz="8" w:color="D1EEF5"/>
            </w:tcBorders>
          </w:tcPr>
          <w:p>
            <w:pPr>
              <w:ind w:left="280"/>
              <w:spacing w:after="0" w:line="147" w:lineRule="exact"/>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Borders>
              <w:top w:val="single" w:sz="8" w:color="D1EEF5"/>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10,760</w:t>
            </w:r>
          </w:p>
        </w:tc>
        <w:tc>
          <w:tcPr>
            <w:tcW w:w="300" w:type="dxa"/>
            <w:vAlign w:val="bottom"/>
            <w:tcBorders>
              <w:top w:val="single" w:sz="8" w:color="D1EEF5"/>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4,461</w:t>
            </w:r>
          </w:p>
        </w:tc>
        <w:tc>
          <w:tcPr>
            <w:tcW w:w="100" w:type="dxa"/>
            <w:vAlign w:val="bottom"/>
            <w:tcBorders>
              <w:top w:val="single" w:sz="8" w:color="D1EEF5"/>
            </w:tcBorders>
          </w:tcPr>
          <w:p>
            <w:pPr>
              <w:spacing w:after="0"/>
              <w:rPr>
                <w:sz w:val="12"/>
                <w:szCs w:val="12"/>
                <w:color w:val="auto"/>
              </w:rPr>
            </w:pPr>
          </w:p>
        </w:tc>
      </w:tr>
      <w:tr>
        <w:trPr>
          <w:trHeight w:val="176"/>
        </w:trPr>
        <w:tc>
          <w:tcPr>
            <w:tcW w:w="6560" w:type="dxa"/>
            <w:vAlign w:val="bottom"/>
            <w:tcBorders>
              <w:bottom w:val="single" w:sz="8" w:color="D1EEF5"/>
            </w:tcBorders>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Operating lease right of use asset</w:t>
            </w:r>
          </w:p>
        </w:tc>
        <w:tc>
          <w:tcPr>
            <w:tcW w:w="200" w:type="dxa"/>
            <w:vAlign w:val="bottom"/>
            <w:tcBorders>
              <w:bottom w:val="single" w:sz="8" w:color="D1EEF5"/>
            </w:tcBorders>
            <w:shd w:val="clear" w:color="auto" w:fill="D1EEF5"/>
          </w:tcPr>
          <w:p>
            <w:pPr>
              <w:spacing w:after="0"/>
              <w:rPr>
                <w:sz w:val="15"/>
                <w:szCs w:val="15"/>
                <w:color w:val="auto"/>
              </w:rPr>
            </w:pPr>
          </w:p>
        </w:tc>
        <w:tc>
          <w:tcPr>
            <w:tcW w:w="1000" w:type="dxa"/>
            <w:vAlign w:val="bottom"/>
            <w:tcBorders>
              <w:bottom w:val="single" w:sz="8" w:color="auto"/>
            </w:tcBorders>
            <w:shd w:val="clear" w:color="auto" w:fill="D1EEF5"/>
          </w:tcPr>
          <w:p>
            <w:pPr>
              <w:spacing w:after="0"/>
              <w:rPr>
                <w:sz w:val="15"/>
                <w:szCs w:val="15"/>
                <w:color w:val="auto"/>
              </w:rPr>
            </w:pPr>
          </w:p>
        </w:tc>
        <w:tc>
          <w:tcPr>
            <w:tcW w:w="540" w:type="dxa"/>
            <w:vAlign w:val="bottom"/>
            <w:tcBorders>
              <w:bottom w:val="single" w:sz="8" w:color="auto"/>
            </w:tcBorders>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4,513</w:t>
            </w:r>
          </w:p>
        </w:tc>
        <w:tc>
          <w:tcPr>
            <w:tcW w:w="300" w:type="dxa"/>
            <w:vAlign w:val="bottom"/>
            <w:tcBorders>
              <w:bottom w:val="single" w:sz="8" w:color="D1EEF5"/>
            </w:tcBorders>
            <w:shd w:val="clear" w:color="auto" w:fill="D1EEF5"/>
          </w:tcPr>
          <w:p>
            <w:pPr>
              <w:spacing w:after="0"/>
              <w:rPr>
                <w:sz w:val="15"/>
                <w:szCs w:val="15"/>
                <w:color w:val="auto"/>
              </w:rPr>
            </w:pPr>
          </w:p>
        </w:tc>
        <w:tc>
          <w:tcPr>
            <w:tcW w:w="360" w:type="dxa"/>
            <w:vAlign w:val="bottom"/>
            <w:tcBorders>
              <w:bottom w:val="single" w:sz="8" w:color="auto"/>
            </w:tcBorders>
            <w:shd w:val="clear" w:color="auto" w:fill="D1EEF5"/>
          </w:tcPr>
          <w:p>
            <w:pPr>
              <w:spacing w:after="0"/>
              <w:rPr>
                <w:sz w:val="15"/>
                <w:szCs w:val="15"/>
                <w:color w:val="auto"/>
              </w:rPr>
            </w:pPr>
          </w:p>
        </w:tc>
        <w:tc>
          <w:tcPr>
            <w:tcW w:w="1180" w:type="dxa"/>
            <w:vAlign w:val="bottom"/>
            <w:tcBorders>
              <w:bottom w:val="single" w:sz="8" w:color="auto"/>
            </w:tcBorders>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5,709</w:t>
            </w:r>
          </w:p>
        </w:tc>
        <w:tc>
          <w:tcPr>
            <w:tcW w:w="100" w:type="dxa"/>
            <w:vAlign w:val="bottom"/>
            <w:tcBorders>
              <w:bottom w:val="single" w:sz="8" w:color="D1EEF5"/>
            </w:tcBorders>
            <w:shd w:val="clear" w:color="auto" w:fill="D1EEF5"/>
          </w:tcPr>
          <w:p>
            <w:pPr>
              <w:spacing w:after="0"/>
              <w:rPr>
                <w:sz w:val="15"/>
                <w:szCs w:val="15"/>
                <w:color w:val="auto"/>
              </w:rPr>
            </w:pPr>
          </w:p>
        </w:tc>
      </w:tr>
      <w:tr>
        <w:trPr>
          <w:trHeight w:val="169"/>
        </w:trPr>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Pr>
          <w:p>
            <w:pPr>
              <w:spacing w:after="0"/>
              <w:rPr>
                <w:sz w:val="14"/>
                <w:szCs w:val="14"/>
                <w:color w:val="auto"/>
              </w:rPr>
            </w:pPr>
          </w:p>
        </w:tc>
        <w:tc>
          <w:tcPr>
            <w:tcW w:w="1000" w:type="dxa"/>
            <w:vAlign w:val="bottom"/>
          </w:tcPr>
          <w:p>
            <w:pPr>
              <w:jc w:val="right"/>
              <w:ind w:right="88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88,762</w:t>
            </w:r>
          </w:p>
        </w:tc>
        <w:tc>
          <w:tcPr>
            <w:tcW w:w="300" w:type="dxa"/>
            <w:vAlign w:val="bottom"/>
          </w:tcPr>
          <w:p>
            <w:pPr>
              <w:spacing w:after="0"/>
              <w:rPr>
                <w:sz w:val="14"/>
                <w:szCs w:val="14"/>
                <w:color w:val="auto"/>
              </w:rPr>
            </w:pP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76,251</w:t>
            </w:r>
          </w:p>
        </w:tc>
        <w:tc>
          <w:tcPr>
            <w:tcW w:w="100" w:type="dxa"/>
            <w:vAlign w:val="bottom"/>
          </w:tcPr>
          <w:p>
            <w:pPr>
              <w:spacing w:after="0"/>
              <w:rPr>
                <w:sz w:val="14"/>
                <w:szCs w:val="14"/>
                <w:color w:val="auto"/>
              </w:rPr>
            </w:pPr>
          </w:p>
        </w:tc>
      </w:tr>
      <w:tr>
        <w:trPr>
          <w:trHeight w:val="206"/>
        </w:trPr>
        <w:tc>
          <w:tcPr>
            <w:tcW w:w="65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00" w:type="dxa"/>
            <w:vAlign w:val="bottom"/>
            <w:shd w:val="clear" w:color="auto" w:fill="D1EEF5"/>
          </w:tcPr>
          <w:p>
            <w:pPr>
              <w:spacing w:after="0"/>
              <w:rPr>
                <w:sz w:val="17"/>
                <w:szCs w:val="17"/>
                <w:color w:val="auto"/>
              </w:rPr>
            </w:pPr>
          </w:p>
        </w:tc>
        <w:tc>
          <w:tcPr>
            <w:tcW w:w="1000" w:type="dxa"/>
            <w:vAlign w:val="bottom"/>
            <w:shd w:val="clear" w:color="auto" w:fill="D1EEF5"/>
          </w:tcPr>
          <w:p>
            <w:pPr>
              <w:spacing w:after="0"/>
              <w:rPr>
                <w:sz w:val="17"/>
                <w:szCs w:val="17"/>
                <w:color w:val="auto"/>
              </w:rPr>
            </w:pPr>
          </w:p>
        </w:tc>
        <w:tc>
          <w:tcPr>
            <w:tcW w:w="540" w:type="dxa"/>
            <w:vAlign w:val="bottom"/>
            <w:shd w:val="clear" w:color="auto" w:fill="D1EEF5"/>
          </w:tcPr>
          <w:p>
            <w:pPr>
              <w:spacing w:after="0"/>
              <w:rPr>
                <w:sz w:val="17"/>
                <w:szCs w:val="17"/>
                <w:color w:val="auto"/>
              </w:rPr>
            </w:pPr>
          </w:p>
        </w:tc>
        <w:tc>
          <w:tcPr>
            <w:tcW w:w="300" w:type="dxa"/>
            <w:vAlign w:val="bottom"/>
            <w:shd w:val="clear" w:color="auto" w:fill="D1EEF5"/>
          </w:tcPr>
          <w:p>
            <w:pPr>
              <w:spacing w:after="0"/>
              <w:rPr>
                <w:sz w:val="17"/>
                <w:szCs w:val="17"/>
                <w:color w:val="auto"/>
              </w:rPr>
            </w:pPr>
          </w:p>
        </w:tc>
        <w:tc>
          <w:tcPr>
            <w:tcW w:w="360" w:type="dxa"/>
            <w:vAlign w:val="bottom"/>
            <w:shd w:val="clear" w:color="auto" w:fill="D1EEF5"/>
          </w:tcPr>
          <w:p>
            <w:pPr>
              <w:spacing w:after="0"/>
              <w:rPr>
                <w:sz w:val="17"/>
                <w:szCs w:val="17"/>
                <w:color w:val="auto"/>
              </w:rPr>
            </w:pPr>
          </w:p>
        </w:tc>
        <w:tc>
          <w:tcPr>
            <w:tcW w:w="1180" w:type="dxa"/>
            <w:vAlign w:val="bottom"/>
            <w:shd w:val="clear" w:color="auto" w:fill="D1EEF5"/>
          </w:tcPr>
          <w:p>
            <w:pPr>
              <w:spacing w:after="0"/>
              <w:rPr>
                <w:sz w:val="17"/>
                <w:szCs w:val="17"/>
                <w:color w:val="auto"/>
              </w:rPr>
            </w:pPr>
          </w:p>
        </w:tc>
        <w:tc>
          <w:tcPr>
            <w:tcW w:w="100" w:type="dxa"/>
            <w:vAlign w:val="bottom"/>
            <w:shd w:val="clear" w:color="auto" w:fill="D1EEF5"/>
          </w:tcPr>
          <w:p>
            <w:pPr>
              <w:spacing w:after="0"/>
              <w:rPr>
                <w:sz w:val="17"/>
                <w:szCs w:val="17"/>
                <w:color w:val="auto"/>
              </w:rPr>
            </w:pPr>
          </w:p>
        </w:tc>
      </w:tr>
      <w:tr>
        <w:trPr>
          <w:trHeight w:val="157"/>
        </w:trPr>
        <w:tc>
          <w:tcPr>
            <w:tcW w:w="656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13,475</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11,360</w:t>
            </w:r>
          </w:p>
        </w:tc>
        <w:tc>
          <w:tcPr>
            <w:tcW w:w="100" w:type="dxa"/>
            <w:vAlign w:val="bottom"/>
          </w:tcPr>
          <w:p>
            <w:pPr>
              <w:spacing w:after="0"/>
              <w:rPr>
                <w:sz w:val="13"/>
                <w:szCs w:val="13"/>
                <w:color w:val="auto"/>
              </w:rPr>
            </w:pPr>
          </w:p>
        </w:tc>
      </w:tr>
      <w:tr>
        <w:trPr>
          <w:trHeight w:val="156"/>
        </w:trPr>
        <w:tc>
          <w:tcPr>
            <w:tcW w:w="6560" w:type="dxa"/>
            <w:vAlign w:val="bottom"/>
            <w:shd w:val="clear" w:color="auto" w:fill="D1EEF5"/>
          </w:tcPr>
          <w:p>
            <w:pPr>
              <w:ind w:left="140"/>
              <w:spacing w:after="0" w:line="156" w:lineRule="exact"/>
              <w:rPr>
                <w:sz w:val="20"/>
                <w:szCs w:val="20"/>
                <w:color w:val="auto"/>
              </w:rPr>
            </w:pPr>
            <w:r>
              <w:rPr>
                <w:rFonts w:ascii="Times New Roman" w:cs="Times New Roman" w:eastAsia="Times New Roman" w:hAnsi="Times New Roman"/>
                <w:sz w:val="14"/>
                <w:szCs w:val="14"/>
                <w:color w:val="auto"/>
              </w:rPr>
              <w:t>Accrued payroll and other liabilities</w:t>
            </w:r>
          </w:p>
        </w:tc>
        <w:tc>
          <w:tcPr>
            <w:tcW w:w="200" w:type="dxa"/>
            <w:vAlign w:val="bottom"/>
            <w:shd w:val="clear" w:color="auto" w:fill="D1EEF5"/>
          </w:tcPr>
          <w:p>
            <w:pPr>
              <w:spacing w:after="0"/>
              <w:rPr>
                <w:sz w:val="13"/>
                <w:szCs w:val="13"/>
                <w:color w:val="auto"/>
              </w:rPr>
            </w:pPr>
          </w:p>
        </w:tc>
        <w:tc>
          <w:tcPr>
            <w:tcW w:w="1000" w:type="dxa"/>
            <w:vAlign w:val="bottom"/>
            <w:shd w:val="clear" w:color="auto" w:fill="D1EEF5"/>
          </w:tcPr>
          <w:p>
            <w:pPr>
              <w:spacing w:after="0"/>
              <w:rPr>
                <w:sz w:val="13"/>
                <w:szCs w:val="13"/>
                <w:color w:val="auto"/>
              </w:rPr>
            </w:pPr>
          </w:p>
        </w:tc>
        <w:tc>
          <w:tcPr>
            <w:tcW w:w="54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6,295</w:t>
            </w:r>
          </w:p>
        </w:tc>
        <w:tc>
          <w:tcPr>
            <w:tcW w:w="300" w:type="dxa"/>
            <w:vAlign w:val="bottom"/>
            <w:shd w:val="clear" w:color="auto" w:fill="D1EEF5"/>
          </w:tcPr>
          <w:p>
            <w:pPr>
              <w:spacing w:after="0"/>
              <w:rPr>
                <w:sz w:val="13"/>
                <w:szCs w:val="13"/>
                <w:color w:val="auto"/>
              </w:rPr>
            </w:pPr>
          </w:p>
        </w:tc>
        <w:tc>
          <w:tcPr>
            <w:tcW w:w="360" w:type="dxa"/>
            <w:vAlign w:val="bottom"/>
            <w:shd w:val="clear" w:color="auto" w:fill="D1EEF5"/>
          </w:tcPr>
          <w:p>
            <w:pPr>
              <w:spacing w:after="0"/>
              <w:rPr>
                <w:sz w:val="13"/>
                <w:szCs w:val="13"/>
                <w:color w:val="auto"/>
              </w:rPr>
            </w:pPr>
          </w:p>
        </w:tc>
        <w:tc>
          <w:tcPr>
            <w:tcW w:w="11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2,608</w:t>
            </w:r>
          </w:p>
        </w:tc>
        <w:tc>
          <w:tcPr>
            <w:tcW w:w="100" w:type="dxa"/>
            <w:vAlign w:val="bottom"/>
            <w:shd w:val="clear" w:color="auto" w:fill="D1EEF5"/>
          </w:tcPr>
          <w:p>
            <w:pPr>
              <w:spacing w:after="0"/>
              <w:rPr>
                <w:sz w:val="13"/>
                <w:szCs w:val="13"/>
                <w:color w:val="auto"/>
              </w:rPr>
            </w:pPr>
          </w:p>
        </w:tc>
      </w:tr>
      <w:tr>
        <w:trPr>
          <w:trHeight w:val="156"/>
        </w:trPr>
        <w:tc>
          <w:tcPr>
            <w:tcW w:w="656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Customer deposits</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238</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3"/>
                <w:szCs w:val="13"/>
                <w:color w:val="auto"/>
              </w:rPr>
            </w:pPr>
          </w:p>
        </w:tc>
      </w:tr>
      <w:tr>
        <w:trPr>
          <w:trHeight w:val="156"/>
        </w:trPr>
        <w:tc>
          <w:tcPr>
            <w:tcW w:w="6560" w:type="dxa"/>
            <w:vAlign w:val="bottom"/>
            <w:shd w:val="clear" w:color="auto" w:fill="D1EEF5"/>
          </w:tcPr>
          <w:p>
            <w:pPr>
              <w:ind w:left="140"/>
              <w:spacing w:after="0" w:line="156" w:lineRule="exact"/>
              <w:rPr>
                <w:sz w:val="20"/>
                <w:szCs w:val="20"/>
                <w:color w:val="auto"/>
              </w:rPr>
            </w:pPr>
            <w:r>
              <w:rPr>
                <w:rFonts w:ascii="Times New Roman" w:cs="Times New Roman" w:eastAsia="Times New Roman" w:hAnsi="Times New Roman"/>
                <w:sz w:val="14"/>
                <w:szCs w:val="14"/>
                <w:color w:val="auto"/>
              </w:rPr>
              <w:t>Uncertain tax position liability</w:t>
            </w:r>
          </w:p>
        </w:tc>
        <w:tc>
          <w:tcPr>
            <w:tcW w:w="200" w:type="dxa"/>
            <w:vAlign w:val="bottom"/>
            <w:shd w:val="clear" w:color="auto" w:fill="D1EEF5"/>
          </w:tcPr>
          <w:p>
            <w:pPr>
              <w:spacing w:after="0"/>
              <w:rPr>
                <w:sz w:val="13"/>
                <w:szCs w:val="13"/>
                <w:color w:val="auto"/>
              </w:rPr>
            </w:pPr>
          </w:p>
        </w:tc>
        <w:tc>
          <w:tcPr>
            <w:tcW w:w="1000" w:type="dxa"/>
            <w:vAlign w:val="bottom"/>
            <w:shd w:val="clear" w:color="auto" w:fill="D1EEF5"/>
          </w:tcPr>
          <w:p>
            <w:pPr>
              <w:spacing w:after="0"/>
              <w:rPr>
                <w:sz w:val="13"/>
                <w:szCs w:val="13"/>
                <w:color w:val="auto"/>
              </w:rPr>
            </w:pPr>
          </w:p>
        </w:tc>
        <w:tc>
          <w:tcPr>
            <w:tcW w:w="54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128</w:t>
            </w:r>
          </w:p>
        </w:tc>
        <w:tc>
          <w:tcPr>
            <w:tcW w:w="300" w:type="dxa"/>
            <w:vAlign w:val="bottom"/>
            <w:shd w:val="clear" w:color="auto" w:fill="D1EEF5"/>
          </w:tcPr>
          <w:p>
            <w:pPr>
              <w:spacing w:after="0"/>
              <w:rPr>
                <w:sz w:val="13"/>
                <w:szCs w:val="13"/>
                <w:color w:val="auto"/>
              </w:rPr>
            </w:pPr>
          </w:p>
        </w:tc>
        <w:tc>
          <w:tcPr>
            <w:tcW w:w="360" w:type="dxa"/>
            <w:vAlign w:val="bottom"/>
            <w:shd w:val="clear" w:color="auto" w:fill="D1EEF5"/>
          </w:tcPr>
          <w:p>
            <w:pPr>
              <w:spacing w:after="0"/>
              <w:rPr>
                <w:sz w:val="13"/>
                <w:szCs w:val="13"/>
                <w:color w:val="auto"/>
              </w:rPr>
            </w:pPr>
          </w:p>
        </w:tc>
        <w:tc>
          <w:tcPr>
            <w:tcW w:w="11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EF5"/>
          </w:tcPr>
          <w:p>
            <w:pPr>
              <w:spacing w:after="0"/>
              <w:rPr>
                <w:sz w:val="13"/>
                <w:szCs w:val="13"/>
                <w:color w:val="auto"/>
              </w:rPr>
            </w:pPr>
          </w:p>
        </w:tc>
      </w:tr>
      <w:tr>
        <w:trPr>
          <w:trHeight w:val="157"/>
        </w:trPr>
        <w:tc>
          <w:tcPr>
            <w:tcW w:w="656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Income tax payable</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3"/>
                <w:szCs w:val="13"/>
                <w:color w:val="auto"/>
              </w:rPr>
            </w:pPr>
          </w:p>
        </w:tc>
      </w:tr>
      <w:tr>
        <w:trPr>
          <w:trHeight w:val="156"/>
        </w:trPr>
        <w:tc>
          <w:tcPr>
            <w:tcW w:w="6560" w:type="dxa"/>
            <w:vAlign w:val="bottom"/>
            <w:shd w:val="clear" w:color="auto" w:fill="D1EEF5"/>
          </w:tcPr>
          <w:p>
            <w:pPr>
              <w:ind w:left="140"/>
              <w:spacing w:after="0" w:line="156" w:lineRule="exact"/>
              <w:rPr>
                <w:sz w:val="20"/>
                <w:szCs w:val="20"/>
                <w:color w:val="auto"/>
              </w:rPr>
            </w:pPr>
            <w:r>
              <w:rPr>
                <w:rFonts w:ascii="Times New Roman" w:cs="Times New Roman" w:eastAsia="Times New Roman" w:hAnsi="Times New Roman"/>
                <w:sz w:val="14"/>
                <w:szCs w:val="14"/>
                <w:color w:val="auto"/>
              </w:rPr>
              <w:t>Notes payable, current portion, net of debt issuance costs</w:t>
            </w:r>
          </w:p>
        </w:tc>
        <w:tc>
          <w:tcPr>
            <w:tcW w:w="200" w:type="dxa"/>
            <w:vAlign w:val="bottom"/>
            <w:shd w:val="clear" w:color="auto" w:fill="D1EEF5"/>
          </w:tcPr>
          <w:p>
            <w:pPr>
              <w:spacing w:after="0"/>
              <w:rPr>
                <w:sz w:val="13"/>
                <w:szCs w:val="13"/>
                <w:color w:val="auto"/>
              </w:rPr>
            </w:pPr>
          </w:p>
        </w:tc>
        <w:tc>
          <w:tcPr>
            <w:tcW w:w="1000" w:type="dxa"/>
            <w:vAlign w:val="bottom"/>
            <w:shd w:val="clear" w:color="auto" w:fill="D1EEF5"/>
          </w:tcPr>
          <w:p>
            <w:pPr>
              <w:spacing w:after="0"/>
              <w:rPr>
                <w:sz w:val="13"/>
                <w:szCs w:val="13"/>
                <w:color w:val="auto"/>
              </w:rPr>
            </w:pPr>
          </w:p>
        </w:tc>
        <w:tc>
          <w:tcPr>
            <w:tcW w:w="54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19,242</w:t>
            </w:r>
          </w:p>
        </w:tc>
        <w:tc>
          <w:tcPr>
            <w:tcW w:w="300" w:type="dxa"/>
            <w:vAlign w:val="bottom"/>
            <w:shd w:val="clear" w:color="auto" w:fill="D1EEF5"/>
          </w:tcPr>
          <w:p>
            <w:pPr>
              <w:spacing w:after="0"/>
              <w:rPr>
                <w:sz w:val="13"/>
                <w:szCs w:val="13"/>
                <w:color w:val="auto"/>
              </w:rPr>
            </w:pPr>
          </w:p>
        </w:tc>
        <w:tc>
          <w:tcPr>
            <w:tcW w:w="360" w:type="dxa"/>
            <w:vAlign w:val="bottom"/>
            <w:shd w:val="clear" w:color="auto" w:fill="D1EEF5"/>
          </w:tcPr>
          <w:p>
            <w:pPr>
              <w:spacing w:after="0"/>
              <w:rPr>
                <w:sz w:val="13"/>
                <w:szCs w:val="13"/>
                <w:color w:val="auto"/>
              </w:rPr>
            </w:pPr>
          </w:p>
        </w:tc>
        <w:tc>
          <w:tcPr>
            <w:tcW w:w="11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1,875</w:t>
            </w:r>
          </w:p>
        </w:tc>
        <w:tc>
          <w:tcPr>
            <w:tcW w:w="100" w:type="dxa"/>
            <w:vAlign w:val="bottom"/>
            <w:shd w:val="clear" w:color="auto" w:fill="D1EEF5"/>
          </w:tcPr>
          <w:p>
            <w:pPr>
              <w:spacing w:after="0"/>
              <w:rPr>
                <w:sz w:val="13"/>
                <w:szCs w:val="13"/>
                <w:color w:val="auto"/>
              </w:rPr>
            </w:pPr>
          </w:p>
        </w:tc>
      </w:tr>
      <w:tr>
        <w:trPr>
          <w:trHeight w:val="170"/>
        </w:trPr>
        <w:tc>
          <w:tcPr>
            <w:tcW w:w="6560" w:type="dxa"/>
            <w:vAlign w:val="bottom"/>
            <w:tcBorders>
              <w:bottom w:val="single" w:sz="8" w:color="D1EEF5"/>
            </w:tcBorders>
          </w:tcPr>
          <w:p>
            <w:pPr>
              <w:ind w:left="140"/>
              <w:spacing w:after="0"/>
              <w:rPr>
                <w:sz w:val="20"/>
                <w:szCs w:val="20"/>
                <w:color w:val="auto"/>
              </w:rPr>
            </w:pPr>
            <w:r>
              <w:rPr>
                <w:rFonts w:ascii="Times New Roman" w:cs="Times New Roman" w:eastAsia="Times New Roman" w:hAnsi="Times New Roman"/>
                <w:sz w:val="14"/>
                <w:szCs w:val="14"/>
                <w:color w:val="auto"/>
              </w:rPr>
              <w:t>Operating lease liability, current portion</w:t>
            </w:r>
          </w:p>
        </w:tc>
        <w:tc>
          <w:tcPr>
            <w:tcW w:w="200" w:type="dxa"/>
            <w:vAlign w:val="bottom"/>
            <w:tcBorders>
              <w:bottom w:val="single" w:sz="8" w:color="D1EEF5"/>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300" w:type="dxa"/>
            <w:vAlign w:val="bottom"/>
            <w:tcBorders>
              <w:bottom w:val="single" w:sz="8" w:color="D1EEF5"/>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100" w:type="dxa"/>
            <w:vAlign w:val="bottom"/>
            <w:tcBorders>
              <w:bottom w:val="single" w:sz="8" w:color="D1EEF5"/>
            </w:tcBorders>
          </w:tcPr>
          <w:p>
            <w:pPr>
              <w:spacing w:after="0"/>
              <w:rPr>
                <w:sz w:val="14"/>
                <w:szCs w:val="14"/>
                <w:color w:val="auto"/>
              </w:rPr>
            </w:pPr>
          </w:p>
        </w:tc>
      </w:tr>
      <w:tr>
        <w:trPr>
          <w:trHeight w:val="172"/>
        </w:trPr>
        <w:tc>
          <w:tcPr>
            <w:tcW w:w="6560" w:type="dxa"/>
            <w:vAlign w:val="bottom"/>
            <w:tcBorders>
              <w:bottom w:val="single" w:sz="8" w:color="D1EEF5"/>
            </w:tcBorders>
            <w:shd w:val="clear" w:color="auto" w:fill="D1EEF5"/>
          </w:tcPr>
          <w:p>
            <w:pPr>
              <w:ind w:left="280"/>
              <w:spacing w:after="0" w:line="153" w:lineRule="exact"/>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bottom w:val="single" w:sz="8" w:color="D1EEF5"/>
            </w:tcBorders>
            <w:shd w:val="clear" w:color="auto" w:fill="D1EEF5"/>
          </w:tcPr>
          <w:p>
            <w:pPr>
              <w:spacing w:after="0"/>
              <w:rPr>
                <w:sz w:val="14"/>
                <w:szCs w:val="14"/>
                <w:color w:val="auto"/>
              </w:rPr>
            </w:pPr>
          </w:p>
        </w:tc>
        <w:tc>
          <w:tcPr>
            <w:tcW w:w="1000" w:type="dxa"/>
            <w:vAlign w:val="bottom"/>
            <w:tcBorders>
              <w:bottom w:val="single" w:sz="8" w:color="auto"/>
            </w:tcBorders>
            <w:shd w:val="clear" w:color="auto" w:fill="D1EEF5"/>
          </w:tcPr>
          <w:p>
            <w:pPr>
              <w:spacing w:after="0"/>
              <w:rPr>
                <w:sz w:val="14"/>
                <w:szCs w:val="14"/>
                <w:color w:val="auto"/>
              </w:rPr>
            </w:pPr>
          </w:p>
        </w:tc>
        <w:tc>
          <w:tcPr>
            <w:tcW w:w="540" w:type="dxa"/>
            <w:vAlign w:val="bottom"/>
            <w:tcBorders>
              <w:bottom w:val="single" w:sz="8" w:color="auto"/>
            </w:tcBorders>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40,566</w:t>
            </w:r>
          </w:p>
        </w:tc>
        <w:tc>
          <w:tcPr>
            <w:tcW w:w="300" w:type="dxa"/>
            <w:vAlign w:val="bottom"/>
            <w:tcBorders>
              <w:bottom w:val="single" w:sz="8" w:color="D1EEF5"/>
            </w:tcBorders>
            <w:shd w:val="clear" w:color="auto" w:fill="D1EEF5"/>
          </w:tcPr>
          <w:p>
            <w:pPr>
              <w:spacing w:after="0"/>
              <w:rPr>
                <w:sz w:val="14"/>
                <w:szCs w:val="14"/>
                <w:color w:val="auto"/>
              </w:rPr>
            </w:pPr>
          </w:p>
        </w:tc>
        <w:tc>
          <w:tcPr>
            <w:tcW w:w="360" w:type="dxa"/>
            <w:vAlign w:val="bottom"/>
            <w:tcBorders>
              <w:bottom w:val="single" w:sz="8" w:color="auto"/>
            </w:tcBorders>
            <w:shd w:val="clear" w:color="auto" w:fill="D1EEF5"/>
          </w:tcPr>
          <w:p>
            <w:pPr>
              <w:spacing w:after="0"/>
              <w:rPr>
                <w:sz w:val="14"/>
                <w:szCs w:val="14"/>
                <w:color w:val="auto"/>
              </w:rPr>
            </w:pPr>
          </w:p>
        </w:tc>
        <w:tc>
          <w:tcPr>
            <w:tcW w:w="1180" w:type="dxa"/>
            <w:vAlign w:val="bottom"/>
            <w:tcBorders>
              <w:bottom w:val="single" w:sz="8" w:color="auto"/>
            </w:tcBorders>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17,990</w:t>
            </w:r>
          </w:p>
        </w:tc>
        <w:tc>
          <w:tcPr>
            <w:tcW w:w="100" w:type="dxa"/>
            <w:vAlign w:val="bottom"/>
            <w:tcBorders>
              <w:bottom w:val="single" w:sz="8" w:color="D1EEF5"/>
            </w:tcBorders>
            <w:shd w:val="clear" w:color="auto" w:fill="D1EEF5"/>
          </w:tcPr>
          <w:p>
            <w:pPr>
              <w:spacing w:after="0"/>
              <w:rPr>
                <w:sz w:val="14"/>
                <w:szCs w:val="14"/>
                <w:color w:val="auto"/>
              </w:rPr>
            </w:pPr>
          </w:p>
        </w:tc>
      </w:tr>
      <w:tr>
        <w:trPr>
          <w:trHeight w:val="169"/>
        </w:trPr>
        <w:tc>
          <w:tcPr>
            <w:tcW w:w="6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Long-Term Liabilities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6560" w:type="dxa"/>
            <w:vAlign w:val="bottom"/>
            <w:shd w:val="clear" w:color="auto" w:fill="D1EEF5"/>
          </w:tcPr>
          <w:p>
            <w:pPr>
              <w:ind w:left="140"/>
              <w:spacing w:after="0" w:line="157" w:lineRule="exact"/>
              <w:rPr>
                <w:sz w:val="20"/>
                <w:szCs w:val="20"/>
                <w:color w:val="auto"/>
              </w:rPr>
            </w:pPr>
            <w:r>
              <w:rPr>
                <w:rFonts w:ascii="Times New Roman" w:cs="Times New Roman" w:eastAsia="Times New Roman" w:hAnsi="Times New Roman"/>
                <w:sz w:val="14"/>
                <w:szCs w:val="14"/>
                <w:color w:val="auto"/>
              </w:rPr>
              <w:t>Notes payable-noncurrent, net of debt issuance costs</w:t>
            </w:r>
          </w:p>
        </w:tc>
        <w:tc>
          <w:tcPr>
            <w:tcW w:w="200" w:type="dxa"/>
            <w:vAlign w:val="bottom"/>
            <w:shd w:val="clear" w:color="auto" w:fill="D1EEF5"/>
          </w:tcPr>
          <w:p>
            <w:pPr>
              <w:spacing w:after="0"/>
              <w:rPr>
                <w:sz w:val="13"/>
                <w:szCs w:val="13"/>
                <w:color w:val="auto"/>
              </w:rPr>
            </w:pPr>
          </w:p>
        </w:tc>
        <w:tc>
          <w:tcPr>
            <w:tcW w:w="1000" w:type="dxa"/>
            <w:vAlign w:val="bottom"/>
            <w:shd w:val="clear" w:color="auto" w:fill="D1EEF5"/>
          </w:tcPr>
          <w:p>
            <w:pPr>
              <w:spacing w:after="0"/>
              <w:rPr>
                <w:sz w:val="13"/>
                <w:szCs w:val="13"/>
                <w:color w:val="auto"/>
              </w:rPr>
            </w:pPr>
          </w:p>
        </w:tc>
        <w:tc>
          <w:tcPr>
            <w:tcW w:w="54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1EEF5"/>
          </w:tcPr>
          <w:p>
            <w:pPr>
              <w:spacing w:after="0"/>
              <w:rPr>
                <w:sz w:val="13"/>
                <w:szCs w:val="13"/>
                <w:color w:val="auto"/>
              </w:rPr>
            </w:pPr>
          </w:p>
        </w:tc>
        <w:tc>
          <w:tcPr>
            <w:tcW w:w="360" w:type="dxa"/>
            <w:vAlign w:val="bottom"/>
            <w:shd w:val="clear" w:color="auto" w:fill="D1EEF5"/>
          </w:tcPr>
          <w:p>
            <w:pPr>
              <w:spacing w:after="0"/>
              <w:rPr>
                <w:sz w:val="13"/>
                <w:szCs w:val="13"/>
                <w:color w:val="auto"/>
              </w:rPr>
            </w:pPr>
          </w:p>
        </w:tc>
        <w:tc>
          <w:tcPr>
            <w:tcW w:w="118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37,053</w:t>
            </w:r>
          </w:p>
        </w:tc>
        <w:tc>
          <w:tcPr>
            <w:tcW w:w="100" w:type="dxa"/>
            <w:vAlign w:val="bottom"/>
            <w:shd w:val="clear" w:color="auto" w:fill="D1EEF5"/>
          </w:tcPr>
          <w:p>
            <w:pPr>
              <w:spacing w:after="0"/>
              <w:rPr>
                <w:sz w:val="13"/>
                <w:szCs w:val="13"/>
                <w:color w:val="auto"/>
              </w:rPr>
            </w:pPr>
          </w:p>
        </w:tc>
      </w:tr>
      <w:tr>
        <w:trPr>
          <w:trHeight w:val="156"/>
        </w:trPr>
        <w:tc>
          <w:tcPr>
            <w:tcW w:w="656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Deferred tax liabilities</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453</w:t>
            </w:r>
          </w:p>
        </w:tc>
        <w:tc>
          <w:tcPr>
            <w:tcW w:w="100" w:type="dxa"/>
            <w:vAlign w:val="bottom"/>
          </w:tcPr>
          <w:p>
            <w:pPr>
              <w:spacing w:after="0"/>
              <w:rPr>
                <w:sz w:val="13"/>
                <w:szCs w:val="13"/>
                <w:color w:val="auto"/>
              </w:rPr>
            </w:pPr>
          </w:p>
        </w:tc>
      </w:tr>
      <w:tr>
        <w:trPr>
          <w:trHeight w:val="187"/>
        </w:trPr>
        <w:tc>
          <w:tcPr>
            <w:tcW w:w="65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Warrant liabilities</w:t>
            </w:r>
          </w:p>
        </w:tc>
        <w:tc>
          <w:tcPr>
            <w:tcW w:w="200" w:type="dxa"/>
            <w:vAlign w:val="bottom"/>
            <w:shd w:val="clear" w:color="auto" w:fill="D1EEF5"/>
          </w:tcPr>
          <w:p>
            <w:pPr>
              <w:spacing w:after="0"/>
              <w:rPr>
                <w:sz w:val="16"/>
                <w:szCs w:val="16"/>
                <w:color w:val="auto"/>
              </w:rPr>
            </w:pPr>
          </w:p>
        </w:tc>
        <w:tc>
          <w:tcPr>
            <w:tcW w:w="1000" w:type="dxa"/>
            <w:vAlign w:val="bottom"/>
            <w:shd w:val="clear" w:color="auto" w:fill="D1EEF5"/>
          </w:tcPr>
          <w:p>
            <w:pPr>
              <w:spacing w:after="0"/>
              <w:rPr>
                <w:sz w:val="16"/>
                <w:szCs w:val="16"/>
                <w:color w:val="auto"/>
              </w:rPr>
            </w:pPr>
          </w:p>
        </w:tc>
        <w:tc>
          <w:tcPr>
            <w:tcW w:w="5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32,831</w:t>
            </w:r>
          </w:p>
        </w:tc>
        <w:tc>
          <w:tcPr>
            <w:tcW w:w="300" w:type="dxa"/>
            <w:vAlign w:val="bottom"/>
            <w:shd w:val="clear" w:color="auto" w:fill="D1EEF5"/>
          </w:tcPr>
          <w:p>
            <w:pPr>
              <w:spacing w:after="0"/>
              <w:rPr>
                <w:sz w:val="16"/>
                <w:szCs w:val="16"/>
                <w:color w:val="auto"/>
              </w:rPr>
            </w:pPr>
          </w:p>
        </w:tc>
        <w:tc>
          <w:tcPr>
            <w:tcW w:w="360" w:type="dxa"/>
            <w:vAlign w:val="bottom"/>
            <w:shd w:val="clear" w:color="auto" w:fill="D1EEF5"/>
          </w:tcPr>
          <w:p>
            <w:pPr>
              <w:spacing w:after="0"/>
              <w:rPr>
                <w:sz w:val="16"/>
                <w:szCs w:val="16"/>
                <w:color w:val="auto"/>
              </w:rPr>
            </w:pPr>
          </w:p>
        </w:tc>
        <w:tc>
          <w:tcPr>
            <w:tcW w:w="11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1EEF5"/>
          </w:tcPr>
          <w:p>
            <w:pPr>
              <w:spacing w:after="0"/>
              <w:rPr>
                <w:sz w:val="16"/>
                <w:szCs w:val="16"/>
                <w:color w:val="auto"/>
              </w:rPr>
            </w:pPr>
          </w:p>
        </w:tc>
      </w:tr>
      <w:tr>
        <w:trPr>
          <w:trHeight w:val="157"/>
        </w:trPr>
        <w:tc>
          <w:tcPr>
            <w:tcW w:w="656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Accrued expenses, long-term</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492</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r>
      <w:tr>
        <w:trPr>
          <w:trHeight w:val="187"/>
        </w:trPr>
        <w:tc>
          <w:tcPr>
            <w:tcW w:w="6560" w:type="dxa"/>
            <w:vAlign w:val="bottom"/>
            <w:tcBorders>
              <w:bottom w:val="single" w:sz="8" w:color="D1EEF5"/>
            </w:tcBorders>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Operating lease liability, net of current portion</w:t>
            </w:r>
          </w:p>
        </w:tc>
        <w:tc>
          <w:tcPr>
            <w:tcW w:w="200" w:type="dxa"/>
            <w:vAlign w:val="bottom"/>
            <w:tcBorders>
              <w:bottom w:val="single" w:sz="8" w:color="D1EEF5"/>
            </w:tcBorders>
            <w:shd w:val="clear" w:color="auto" w:fill="D1EEF5"/>
          </w:tcPr>
          <w:p>
            <w:pPr>
              <w:spacing w:after="0"/>
              <w:rPr>
                <w:sz w:val="16"/>
                <w:szCs w:val="16"/>
                <w:color w:val="auto"/>
              </w:rPr>
            </w:pPr>
          </w:p>
        </w:tc>
        <w:tc>
          <w:tcPr>
            <w:tcW w:w="1000" w:type="dxa"/>
            <w:vAlign w:val="bottom"/>
            <w:tcBorders>
              <w:bottom w:val="single" w:sz="8" w:color="auto"/>
            </w:tcBorders>
            <w:shd w:val="clear" w:color="auto" w:fill="D1EEF5"/>
          </w:tcPr>
          <w:p>
            <w:pPr>
              <w:spacing w:after="0"/>
              <w:rPr>
                <w:sz w:val="16"/>
                <w:szCs w:val="16"/>
                <w:color w:val="auto"/>
              </w:rPr>
            </w:pPr>
          </w:p>
        </w:tc>
        <w:tc>
          <w:tcPr>
            <w:tcW w:w="54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3,541</w:t>
            </w:r>
          </w:p>
        </w:tc>
        <w:tc>
          <w:tcPr>
            <w:tcW w:w="300" w:type="dxa"/>
            <w:vAlign w:val="bottom"/>
            <w:tcBorders>
              <w:bottom w:val="single" w:sz="8" w:color="D1EEF5"/>
            </w:tcBorders>
            <w:shd w:val="clear" w:color="auto" w:fill="D1EEF5"/>
          </w:tcPr>
          <w:p>
            <w:pPr>
              <w:spacing w:after="0"/>
              <w:rPr>
                <w:sz w:val="16"/>
                <w:szCs w:val="16"/>
                <w:color w:val="auto"/>
              </w:rPr>
            </w:pPr>
          </w:p>
        </w:tc>
        <w:tc>
          <w:tcPr>
            <w:tcW w:w="360" w:type="dxa"/>
            <w:vAlign w:val="bottom"/>
            <w:tcBorders>
              <w:bottom w:val="single" w:sz="8" w:color="auto"/>
            </w:tcBorders>
            <w:shd w:val="clear" w:color="auto" w:fill="D1EEF5"/>
          </w:tcPr>
          <w:p>
            <w:pPr>
              <w:spacing w:after="0"/>
              <w:rPr>
                <w:sz w:val="16"/>
                <w:szCs w:val="16"/>
                <w:color w:val="auto"/>
              </w:rPr>
            </w:pPr>
          </w:p>
        </w:tc>
        <w:tc>
          <w:tcPr>
            <w:tcW w:w="118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4,694</w:t>
            </w:r>
          </w:p>
        </w:tc>
        <w:tc>
          <w:tcPr>
            <w:tcW w:w="100" w:type="dxa"/>
            <w:vAlign w:val="bottom"/>
            <w:tcBorders>
              <w:bottom w:val="single" w:sz="8" w:color="D1EEF5"/>
            </w:tcBorders>
            <w:shd w:val="clear" w:color="auto" w:fill="D1EEF5"/>
          </w:tcPr>
          <w:p>
            <w:pPr>
              <w:spacing w:after="0"/>
              <w:rPr>
                <w:sz w:val="16"/>
                <w:szCs w:val="16"/>
                <w:color w:val="auto"/>
              </w:rPr>
            </w:pPr>
          </w:p>
        </w:tc>
      </w:tr>
      <w:tr>
        <w:trPr>
          <w:trHeight w:val="146"/>
        </w:trPr>
        <w:tc>
          <w:tcPr>
            <w:tcW w:w="6560" w:type="dxa"/>
            <w:vAlign w:val="bottom"/>
            <w:tcBorders>
              <w:bottom w:val="single" w:sz="8" w:color="D1EEF5"/>
            </w:tcBorders>
          </w:tcPr>
          <w:p>
            <w:pPr>
              <w:ind w:left="280"/>
              <w:spacing w:after="0" w:line="126" w:lineRule="exact"/>
              <w:rPr>
                <w:sz w:val="20"/>
                <w:szCs w:val="20"/>
                <w:color w:val="auto"/>
              </w:rPr>
            </w:pPr>
            <w:r>
              <w:rPr>
                <w:rFonts w:ascii="Times New Roman" w:cs="Times New Roman" w:eastAsia="Times New Roman" w:hAnsi="Times New Roman"/>
                <w:sz w:val="14"/>
                <w:szCs w:val="14"/>
                <w:color w:val="auto"/>
              </w:rPr>
              <w:t>Total Long-Term Liabilities</w:t>
            </w:r>
          </w:p>
        </w:tc>
        <w:tc>
          <w:tcPr>
            <w:tcW w:w="200" w:type="dxa"/>
            <w:vAlign w:val="bottom"/>
            <w:tcBorders>
              <w:bottom w:val="single" w:sz="8" w:color="D1EEF5"/>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36,864</w:t>
            </w:r>
          </w:p>
        </w:tc>
        <w:tc>
          <w:tcPr>
            <w:tcW w:w="300" w:type="dxa"/>
            <w:vAlign w:val="bottom"/>
            <w:tcBorders>
              <w:bottom w:val="single" w:sz="8" w:color="D1EEF5"/>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42,200</w:t>
            </w:r>
          </w:p>
        </w:tc>
        <w:tc>
          <w:tcPr>
            <w:tcW w:w="100" w:type="dxa"/>
            <w:vAlign w:val="bottom"/>
            <w:tcBorders>
              <w:bottom w:val="single" w:sz="8" w:color="D1EEF5"/>
            </w:tcBorders>
          </w:tcPr>
          <w:p>
            <w:pPr>
              <w:spacing w:after="0"/>
              <w:rPr>
                <w:sz w:val="12"/>
                <w:szCs w:val="12"/>
                <w:color w:val="auto"/>
              </w:rPr>
            </w:pPr>
          </w:p>
        </w:tc>
      </w:tr>
      <w:tr>
        <w:trPr>
          <w:trHeight w:val="147"/>
        </w:trPr>
        <w:tc>
          <w:tcPr>
            <w:tcW w:w="6560" w:type="dxa"/>
            <w:vAlign w:val="bottom"/>
            <w:shd w:val="clear" w:color="auto" w:fill="D1EEF5"/>
          </w:tcPr>
          <w:p>
            <w:pPr>
              <w:ind w:left="140"/>
              <w:spacing w:after="0" w:line="147"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shd w:val="clear" w:color="auto" w:fill="D1EEF5"/>
          </w:tcPr>
          <w:p>
            <w:pPr>
              <w:spacing w:after="0"/>
              <w:rPr>
                <w:sz w:val="12"/>
                <w:szCs w:val="12"/>
                <w:color w:val="auto"/>
              </w:rPr>
            </w:pPr>
          </w:p>
        </w:tc>
        <w:tc>
          <w:tcPr>
            <w:tcW w:w="1000" w:type="dxa"/>
            <w:vAlign w:val="bottom"/>
            <w:shd w:val="clear" w:color="auto" w:fill="D1EEF5"/>
          </w:tcPr>
          <w:p>
            <w:pPr>
              <w:spacing w:after="0"/>
              <w:rPr>
                <w:sz w:val="12"/>
                <w:szCs w:val="12"/>
                <w:color w:val="auto"/>
              </w:rPr>
            </w:pPr>
          </w:p>
        </w:tc>
        <w:tc>
          <w:tcPr>
            <w:tcW w:w="540" w:type="dxa"/>
            <w:vAlign w:val="bottom"/>
            <w:shd w:val="clear" w:color="auto" w:fill="D1EEF5"/>
          </w:tcPr>
          <w:p>
            <w:pPr>
              <w:jc w:val="right"/>
              <w:spacing w:after="0" w:line="147" w:lineRule="exact"/>
              <w:rPr>
                <w:sz w:val="20"/>
                <w:szCs w:val="20"/>
                <w:color w:val="auto"/>
              </w:rPr>
            </w:pPr>
            <w:r>
              <w:rPr>
                <w:rFonts w:ascii="Times New Roman" w:cs="Times New Roman" w:eastAsia="Times New Roman" w:hAnsi="Times New Roman"/>
                <w:sz w:val="14"/>
                <w:szCs w:val="14"/>
                <w:color w:val="auto"/>
              </w:rPr>
              <w:t>77,430</w:t>
            </w:r>
          </w:p>
        </w:tc>
        <w:tc>
          <w:tcPr>
            <w:tcW w:w="300" w:type="dxa"/>
            <w:vAlign w:val="bottom"/>
            <w:shd w:val="clear" w:color="auto" w:fill="D1EEF5"/>
          </w:tcPr>
          <w:p>
            <w:pPr>
              <w:spacing w:after="0"/>
              <w:rPr>
                <w:sz w:val="12"/>
                <w:szCs w:val="12"/>
                <w:color w:val="auto"/>
              </w:rPr>
            </w:pPr>
          </w:p>
        </w:tc>
        <w:tc>
          <w:tcPr>
            <w:tcW w:w="360" w:type="dxa"/>
            <w:vAlign w:val="bottom"/>
            <w:shd w:val="clear" w:color="auto" w:fill="D1EEF5"/>
          </w:tcPr>
          <w:p>
            <w:pPr>
              <w:spacing w:after="0"/>
              <w:rPr>
                <w:sz w:val="12"/>
                <w:szCs w:val="12"/>
                <w:color w:val="auto"/>
              </w:rPr>
            </w:pPr>
          </w:p>
        </w:tc>
        <w:tc>
          <w:tcPr>
            <w:tcW w:w="1180" w:type="dxa"/>
            <w:vAlign w:val="bottom"/>
            <w:shd w:val="clear" w:color="auto" w:fill="D1EEF5"/>
          </w:tcPr>
          <w:p>
            <w:pPr>
              <w:jc w:val="right"/>
              <w:spacing w:after="0" w:line="147" w:lineRule="exact"/>
              <w:rPr>
                <w:sz w:val="20"/>
                <w:szCs w:val="20"/>
                <w:color w:val="auto"/>
              </w:rPr>
            </w:pPr>
            <w:r>
              <w:rPr>
                <w:rFonts w:ascii="Times New Roman" w:cs="Times New Roman" w:eastAsia="Times New Roman" w:hAnsi="Times New Roman"/>
                <w:sz w:val="14"/>
                <w:szCs w:val="14"/>
                <w:color w:val="auto"/>
              </w:rPr>
              <w:t>60,190</w:t>
            </w:r>
          </w:p>
        </w:tc>
        <w:tc>
          <w:tcPr>
            <w:tcW w:w="100" w:type="dxa"/>
            <w:vAlign w:val="bottom"/>
            <w:shd w:val="clear" w:color="auto" w:fill="D1EEF5"/>
          </w:tcPr>
          <w:p>
            <w:pPr>
              <w:spacing w:after="0"/>
              <w:rPr>
                <w:sz w:val="12"/>
                <w:szCs w:val="12"/>
                <w:color w:val="auto"/>
              </w:rPr>
            </w:pPr>
          </w:p>
        </w:tc>
      </w:tr>
      <w:tr>
        <w:trPr>
          <w:trHeight w:val="156"/>
        </w:trPr>
        <w:tc>
          <w:tcPr>
            <w:tcW w:w="65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Commitments and Contingencies (See Note 6)</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r>
      <w:tr>
        <w:trPr>
          <w:trHeight w:val="188"/>
        </w:trPr>
        <w:tc>
          <w:tcPr>
            <w:tcW w:w="65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shd w:val="clear" w:color="auto" w:fill="D1EEF5"/>
          </w:tcPr>
          <w:p>
            <w:pPr>
              <w:spacing w:after="0"/>
              <w:rPr>
                <w:sz w:val="16"/>
                <w:szCs w:val="16"/>
                <w:color w:val="auto"/>
              </w:rPr>
            </w:pPr>
          </w:p>
        </w:tc>
        <w:tc>
          <w:tcPr>
            <w:tcW w:w="1000" w:type="dxa"/>
            <w:vAlign w:val="bottom"/>
            <w:shd w:val="clear" w:color="auto" w:fill="D1EEF5"/>
          </w:tcPr>
          <w:p>
            <w:pPr>
              <w:spacing w:after="0"/>
              <w:rPr>
                <w:sz w:val="16"/>
                <w:szCs w:val="16"/>
                <w:color w:val="auto"/>
              </w:rPr>
            </w:pPr>
          </w:p>
        </w:tc>
        <w:tc>
          <w:tcPr>
            <w:tcW w:w="540" w:type="dxa"/>
            <w:vAlign w:val="bottom"/>
            <w:shd w:val="clear" w:color="auto" w:fill="D1EEF5"/>
          </w:tcPr>
          <w:p>
            <w:pPr>
              <w:spacing w:after="0"/>
              <w:rPr>
                <w:sz w:val="16"/>
                <w:szCs w:val="16"/>
                <w:color w:val="auto"/>
              </w:rPr>
            </w:pPr>
          </w:p>
        </w:tc>
        <w:tc>
          <w:tcPr>
            <w:tcW w:w="300" w:type="dxa"/>
            <w:vAlign w:val="bottom"/>
            <w:shd w:val="clear" w:color="auto" w:fill="D1EEF5"/>
          </w:tcPr>
          <w:p>
            <w:pPr>
              <w:spacing w:after="0"/>
              <w:rPr>
                <w:sz w:val="16"/>
                <w:szCs w:val="16"/>
                <w:color w:val="auto"/>
              </w:rPr>
            </w:pPr>
          </w:p>
        </w:tc>
        <w:tc>
          <w:tcPr>
            <w:tcW w:w="360" w:type="dxa"/>
            <w:vAlign w:val="bottom"/>
            <w:shd w:val="clear" w:color="auto" w:fill="D1EEF5"/>
          </w:tcPr>
          <w:p>
            <w:pPr>
              <w:spacing w:after="0"/>
              <w:rPr>
                <w:sz w:val="16"/>
                <w:szCs w:val="16"/>
                <w:color w:val="auto"/>
              </w:rPr>
            </w:pPr>
          </w:p>
        </w:tc>
        <w:tc>
          <w:tcPr>
            <w:tcW w:w="1180" w:type="dxa"/>
            <w:vAlign w:val="bottom"/>
            <w:shd w:val="clear" w:color="auto" w:fill="D1EEF5"/>
          </w:tcPr>
          <w:p>
            <w:pPr>
              <w:spacing w:after="0"/>
              <w:rPr>
                <w:sz w:val="16"/>
                <w:szCs w:val="16"/>
                <w:color w:val="auto"/>
              </w:rPr>
            </w:pPr>
          </w:p>
        </w:tc>
        <w:tc>
          <w:tcPr>
            <w:tcW w:w="100" w:type="dxa"/>
            <w:vAlign w:val="bottom"/>
            <w:shd w:val="clear" w:color="auto" w:fill="D1EEF5"/>
          </w:tcPr>
          <w:p>
            <w:pPr>
              <w:spacing w:after="0"/>
              <w:rPr>
                <w:sz w:val="16"/>
                <w:szCs w:val="16"/>
                <w:color w:val="auto"/>
              </w:rPr>
            </w:pPr>
          </w:p>
        </w:tc>
      </w:tr>
      <w:tr>
        <w:trPr>
          <w:trHeight w:val="136"/>
        </w:trPr>
        <w:tc>
          <w:tcPr>
            <w:tcW w:w="6560" w:type="dxa"/>
            <w:vAlign w:val="bottom"/>
          </w:tcPr>
          <w:p>
            <w:pPr>
              <w:ind w:left="140"/>
              <w:spacing w:after="0" w:line="137" w:lineRule="exact"/>
              <w:rPr>
                <w:sz w:val="20"/>
                <w:szCs w:val="20"/>
                <w:color w:val="auto"/>
              </w:rPr>
            </w:pPr>
            <w:r>
              <w:rPr>
                <w:rFonts w:ascii="Times New Roman" w:cs="Times New Roman" w:eastAsia="Times New Roman" w:hAnsi="Times New Roman"/>
                <w:sz w:val="14"/>
                <w:szCs w:val="14"/>
                <w:color w:val="auto"/>
              </w:rPr>
              <w:t>Common stock, 170,000,000 shares, $0.0001 par value, authorized, 43,272,728 and 36,496,998 shares issued and</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6"/>
        </w:trPr>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outstanding as of December 31, 2022 and 2021, respectively</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r>
      <w:tr>
        <w:trPr>
          <w:trHeight w:val="136"/>
        </w:trPr>
        <w:tc>
          <w:tcPr>
            <w:tcW w:w="6560" w:type="dxa"/>
            <w:vAlign w:val="bottom"/>
            <w:shd w:val="clear" w:color="auto" w:fill="D1EEF5"/>
          </w:tcPr>
          <w:p>
            <w:pPr>
              <w:ind w:left="140"/>
              <w:spacing w:after="0" w:line="137" w:lineRule="exact"/>
              <w:rPr>
                <w:sz w:val="20"/>
                <w:szCs w:val="20"/>
                <w:color w:val="auto"/>
              </w:rPr>
            </w:pPr>
            <w:r>
              <w:rPr>
                <w:rFonts w:ascii="Times New Roman" w:cs="Times New Roman" w:eastAsia="Times New Roman" w:hAnsi="Times New Roman"/>
                <w:sz w:val="14"/>
                <w:szCs w:val="14"/>
                <w:color w:val="auto"/>
                <w:w w:val="99"/>
              </w:rPr>
              <w:t>Preferred stock, 5,000,000 shares, $0.0001 par value, authorized, no shares issued and outstanding as of December</w:t>
            </w:r>
          </w:p>
        </w:tc>
        <w:tc>
          <w:tcPr>
            <w:tcW w:w="200" w:type="dxa"/>
            <w:vAlign w:val="bottom"/>
            <w:shd w:val="clear" w:color="auto" w:fill="D1EEF5"/>
          </w:tcPr>
          <w:p>
            <w:pPr>
              <w:spacing w:after="0"/>
              <w:rPr>
                <w:sz w:val="11"/>
                <w:szCs w:val="11"/>
                <w:color w:val="auto"/>
              </w:rPr>
            </w:pPr>
          </w:p>
        </w:tc>
        <w:tc>
          <w:tcPr>
            <w:tcW w:w="1000" w:type="dxa"/>
            <w:vAlign w:val="bottom"/>
            <w:shd w:val="clear" w:color="auto" w:fill="D1EEF5"/>
          </w:tcPr>
          <w:p>
            <w:pPr>
              <w:spacing w:after="0"/>
              <w:rPr>
                <w:sz w:val="11"/>
                <w:szCs w:val="11"/>
                <w:color w:val="auto"/>
              </w:rPr>
            </w:pPr>
          </w:p>
        </w:tc>
        <w:tc>
          <w:tcPr>
            <w:tcW w:w="540" w:type="dxa"/>
            <w:vAlign w:val="bottom"/>
            <w:shd w:val="clear" w:color="auto" w:fill="D1EEF5"/>
          </w:tcPr>
          <w:p>
            <w:pPr>
              <w:spacing w:after="0"/>
              <w:rPr>
                <w:sz w:val="11"/>
                <w:szCs w:val="11"/>
                <w:color w:val="auto"/>
              </w:rPr>
            </w:pPr>
          </w:p>
        </w:tc>
        <w:tc>
          <w:tcPr>
            <w:tcW w:w="300" w:type="dxa"/>
            <w:vAlign w:val="bottom"/>
            <w:shd w:val="clear" w:color="auto" w:fill="D1EEF5"/>
          </w:tcPr>
          <w:p>
            <w:pPr>
              <w:spacing w:after="0"/>
              <w:rPr>
                <w:sz w:val="11"/>
                <w:szCs w:val="11"/>
                <w:color w:val="auto"/>
              </w:rPr>
            </w:pPr>
          </w:p>
        </w:tc>
        <w:tc>
          <w:tcPr>
            <w:tcW w:w="360" w:type="dxa"/>
            <w:vAlign w:val="bottom"/>
            <w:shd w:val="clear" w:color="auto" w:fill="D1EEF5"/>
          </w:tcPr>
          <w:p>
            <w:pPr>
              <w:spacing w:after="0"/>
              <w:rPr>
                <w:sz w:val="11"/>
                <w:szCs w:val="11"/>
                <w:color w:val="auto"/>
              </w:rPr>
            </w:pPr>
          </w:p>
        </w:tc>
        <w:tc>
          <w:tcPr>
            <w:tcW w:w="1180" w:type="dxa"/>
            <w:vAlign w:val="bottom"/>
            <w:shd w:val="clear" w:color="auto" w:fill="D1EEF5"/>
          </w:tcPr>
          <w:p>
            <w:pPr>
              <w:spacing w:after="0"/>
              <w:rPr>
                <w:sz w:val="11"/>
                <w:szCs w:val="11"/>
                <w:color w:val="auto"/>
              </w:rPr>
            </w:pPr>
          </w:p>
        </w:tc>
        <w:tc>
          <w:tcPr>
            <w:tcW w:w="100" w:type="dxa"/>
            <w:vAlign w:val="bottom"/>
            <w:shd w:val="clear" w:color="auto" w:fill="D1EEF5"/>
          </w:tcPr>
          <w:p>
            <w:pPr>
              <w:spacing w:after="0"/>
              <w:rPr>
                <w:sz w:val="11"/>
                <w:szCs w:val="11"/>
                <w:color w:val="auto"/>
              </w:rPr>
            </w:pPr>
          </w:p>
        </w:tc>
      </w:tr>
      <w:tr>
        <w:trPr>
          <w:trHeight w:val="177"/>
        </w:trPr>
        <w:tc>
          <w:tcPr>
            <w:tcW w:w="65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31, 2022 and 2021, respectively</w:t>
            </w:r>
          </w:p>
        </w:tc>
        <w:tc>
          <w:tcPr>
            <w:tcW w:w="200" w:type="dxa"/>
            <w:vAlign w:val="bottom"/>
            <w:shd w:val="clear" w:color="auto" w:fill="D1EEF5"/>
          </w:tcPr>
          <w:p>
            <w:pPr>
              <w:spacing w:after="0"/>
              <w:rPr>
                <w:sz w:val="15"/>
                <w:szCs w:val="15"/>
                <w:color w:val="auto"/>
              </w:rPr>
            </w:pPr>
          </w:p>
        </w:tc>
        <w:tc>
          <w:tcPr>
            <w:tcW w:w="1000" w:type="dxa"/>
            <w:vAlign w:val="bottom"/>
            <w:shd w:val="clear" w:color="auto" w:fill="D1EEF5"/>
          </w:tcPr>
          <w:p>
            <w:pPr>
              <w:spacing w:after="0"/>
              <w:rPr>
                <w:sz w:val="15"/>
                <w:szCs w:val="15"/>
                <w:color w:val="auto"/>
              </w:rPr>
            </w:pPr>
          </w:p>
        </w:tc>
        <w:tc>
          <w:tcPr>
            <w:tcW w:w="5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1EEF5"/>
          </w:tcPr>
          <w:p>
            <w:pPr>
              <w:spacing w:after="0"/>
              <w:rPr>
                <w:sz w:val="15"/>
                <w:szCs w:val="15"/>
                <w:color w:val="auto"/>
              </w:rPr>
            </w:pPr>
          </w:p>
        </w:tc>
        <w:tc>
          <w:tcPr>
            <w:tcW w:w="360" w:type="dxa"/>
            <w:vAlign w:val="bottom"/>
            <w:shd w:val="clear" w:color="auto" w:fill="D1EEF5"/>
          </w:tcPr>
          <w:p>
            <w:pPr>
              <w:spacing w:after="0"/>
              <w:rPr>
                <w:sz w:val="15"/>
                <w:szCs w:val="15"/>
                <w:color w:val="auto"/>
              </w:rPr>
            </w:pPr>
          </w:p>
        </w:tc>
        <w:tc>
          <w:tcPr>
            <w:tcW w:w="11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EF5"/>
          </w:tcPr>
          <w:p>
            <w:pPr>
              <w:spacing w:after="0"/>
              <w:rPr>
                <w:sz w:val="15"/>
                <w:szCs w:val="15"/>
                <w:color w:val="auto"/>
              </w:rPr>
            </w:pPr>
          </w:p>
        </w:tc>
      </w:tr>
      <w:tr>
        <w:trPr>
          <w:trHeight w:val="156"/>
        </w:trPr>
        <w:tc>
          <w:tcPr>
            <w:tcW w:w="65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Additional paid in capital</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38,461</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3,619</w:t>
            </w:r>
          </w:p>
        </w:tc>
        <w:tc>
          <w:tcPr>
            <w:tcW w:w="100" w:type="dxa"/>
            <w:vAlign w:val="bottom"/>
          </w:tcPr>
          <w:p>
            <w:pPr>
              <w:spacing w:after="0"/>
              <w:rPr>
                <w:sz w:val="13"/>
                <w:szCs w:val="13"/>
                <w:color w:val="auto"/>
              </w:rPr>
            </w:pPr>
          </w:p>
        </w:tc>
      </w:tr>
      <w:tr>
        <w:trPr>
          <w:trHeight w:val="186"/>
        </w:trPr>
        <w:tc>
          <w:tcPr>
            <w:tcW w:w="65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Retained (deficit) earnings</w:t>
            </w:r>
          </w:p>
        </w:tc>
        <w:tc>
          <w:tcPr>
            <w:tcW w:w="200" w:type="dxa"/>
            <w:vAlign w:val="bottom"/>
            <w:shd w:val="clear" w:color="auto" w:fill="D1EEF5"/>
          </w:tcPr>
          <w:p>
            <w:pPr>
              <w:spacing w:after="0"/>
              <w:rPr>
                <w:sz w:val="16"/>
                <w:szCs w:val="16"/>
                <w:color w:val="auto"/>
              </w:rPr>
            </w:pPr>
          </w:p>
        </w:tc>
        <w:tc>
          <w:tcPr>
            <w:tcW w:w="1000" w:type="dxa"/>
            <w:vAlign w:val="bottom"/>
            <w:shd w:val="clear" w:color="auto" w:fill="D1EEF5"/>
          </w:tcPr>
          <w:p>
            <w:pPr>
              <w:spacing w:after="0"/>
              <w:rPr>
                <w:sz w:val="16"/>
                <w:szCs w:val="16"/>
                <w:color w:val="auto"/>
              </w:rPr>
            </w:pPr>
          </w:p>
        </w:tc>
        <w:tc>
          <w:tcPr>
            <w:tcW w:w="840" w:type="dxa"/>
            <w:vAlign w:val="bottom"/>
            <w:gridSpan w:val="2"/>
            <w:shd w:val="clear" w:color="auto" w:fill="D1EEF5"/>
          </w:tcPr>
          <w:p>
            <w:pPr>
              <w:jc w:val="right"/>
              <w:ind w:right="260"/>
              <w:spacing w:after="0"/>
              <w:rPr>
                <w:sz w:val="20"/>
                <w:szCs w:val="20"/>
                <w:color w:val="auto"/>
              </w:rPr>
            </w:pPr>
            <w:r>
              <w:rPr>
                <w:rFonts w:ascii="Times New Roman" w:cs="Times New Roman" w:eastAsia="Times New Roman" w:hAnsi="Times New Roman"/>
                <w:sz w:val="14"/>
                <w:szCs w:val="14"/>
                <w:color w:val="auto"/>
              </w:rPr>
              <w:t>(27,133)</w:t>
            </w:r>
          </w:p>
        </w:tc>
        <w:tc>
          <w:tcPr>
            <w:tcW w:w="360" w:type="dxa"/>
            <w:vAlign w:val="bottom"/>
            <w:shd w:val="clear" w:color="auto" w:fill="D1EEF5"/>
          </w:tcPr>
          <w:p>
            <w:pPr>
              <w:spacing w:after="0"/>
              <w:rPr>
                <w:sz w:val="16"/>
                <w:szCs w:val="16"/>
                <w:color w:val="auto"/>
              </w:rPr>
            </w:pPr>
          </w:p>
        </w:tc>
        <w:tc>
          <w:tcPr>
            <w:tcW w:w="11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12,438</w:t>
            </w:r>
          </w:p>
        </w:tc>
        <w:tc>
          <w:tcPr>
            <w:tcW w:w="100" w:type="dxa"/>
            <w:vAlign w:val="bottom"/>
            <w:shd w:val="clear" w:color="auto" w:fill="D1EEF5"/>
          </w:tcPr>
          <w:p>
            <w:pPr>
              <w:spacing w:after="0"/>
              <w:rPr>
                <w:sz w:val="16"/>
                <w:szCs w:val="16"/>
                <w:color w:val="auto"/>
              </w:rPr>
            </w:pPr>
          </w:p>
        </w:tc>
      </w:tr>
      <w:tr>
        <w:trPr>
          <w:trHeight w:val="147"/>
        </w:trPr>
        <w:tc>
          <w:tcPr>
            <w:tcW w:w="6560" w:type="dxa"/>
            <w:vAlign w:val="bottom"/>
            <w:tcBorders>
              <w:top w:val="single" w:sz="8" w:color="D1EEF5"/>
              <w:bottom w:val="single" w:sz="8" w:color="D1EEF5"/>
            </w:tcBorders>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200" w:type="dxa"/>
            <w:vAlign w:val="bottom"/>
            <w:tcBorders>
              <w:top w:val="single" w:sz="8" w:color="D1EEF5"/>
              <w:bottom w:val="single" w:sz="8" w:color="D1EEF5"/>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11,332</w:t>
            </w:r>
          </w:p>
        </w:tc>
        <w:tc>
          <w:tcPr>
            <w:tcW w:w="300" w:type="dxa"/>
            <w:vAlign w:val="bottom"/>
            <w:tcBorders>
              <w:top w:val="single" w:sz="8" w:color="D1EEF5"/>
              <w:bottom w:val="single" w:sz="8" w:color="D1EEF5"/>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16,061</w:t>
            </w:r>
          </w:p>
        </w:tc>
        <w:tc>
          <w:tcPr>
            <w:tcW w:w="100" w:type="dxa"/>
            <w:vAlign w:val="bottom"/>
            <w:tcBorders>
              <w:top w:val="single" w:sz="8" w:color="D1EEF5"/>
              <w:bottom w:val="single" w:sz="8" w:color="D1EEF5"/>
            </w:tcBorders>
          </w:tcPr>
          <w:p>
            <w:pPr>
              <w:spacing w:after="0"/>
              <w:rPr>
                <w:sz w:val="12"/>
                <w:szCs w:val="12"/>
                <w:color w:val="auto"/>
              </w:rPr>
            </w:pPr>
          </w:p>
        </w:tc>
      </w:tr>
      <w:tr>
        <w:trPr>
          <w:trHeight w:val="171"/>
        </w:trPr>
        <w:tc>
          <w:tcPr>
            <w:tcW w:w="65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200" w:type="dxa"/>
            <w:vAlign w:val="bottom"/>
            <w:shd w:val="clear" w:color="auto" w:fill="D1EEF5"/>
          </w:tcPr>
          <w:p>
            <w:pPr>
              <w:spacing w:after="0"/>
              <w:rPr>
                <w:sz w:val="14"/>
                <w:szCs w:val="14"/>
                <w:color w:val="auto"/>
              </w:rPr>
            </w:pPr>
          </w:p>
        </w:tc>
        <w:tc>
          <w:tcPr>
            <w:tcW w:w="1000" w:type="dxa"/>
            <w:vAlign w:val="bottom"/>
            <w:shd w:val="clear" w:color="auto" w:fill="D1EEF5"/>
          </w:tcPr>
          <w:p>
            <w:pPr>
              <w:jc w:val="right"/>
              <w:ind w:right="88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88,762</w:t>
            </w:r>
          </w:p>
        </w:tc>
        <w:tc>
          <w:tcPr>
            <w:tcW w:w="300" w:type="dxa"/>
            <w:vAlign w:val="bottom"/>
            <w:shd w:val="clear" w:color="auto" w:fill="D1EEF5"/>
          </w:tcPr>
          <w:p>
            <w:pPr>
              <w:spacing w:after="0"/>
              <w:rPr>
                <w:sz w:val="14"/>
                <w:szCs w:val="14"/>
                <w:color w:val="auto"/>
              </w:rPr>
            </w:pPr>
          </w:p>
        </w:tc>
        <w:tc>
          <w:tcPr>
            <w:tcW w:w="360" w:type="dxa"/>
            <w:vAlign w:val="bottom"/>
            <w:shd w:val="clear" w:color="auto" w:fill="D1EEF5"/>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76,251</w:t>
            </w:r>
          </w:p>
        </w:tc>
        <w:tc>
          <w:tcPr>
            <w:tcW w:w="100" w:type="dxa"/>
            <w:vAlign w:val="bottom"/>
            <w:shd w:val="clear" w:color="auto" w:fill="D1EEF5"/>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-2907665</wp:posOffset>
            </wp:positionV>
            <wp:extent cx="2171065" cy="495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9">
                      <a:extLst>
                        <a:ext uri="{28A0092B-C50C-407E-A947-70E740481C1C}"/>
                      </a:extLst>
                    </a:blip>
                    <a:srcRect/>
                    <a:stretch>
                      <a:fillRect/>
                    </a:stretch>
                  </pic:blipFill>
                  <pic:spPr bwMode="auto">
                    <a:xfrm>
                      <a:off x="0" y="0"/>
                      <a:ext cx="2171065" cy="4953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2171065" cy="495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0">
                      <a:extLst>
                        <a:ext uri="{28A0092B-C50C-407E-A947-70E740481C1C}"/>
                      </a:extLst>
                    </a:blip>
                    <a:srcRect/>
                    <a:stretch>
                      <a:fillRect/>
                    </a:stretch>
                  </pic:blipFill>
                  <pic:spPr bwMode="auto">
                    <a:xfrm>
                      <a:off x="0" y="0"/>
                      <a:ext cx="2171065" cy="4953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financial statements.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17145</wp:posOffset>
                </wp:positionV>
                <wp:extent cx="650938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5pt" to="512.25pt,1.35pt" o:allowincell="f" strokecolor="#000000" strokeweight="1.32pt"/>
            </w:pict>
          </mc:Fallback>
        </mc:AlternateContent>
      </w:r>
    </w:p>
    <w:p>
      <w:pPr>
        <w:sectPr>
          <w:pgSz w:w="12240" w:h="15840" w:orient="portrait"/>
          <w:cols w:equalWidth="0" w:num="1">
            <w:col w:w="10240"/>
          </w:cols>
          <w:pgMar w:left="1000" w:top="1208" w:right="1000"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Gross Profit</w:t>
      </w:r>
    </w:p>
    <w:p>
      <w:pPr>
        <w:spacing w:after="0" w:line="232" w:lineRule="auto"/>
        <w:rPr>
          <w:sz w:val="20"/>
          <w:szCs w:val="20"/>
          <w:color w:val="auto"/>
        </w:rPr>
      </w:pPr>
      <w:r>
        <w:rPr>
          <w:rFonts w:ascii="Times New Roman" w:cs="Times New Roman" w:eastAsia="Times New Roman" w:hAnsi="Times New Roman"/>
          <w:sz w:val="14"/>
          <w:szCs w:val="14"/>
          <w:b w:val="1"/>
          <w:bCs w:val="1"/>
          <w:color w:val="auto"/>
        </w:rPr>
        <w:t>Operating Expenses</w:t>
      </w:r>
    </w:p>
    <w:p>
      <w:pPr>
        <w:ind w:left="140"/>
        <w:spacing w:after="0" w:line="234" w:lineRule="auto"/>
        <w:rPr>
          <w:sz w:val="20"/>
          <w:szCs w:val="20"/>
          <w:color w:val="auto"/>
        </w:rPr>
      </w:pPr>
      <w:r>
        <w:rPr>
          <w:rFonts w:ascii="Times New Roman" w:cs="Times New Roman" w:eastAsia="Times New Roman" w:hAnsi="Times New Roman"/>
          <w:sz w:val="14"/>
          <w:szCs w:val="14"/>
          <w:color w:val="auto"/>
        </w:rPr>
        <w:t>Research and development</w:t>
      </w:r>
    </w:p>
    <w:p>
      <w:pPr>
        <w:ind w:left="140"/>
        <w:spacing w:after="0" w:line="233" w:lineRule="auto"/>
        <w:rPr>
          <w:sz w:val="20"/>
          <w:szCs w:val="20"/>
          <w:color w:val="auto"/>
        </w:rPr>
      </w:pPr>
      <w:r>
        <w:rPr>
          <w:rFonts w:ascii="Times New Roman" w:cs="Times New Roman" w:eastAsia="Times New Roman" w:hAnsi="Times New Roman"/>
          <w:sz w:val="14"/>
          <w:szCs w:val="14"/>
          <w:color w:val="auto"/>
        </w:rPr>
        <w:t>General and administrative</w:t>
      </w:r>
    </w:p>
    <w:p>
      <w:pPr>
        <w:ind w:left="140"/>
        <w:spacing w:after="0"/>
        <w:rPr>
          <w:sz w:val="20"/>
          <w:szCs w:val="20"/>
          <w:color w:val="auto"/>
        </w:rPr>
      </w:pPr>
      <w:r>
        <w:rPr>
          <w:rFonts w:ascii="Times New Roman" w:cs="Times New Roman" w:eastAsia="Times New Roman" w:hAnsi="Times New Roman"/>
          <w:sz w:val="14"/>
          <w:szCs w:val="14"/>
          <w:color w:val="auto"/>
        </w:rPr>
        <w:t>Selling and marketing</w:t>
      </w:r>
    </w:p>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p>
      <w:pPr>
        <w:spacing w:after="0" w:line="20" w:lineRule="exact"/>
        <w:rPr>
          <w:sz w:val="20"/>
          <w:szCs w:val="20"/>
          <w:color w:val="auto"/>
        </w:rPr>
      </w:pPr>
    </w:p>
    <w:p>
      <w:pPr>
        <w:ind w:right="560" w:firstLine="272"/>
        <w:spacing w:after="0" w:line="291" w:lineRule="auto"/>
        <w:rPr>
          <w:sz w:val="20"/>
          <w:szCs w:val="20"/>
          <w:color w:val="auto"/>
        </w:rPr>
      </w:pPr>
      <w:r>
        <w:rPr>
          <w:rFonts w:ascii="Times New Roman" w:cs="Times New Roman" w:eastAsia="Times New Roman" w:hAnsi="Times New Roman"/>
          <w:sz w:val="12"/>
          <w:szCs w:val="12"/>
          <w:b w:val="1"/>
          <w:bCs w:val="1"/>
          <w:color w:val="auto"/>
        </w:rPr>
        <w:t>(Loss) Income From Operations Other Income (Expense)</w:t>
      </w:r>
    </w:p>
    <w:p>
      <w:pPr>
        <w:ind w:left="140"/>
        <w:spacing w:after="0" w:line="233" w:lineRule="auto"/>
        <w:rPr>
          <w:sz w:val="20"/>
          <w:szCs w:val="20"/>
          <w:color w:val="auto"/>
        </w:rPr>
      </w:pPr>
      <w:r>
        <w:rPr>
          <w:rFonts w:ascii="Times New Roman" w:cs="Times New Roman" w:eastAsia="Times New Roman" w:hAnsi="Times New Roman"/>
          <w:sz w:val="14"/>
          <w:szCs w:val="14"/>
          <w:color w:val="auto"/>
        </w:rPr>
        <w:t>Other income</w:t>
      </w:r>
    </w:p>
    <w:p>
      <w:pPr>
        <w:ind w:left="140"/>
        <w:spacing w:after="0" w:line="232" w:lineRule="auto"/>
        <w:rPr>
          <w:sz w:val="20"/>
          <w:szCs w:val="20"/>
          <w:color w:val="auto"/>
        </w:rPr>
      </w:pPr>
      <w:r>
        <w:rPr>
          <w:rFonts w:ascii="Times New Roman" w:cs="Times New Roman" w:eastAsia="Times New Roman" w:hAnsi="Times New Roman"/>
          <w:sz w:val="14"/>
          <w:szCs w:val="14"/>
          <w:color w:val="auto"/>
        </w:rPr>
        <w:t>Interest expense, net</w:t>
      </w:r>
    </w:p>
    <w:p>
      <w:pPr>
        <w:spacing w:after="0" w:line="1" w:lineRule="exact"/>
        <w:rPr>
          <w:sz w:val="20"/>
          <w:szCs w:val="20"/>
          <w:color w:val="auto"/>
        </w:rPr>
      </w:pPr>
    </w:p>
    <w:p>
      <w:pPr>
        <w:ind w:left="140"/>
        <w:spacing w:after="0" w:line="236" w:lineRule="auto"/>
        <w:rPr>
          <w:sz w:val="20"/>
          <w:szCs w:val="20"/>
          <w:color w:val="auto"/>
        </w:rPr>
      </w:pPr>
      <w:r>
        <w:rPr>
          <w:rFonts w:ascii="Times New Roman" w:cs="Times New Roman" w:eastAsia="Times New Roman" w:hAnsi="Times New Roman"/>
          <w:sz w:val="14"/>
          <w:szCs w:val="14"/>
          <w:color w:val="auto"/>
        </w:rPr>
        <w:t>Change in fair market value of warrant liability Debt extinguishment</w:t>
      </w:r>
    </w:p>
    <w:p>
      <w:pPr>
        <w:ind w:right="960" w:firstLine="272"/>
        <w:spacing w:after="0" w:line="267" w:lineRule="auto"/>
        <w:rPr>
          <w:sz w:val="20"/>
          <w:szCs w:val="20"/>
          <w:color w:val="auto"/>
        </w:rPr>
      </w:pPr>
      <w:r>
        <w:rPr>
          <w:rFonts w:ascii="Times New Roman" w:cs="Times New Roman" w:eastAsia="Times New Roman" w:hAnsi="Times New Roman"/>
          <w:sz w:val="14"/>
          <w:szCs w:val="14"/>
          <w:b w:val="1"/>
          <w:bCs w:val="1"/>
          <w:color w:val="auto"/>
        </w:rPr>
        <w:t>Total Other Expense (Loss) Income Before Taxes Income Tax (benefit) Expense Net (Loss) Income</w:t>
      </w:r>
    </w:p>
    <w:p>
      <w:pPr>
        <w:spacing w:after="0" w:line="181" w:lineRule="exact"/>
        <w:rPr>
          <w:sz w:val="20"/>
          <w:szCs w:val="20"/>
          <w:color w:val="auto"/>
        </w:rPr>
      </w:pPr>
      <w:r>
        <w:rPr>
          <w:rFonts w:ascii="Times New Roman" w:cs="Times New Roman" w:eastAsia="Times New Roman" w:hAnsi="Times New Roman"/>
          <w:sz w:val="14"/>
          <w:szCs w:val="14"/>
          <w:color w:val="auto"/>
        </w:rPr>
        <w:t>(Loss) Earnings Per Share</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Basic</w:t>
      </w:r>
    </w:p>
    <w:p>
      <w:pPr>
        <w:spacing w:after="0" w:line="4"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(Loss) Earnings Per Share</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Diluted</w:t>
      </w:r>
    </w:p>
    <w:p>
      <w:pPr>
        <w:spacing w:after="0" w:line="9"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Weighted Average Number of Shares</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Basic</w:t>
      </w:r>
    </w:p>
    <w:p>
      <w:pPr>
        <w:spacing w:after="0" w:line="30"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Weighted Average Number of Shares</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Diluted</w:t>
      </w:r>
    </w:p>
    <w:p>
      <w:pPr>
        <w:spacing w:after="0" w:line="20" w:lineRule="exact"/>
        <w:rPr>
          <w:sz w:val="20"/>
          <w:szCs w:val="20"/>
          <w:color w:val="auto"/>
        </w:rPr>
      </w:pPr>
      <w:r>
        <w:rPr>
          <w:sz w:val="20"/>
          <w:szCs w:val="20"/>
          <w:color w:val="auto"/>
        </w:rPr>
        <w:br w:type="column"/>
      </w:r>
    </w:p>
    <w:p>
      <w:pPr>
        <w:jc w:val="center"/>
        <w:ind w:right="3020"/>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ind w:right="30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jc w:val="center"/>
        <w:ind w:right="3020"/>
        <w:spacing w:after="0" w:line="232" w:lineRule="auto"/>
        <w:rPr>
          <w:sz w:val="20"/>
          <w:szCs w:val="20"/>
          <w:color w:val="auto"/>
        </w:rPr>
      </w:pPr>
      <w:r>
        <w:rPr>
          <w:rFonts w:ascii="Times New Roman" w:cs="Times New Roman" w:eastAsia="Times New Roman" w:hAnsi="Times New Roman"/>
          <w:sz w:val="14"/>
          <w:szCs w:val="14"/>
          <w:b w:val="1"/>
          <w:bCs w:val="1"/>
          <w:color w:val="auto"/>
        </w:rPr>
        <w:t>YEARS ENDED DECEMBER 31, 2022 AND 2021</w:t>
      </w:r>
    </w:p>
    <w:p>
      <w:pPr>
        <w:ind w:left="14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0" w:lineRule="exact"/>
        <w:rPr>
          <w:sz w:val="20"/>
          <w:szCs w:val="20"/>
          <w:color w:val="auto"/>
        </w:rPr>
      </w:pPr>
    </w:p>
    <w:tbl>
      <w:tblPr>
        <w:tblLayout w:type="fixed"/>
        <w:tblInd w:w="36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3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86,251</w:t>
            </w: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78,000</w:t>
            </w:r>
          </w:p>
        </w:tc>
        <w:tc>
          <w:tcPr>
            <w:tcW w:w="40" w:type="dxa"/>
            <w:vAlign w:val="bottom"/>
          </w:tcPr>
          <w:p>
            <w:pPr>
              <w:spacing w:after="0"/>
              <w:rPr>
                <w:sz w:val="13"/>
                <w:szCs w:val="13"/>
                <w:color w:val="auto"/>
              </w:rPr>
            </w:pPr>
          </w:p>
        </w:tc>
      </w:tr>
      <w:tr>
        <w:trPr>
          <w:trHeight w:val="141"/>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62,247</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48,375</w:t>
            </w:r>
          </w:p>
        </w:tc>
        <w:tc>
          <w:tcPr>
            <w:tcW w:w="40" w:type="dxa"/>
            <w:vAlign w:val="bottom"/>
          </w:tcPr>
          <w:p>
            <w:pPr>
              <w:spacing w:after="0"/>
              <w:rPr>
                <w:sz w:val="12"/>
                <w:szCs w:val="12"/>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24,004</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29,625</w:t>
            </w:r>
          </w:p>
        </w:tc>
        <w:tc>
          <w:tcPr>
            <w:tcW w:w="40" w:type="dxa"/>
            <w:vAlign w:val="bottom"/>
          </w:tcPr>
          <w:p>
            <w:pPr>
              <w:spacing w:after="0"/>
              <w:rPr>
                <w:sz w:val="15"/>
                <w:szCs w:val="15"/>
                <w:color w:val="auto"/>
              </w:rPr>
            </w:pPr>
          </w:p>
        </w:tc>
      </w:tr>
      <w:tr>
        <w:trPr>
          <w:trHeight w:val="28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40" w:type="dxa"/>
            <w:vAlign w:val="bottom"/>
          </w:tcPr>
          <w:p>
            <w:pPr>
              <w:spacing w:after="0"/>
              <w:rPr>
                <w:sz w:val="24"/>
                <w:szCs w:val="24"/>
                <w:color w:val="auto"/>
              </w:rPr>
            </w:pPr>
          </w:p>
        </w:tc>
      </w:tr>
      <w:tr>
        <w:trPr>
          <w:trHeight w:val="166"/>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41,566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10,621</w:t>
            </w:r>
          </w:p>
        </w:tc>
        <w:tc>
          <w:tcPr>
            <w:tcW w:w="4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13,671</w:t>
            </w: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9,848</w:t>
            </w:r>
          </w:p>
        </w:tc>
        <w:tc>
          <w:tcPr>
            <w:tcW w:w="4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58,001</w:t>
            </w: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23,158</w:t>
            </w:r>
          </w:p>
        </w:tc>
        <w:tc>
          <w:tcPr>
            <w:tcW w:w="40" w:type="dxa"/>
            <w:vAlign w:val="bottom"/>
          </w:tcPr>
          <w:p>
            <w:pPr>
              <w:spacing w:after="0"/>
              <w:rPr>
                <w:sz w:val="13"/>
                <w:szCs w:val="13"/>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(33,997)</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6,467</w:t>
            </w:r>
          </w:p>
        </w:tc>
        <w:tc>
          <w:tcPr>
            <w:tcW w:w="40" w:type="dxa"/>
            <w:vAlign w:val="bottom"/>
          </w:tcPr>
          <w:p>
            <w:pPr>
              <w:spacing w:after="0"/>
              <w:rPr>
                <w:sz w:val="15"/>
                <w:szCs w:val="15"/>
                <w:color w:val="auto"/>
              </w:rPr>
            </w:pPr>
          </w:p>
        </w:tc>
      </w:tr>
      <w:tr>
        <w:trPr>
          <w:trHeight w:val="271"/>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23"/>
                <w:szCs w:val="2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3"/>
          </w:tcPr>
          <w:p>
            <w:pPr>
              <w:jc w:val="right"/>
              <w:ind w:right="254"/>
              <w:spacing w:after="0" w:line="156" w:lineRule="exact"/>
              <w:rPr>
                <w:sz w:val="20"/>
                <w:szCs w:val="20"/>
                <w:color w:val="auto"/>
              </w:rPr>
            </w:pPr>
            <w:r>
              <w:rPr>
                <w:rFonts w:ascii="Times New Roman" w:cs="Times New Roman" w:eastAsia="Times New Roman" w:hAnsi="Times New Roman"/>
                <w:sz w:val="14"/>
                <w:szCs w:val="14"/>
                <w:color w:val="auto"/>
              </w:rPr>
              <w:t>(6,945)</w:t>
            </w:r>
          </w:p>
        </w:tc>
        <w:tc>
          <w:tcPr>
            <w:tcW w:w="360" w:type="dxa"/>
            <w:vAlign w:val="bottom"/>
          </w:tcPr>
          <w:p>
            <w:pPr>
              <w:spacing w:after="0"/>
              <w:rPr>
                <w:sz w:val="13"/>
                <w:szCs w:val="13"/>
                <w:color w:val="auto"/>
              </w:rPr>
            </w:pPr>
          </w:p>
        </w:tc>
        <w:tc>
          <w:tcPr>
            <w:tcW w:w="12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(519)</w:t>
            </w: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5,446</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right"/>
              <w:ind w:right="254"/>
              <w:spacing w:after="0"/>
              <w:rPr>
                <w:sz w:val="20"/>
                <w:szCs w:val="20"/>
                <w:color w:val="auto"/>
              </w:rPr>
            </w:pPr>
            <w:r>
              <w:rPr>
                <w:rFonts w:ascii="Times New Roman" w:cs="Times New Roman" w:eastAsia="Times New Roman" w:hAnsi="Times New Roman"/>
                <w:sz w:val="14"/>
                <w:szCs w:val="14"/>
                <w:color w:val="auto"/>
              </w:rPr>
              <w:t>(4,824)</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(6,283)</w:t>
            </w:r>
          </w:p>
        </w:tc>
        <w:tc>
          <w:tcPr>
            <w:tcW w:w="300" w:type="dxa"/>
            <w:vAlign w:val="bottom"/>
            <w:gridSpan w:val="2"/>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(518)</w:t>
            </w:r>
          </w:p>
        </w:tc>
        <w:tc>
          <w:tcPr>
            <w:tcW w:w="40" w:type="dxa"/>
            <w:vAlign w:val="bottom"/>
          </w:tcPr>
          <w:p>
            <w:pPr>
              <w:spacing w:after="0"/>
              <w:rPr>
                <w:sz w:val="13"/>
                <w:szCs w:val="13"/>
                <w:color w:val="auto"/>
              </w:rPr>
            </w:pPr>
          </w:p>
        </w:tc>
      </w:tr>
      <w:tr>
        <w:trPr>
          <w:trHeight w:val="159"/>
        </w:trPr>
        <w:tc>
          <w:tcPr>
            <w:tcW w:w="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(40,280)</w:t>
            </w:r>
          </w:p>
        </w:tc>
        <w:tc>
          <w:tcPr>
            <w:tcW w:w="2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5,949</w:t>
            </w:r>
          </w:p>
        </w:tc>
        <w:tc>
          <w:tcPr>
            <w:tcW w:w="40" w:type="dxa"/>
            <w:vAlign w:val="bottom"/>
          </w:tcPr>
          <w:p>
            <w:pPr>
              <w:spacing w:after="0"/>
              <w:rPr>
                <w:sz w:val="13"/>
                <w:szCs w:val="13"/>
                <w:color w:val="auto"/>
              </w:rPr>
            </w:pPr>
          </w:p>
        </w:tc>
      </w:tr>
      <w:tr>
        <w:trPr>
          <w:trHeight w:val="159"/>
        </w:trPr>
        <w:tc>
          <w:tcPr>
            <w:tcW w:w="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(709</w:t>
            </w:r>
          </w:p>
        </w:tc>
        <w:tc>
          <w:tcPr>
            <w:tcW w:w="300" w:type="dxa"/>
            <w:vAlign w:val="bottom"/>
            <w:gridSpan w:val="2"/>
          </w:tcPr>
          <w:p>
            <w:pPr>
              <w:jc w:val="right"/>
              <w:ind w:right="254"/>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1,611</w:t>
            </w:r>
          </w:p>
        </w:tc>
        <w:tc>
          <w:tcPr>
            <w:tcW w:w="4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320" w:type="dxa"/>
            <w:vAlign w:val="bottom"/>
            <w:tcBorders>
              <w:top w:val="single" w:sz="8" w:color="auto"/>
            </w:tcBorders>
          </w:tcPr>
          <w:p>
            <w:pPr>
              <w:jc w:val="right"/>
              <w:ind w:right="257"/>
              <w:spacing w:after="0"/>
              <w:rPr>
                <w:sz w:val="20"/>
                <w:szCs w:val="20"/>
                <w:color w:val="auto"/>
              </w:rPr>
            </w:pPr>
            <w:r>
              <w:rPr>
                <w:rFonts w:ascii="Times New Roman" w:cs="Times New Roman" w:eastAsia="Times New Roman" w:hAnsi="Times New Roman"/>
                <w:sz w:val="5"/>
                <w:szCs w:val="5"/>
                <w:color w:val="auto"/>
                <w:w w:val="78"/>
              </w:rPr>
              <w:t>$</w:t>
            </w:r>
          </w:p>
        </w:tc>
        <w:tc>
          <w:tcPr>
            <w:tcW w:w="1220" w:type="dxa"/>
            <w:vAlign w:val="bottom"/>
            <w:tcBorders>
              <w:top w:val="single" w:sz="8" w:color="auto"/>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(39,571</w:t>
            </w:r>
          </w:p>
        </w:tc>
        <w:tc>
          <w:tcPr>
            <w:tcW w:w="280" w:type="dxa"/>
            <w:vAlign w:val="bottom"/>
          </w:tcPr>
          <w:p>
            <w:pPr>
              <w:jc w:val="right"/>
              <w:ind w:right="254"/>
              <w:spacing w:after="0"/>
              <w:rPr>
                <w:sz w:val="20"/>
                <w:szCs w:val="20"/>
                <w:color w:val="auto"/>
              </w:rPr>
            </w:pPr>
            <w:r>
              <w:rPr>
                <w:rFonts w:ascii="Times New Roman" w:cs="Times New Roman" w:eastAsia="Times New Roman" w:hAnsi="Times New Roman"/>
                <w:sz w:val="1"/>
                <w:szCs w:val="1"/>
                <w:color w:val="auto"/>
                <w:w w:val="4294967281"/>
              </w:rPr>
              <w:t>)</w:t>
            </w:r>
          </w:p>
        </w:tc>
        <w:tc>
          <w:tcPr>
            <w:tcW w:w="360" w:type="dxa"/>
            <w:vAlign w:val="bottom"/>
            <w:tcBorders>
              <w:top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4,338</w:t>
            </w:r>
          </w:p>
        </w:tc>
        <w:tc>
          <w:tcPr>
            <w:tcW w:w="40" w:type="dxa"/>
            <w:vAlign w:val="bottom"/>
          </w:tcPr>
          <w:p>
            <w:pPr>
              <w:spacing w:after="0"/>
              <w:rPr>
                <w:sz w:val="13"/>
                <w:szCs w:val="13"/>
                <w:color w:val="auto"/>
              </w:rPr>
            </w:pPr>
          </w:p>
        </w:tc>
      </w:tr>
      <w:tr>
        <w:trPr>
          <w:trHeight w:val="191"/>
        </w:trPr>
        <w:tc>
          <w:tcPr>
            <w:tcW w:w="340" w:type="dxa"/>
            <w:vAlign w:val="bottom"/>
            <w:gridSpan w:val="2"/>
          </w:tcPr>
          <w:p>
            <w:pPr>
              <w:jc w:val="right"/>
              <w:ind w:right="25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3"/>
          </w:tcPr>
          <w:p>
            <w:pPr>
              <w:jc w:val="right"/>
              <w:ind w:right="254"/>
              <w:spacing w:after="0"/>
              <w:rPr>
                <w:sz w:val="20"/>
                <w:szCs w:val="20"/>
                <w:color w:val="auto"/>
              </w:rPr>
            </w:pPr>
            <w:r>
              <w:rPr>
                <w:rFonts w:ascii="Times New Roman" w:cs="Times New Roman" w:eastAsia="Times New Roman" w:hAnsi="Times New Roman"/>
                <w:sz w:val="14"/>
                <w:szCs w:val="14"/>
                <w:color w:val="auto"/>
              </w:rPr>
              <w:t>(1.03)</w:t>
            </w: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40" w:type="dxa"/>
            <w:vAlign w:val="bottom"/>
          </w:tcPr>
          <w:p>
            <w:pPr>
              <w:spacing w:after="0"/>
              <w:rPr>
                <w:sz w:val="16"/>
                <w:szCs w:val="16"/>
                <w:color w:val="auto"/>
              </w:rPr>
            </w:pPr>
          </w:p>
        </w:tc>
      </w:tr>
      <w:tr>
        <w:trPr>
          <w:trHeight w:val="198"/>
        </w:trPr>
        <w:tc>
          <w:tcPr>
            <w:tcW w:w="340" w:type="dxa"/>
            <w:vAlign w:val="bottom"/>
            <w:gridSpan w:val="2"/>
          </w:tcPr>
          <w:p>
            <w:pPr>
              <w:jc w:val="right"/>
              <w:ind w:right="25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3"/>
          </w:tcPr>
          <w:p>
            <w:pPr>
              <w:jc w:val="right"/>
              <w:ind w:right="254"/>
              <w:spacing w:after="0"/>
              <w:rPr>
                <w:sz w:val="20"/>
                <w:szCs w:val="20"/>
                <w:color w:val="auto"/>
              </w:rPr>
            </w:pPr>
            <w:r>
              <w:rPr>
                <w:rFonts w:ascii="Times New Roman" w:cs="Times New Roman" w:eastAsia="Times New Roman" w:hAnsi="Times New Roman"/>
                <w:sz w:val="14"/>
                <w:szCs w:val="14"/>
                <w:color w:val="auto"/>
              </w:rPr>
              <w:t>(1.03)</w:t>
            </w: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4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38,565,307</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35,579,137</w:t>
            </w:r>
          </w:p>
        </w:tc>
        <w:tc>
          <w:tcPr>
            <w:tcW w:w="4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38,565,307</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37,742,337</w:t>
            </w: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-1956435</wp:posOffset>
                </wp:positionH>
                <wp:positionV relativeFrom="paragraph">
                  <wp:posOffset>-2386965</wp:posOffset>
                </wp:positionV>
                <wp:extent cx="6503035" cy="11176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111760"/>
                        </a:xfrm>
                        <a:prstGeom prst="rect">
                          <a:avLst/>
                        </a:prstGeom>
                        <a:solidFill>
                          <a:srgbClr val="D1EEF5"/>
                        </a:solidFill>
                      </wps:spPr>
                      <wps:bodyPr/>
                    </wps:wsp>
                  </a:graphicData>
                </a:graphic>
              </wp:anchor>
            </w:drawing>
          </mc:Choice>
          <mc:Fallback>
            <w:pict>
              <v:rect id="Shape 93" o:spid="_x0000_s1118" style="position:absolute;margin-left:-154.0499pt;margin-top:-187.9499pt;width:512.05pt;height:8.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-1956435</wp:posOffset>
                </wp:positionH>
                <wp:positionV relativeFrom="paragraph">
                  <wp:posOffset>-2169160</wp:posOffset>
                </wp:positionV>
                <wp:extent cx="6503035" cy="9906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99060"/>
                        </a:xfrm>
                        <a:prstGeom prst="rect">
                          <a:avLst/>
                        </a:prstGeom>
                        <a:solidFill>
                          <a:srgbClr val="D1EEF5"/>
                        </a:solidFill>
                      </wps:spPr>
                      <wps:bodyPr/>
                    </wps:wsp>
                  </a:graphicData>
                </a:graphic>
              </wp:anchor>
            </w:drawing>
          </mc:Choice>
          <mc:Fallback>
            <w:pict>
              <v:rect id="Shape 94" o:spid="_x0000_s1119" style="position:absolute;margin-left:-154.0499pt;margin-top:-170.7999pt;width:512.05pt;height:7.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-1956435</wp:posOffset>
                </wp:positionH>
                <wp:positionV relativeFrom="paragraph">
                  <wp:posOffset>-1971040</wp:posOffset>
                </wp:positionV>
                <wp:extent cx="6503035" cy="99695"/>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99695"/>
                        </a:xfrm>
                        <a:prstGeom prst="rect">
                          <a:avLst/>
                        </a:prstGeom>
                        <a:solidFill>
                          <a:srgbClr val="D1EEF5"/>
                        </a:solidFill>
                      </wps:spPr>
                      <wps:bodyPr/>
                    </wps:wsp>
                  </a:graphicData>
                </a:graphic>
              </wp:anchor>
            </w:drawing>
          </mc:Choice>
          <mc:Fallback>
            <w:pict>
              <v:rect id="Shape 95" o:spid="_x0000_s1120" style="position:absolute;margin-left:-154.0499pt;margin-top:-155.1999pt;width:512.05pt;height:7.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-1956435</wp:posOffset>
                </wp:positionH>
                <wp:positionV relativeFrom="paragraph">
                  <wp:posOffset>-1772285</wp:posOffset>
                </wp:positionV>
                <wp:extent cx="6503035" cy="11176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111760"/>
                        </a:xfrm>
                        <a:prstGeom prst="rect">
                          <a:avLst/>
                        </a:prstGeom>
                        <a:solidFill>
                          <a:srgbClr val="D1EEF5"/>
                        </a:solidFill>
                      </wps:spPr>
                      <wps:bodyPr/>
                    </wps:wsp>
                  </a:graphicData>
                </a:graphic>
              </wp:anchor>
            </w:drawing>
          </mc:Choice>
          <mc:Fallback>
            <w:pict>
              <v:rect id="Shape 96" o:spid="_x0000_s1121" style="position:absolute;margin-left:-154.0499pt;margin-top:-139.5499pt;width:512.05pt;height:8.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-1956435</wp:posOffset>
                </wp:positionH>
                <wp:positionV relativeFrom="paragraph">
                  <wp:posOffset>-1660525</wp:posOffset>
                </wp:positionV>
                <wp:extent cx="6503035" cy="11303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113030"/>
                        </a:xfrm>
                        <a:prstGeom prst="rect">
                          <a:avLst/>
                        </a:prstGeom>
                        <a:solidFill>
                          <a:srgbClr val="FFFFFF"/>
                        </a:solidFill>
                      </wps:spPr>
                      <wps:bodyPr/>
                    </wps:wsp>
                  </a:graphicData>
                </a:graphic>
              </wp:anchor>
            </w:drawing>
          </mc:Choice>
          <mc:Fallback>
            <w:pict>
              <v:rect id="Shape 97" o:spid="_x0000_s1122" style="position:absolute;margin-left:-154.0499pt;margin-top:-130.7499pt;width:512.05pt;height:8.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-1956435</wp:posOffset>
                </wp:positionH>
                <wp:positionV relativeFrom="paragraph">
                  <wp:posOffset>-1547495</wp:posOffset>
                </wp:positionV>
                <wp:extent cx="6503035" cy="10541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105410"/>
                        </a:xfrm>
                        <a:prstGeom prst="rect">
                          <a:avLst/>
                        </a:prstGeom>
                        <a:solidFill>
                          <a:srgbClr val="D1EEF5"/>
                        </a:solidFill>
                      </wps:spPr>
                      <wps:bodyPr/>
                    </wps:wsp>
                  </a:graphicData>
                </a:graphic>
              </wp:anchor>
            </w:drawing>
          </mc:Choice>
          <mc:Fallback>
            <w:pict>
              <v:rect id="Shape 98" o:spid="_x0000_s1123" style="position:absolute;margin-left:-154.0499pt;margin-top:-121.8499pt;width:512.05pt;height:8.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-1956435</wp:posOffset>
                </wp:positionH>
                <wp:positionV relativeFrom="paragraph">
                  <wp:posOffset>-1342390</wp:posOffset>
                </wp:positionV>
                <wp:extent cx="6503035" cy="9906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99060"/>
                        </a:xfrm>
                        <a:prstGeom prst="rect">
                          <a:avLst/>
                        </a:prstGeom>
                        <a:solidFill>
                          <a:srgbClr val="D1EEF5"/>
                        </a:solidFill>
                      </wps:spPr>
                      <wps:bodyPr/>
                    </wps:wsp>
                  </a:graphicData>
                </a:graphic>
              </wp:anchor>
            </w:drawing>
          </mc:Choice>
          <mc:Fallback>
            <w:pict>
              <v:rect id="Shape 99" o:spid="_x0000_s1124" style="position:absolute;margin-left:-154.0499pt;margin-top:-105.6999pt;width:512.05pt;height:7.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-1956435</wp:posOffset>
                </wp:positionH>
                <wp:positionV relativeFrom="paragraph">
                  <wp:posOffset>-1144270</wp:posOffset>
                </wp:positionV>
                <wp:extent cx="6503035" cy="9906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99060"/>
                        </a:xfrm>
                        <a:prstGeom prst="rect">
                          <a:avLst/>
                        </a:prstGeom>
                        <a:solidFill>
                          <a:srgbClr val="D1EEF5"/>
                        </a:solidFill>
                      </wps:spPr>
                      <wps:bodyPr/>
                    </wps:wsp>
                  </a:graphicData>
                </a:graphic>
              </wp:anchor>
            </w:drawing>
          </mc:Choice>
          <mc:Fallback>
            <w:pict>
              <v:rect id="Shape 100" o:spid="_x0000_s1125" style="position:absolute;margin-left:-154.0499pt;margin-top:-90.0999pt;width:512.05pt;height:7.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-1956435</wp:posOffset>
                </wp:positionH>
                <wp:positionV relativeFrom="paragraph">
                  <wp:posOffset>-932815</wp:posOffset>
                </wp:positionV>
                <wp:extent cx="6503035" cy="112395"/>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112395"/>
                        </a:xfrm>
                        <a:prstGeom prst="rect">
                          <a:avLst/>
                        </a:prstGeom>
                        <a:solidFill>
                          <a:srgbClr val="D1EEF5"/>
                        </a:solidFill>
                      </wps:spPr>
                      <wps:bodyPr/>
                    </wps:wsp>
                  </a:graphicData>
                </a:graphic>
              </wp:anchor>
            </w:drawing>
          </mc:Choice>
          <mc:Fallback>
            <w:pict>
              <v:rect id="Shape 101" o:spid="_x0000_s1126" style="position:absolute;margin-left:-154.0499pt;margin-top:-73.4499pt;width:512.05pt;height:8.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-1956435</wp:posOffset>
                </wp:positionH>
                <wp:positionV relativeFrom="paragraph">
                  <wp:posOffset>-708660</wp:posOffset>
                </wp:positionV>
                <wp:extent cx="6503035" cy="11303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113030"/>
                        </a:xfrm>
                        <a:prstGeom prst="rect">
                          <a:avLst/>
                        </a:prstGeom>
                        <a:solidFill>
                          <a:srgbClr val="D1EEF5"/>
                        </a:solidFill>
                      </wps:spPr>
                      <wps:bodyPr/>
                    </wps:wsp>
                  </a:graphicData>
                </a:graphic>
              </wp:anchor>
            </w:drawing>
          </mc:Choice>
          <mc:Fallback>
            <w:pict>
              <v:rect id="Shape 102" o:spid="_x0000_s1127" style="position:absolute;margin-left:-154.0499pt;margin-top:-55.7999pt;width:512.05pt;height:8.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drawing>
          <wp:anchor simplePos="0" relativeHeight="251657728" behindDoc="1" locked="0" layoutInCell="0" allowOverlap="1">
            <wp:simplePos x="0" y="0"/>
            <wp:positionH relativeFrom="column">
              <wp:posOffset>-1956435</wp:posOffset>
            </wp:positionH>
            <wp:positionV relativeFrom="paragraph">
              <wp:posOffset>-502920</wp:posOffset>
            </wp:positionV>
            <wp:extent cx="650367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1">
                      <a:extLst>
                        <a:ext uri="{28A0092B-C50C-407E-A947-70E740481C1C}"/>
                      </a:extLst>
                    </a:blip>
                    <a:srcRect/>
                    <a:stretch>
                      <a:fillRect/>
                    </a:stretch>
                  </pic:blipFill>
                  <pic:spPr bwMode="auto">
                    <a:xfrm>
                      <a:off x="0" y="0"/>
                      <a:ext cx="6503670" cy="171450"/>
                    </a:xfrm>
                    <a:prstGeom prst="rect">
                      <a:avLst/>
                    </a:prstGeom>
                    <a:noFill/>
                  </pic:spPr>
                </pic:pic>
              </a:graphicData>
            </a:graphic>
          </wp:anchor>
        </w:drawing>
        <w:drawing>
          <wp:anchor simplePos="0" relativeHeight="251657728" behindDoc="1" locked="0" layoutInCell="0" allowOverlap="1">
            <wp:simplePos x="0" y="0"/>
            <wp:positionH relativeFrom="column">
              <wp:posOffset>-1956435</wp:posOffset>
            </wp:positionH>
            <wp:positionV relativeFrom="paragraph">
              <wp:posOffset>-259715</wp:posOffset>
            </wp:positionV>
            <wp:extent cx="6503670" cy="1708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2">
                      <a:extLst>
                        <a:ext uri="{28A0092B-C50C-407E-A947-70E740481C1C}"/>
                      </a:extLst>
                    </a:blip>
                    <a:srcRect/>
                    <a:stretch>
                      <a:fillRect/>
                    </a:stretch>
                  </pic:blipFill>
                  <pic:spPr bwMode="auto">
                    <a:xfrm>
                      <a:off x="0" y="0"/>
                      <a:ext cx="6503670" cy="17081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-16510</wp:posOffset>
            </wp:positionV>
            <wp:extent cx="2171065" cy="49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3">
                      <a:extLst>
                        <a:ext uri="{28A0092B-C50C-407E-A947-70E740481C1C}"/>
                      </a:extLst>
                    </a:blip>
                    <a:srcRect/>
                    <a:stretch>
                      <a:fillRect/>
                    </a:stretch>
                  </pic:blipFill>
                  <pic:spPr bwMode="auto">
                    <a:xfrm>
                      <a:off x="0" y="0"/>
                      <a:ext cx="2171065" cy="49530"/>
                    </a:xfrm>
                    <a:prstGeom prst="rect">
                      <a:avLst/>
                    </a:prstGeom>
                    <a:noFill/>
                  </pic:spPr>
                </pic:pic>
              </a:graphicData>
            </a:graphic>
          </wp:anchor>
        </w:drawing>
      </w:r>
    </w:p>
    <w:p>
      <w:pPr>
        <w:spacing w:after="0" w:line="150" w:lineRule="exact"/>
        <w:rPr>
          <w:sz w:val="20"/>
          <w:szCs w:val="20"/>
          <w:color w:val="auto"/>
        </w:rPr>
      </w:pPr>
    </w:p>
    <w:p>
      <w:pPr>
        <w:jc w:val="center"/>
        <w:ind w:right="30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financial statements.</w:t>
      </w:r>
    </w:p>
    <w:p>
      <w:pPr>
        <w:spacing w:after="0" w:line="17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-1959610</wp:posOffset>
                </wp:positionH>
                <wp:positionV relativeFrom="paragraph">
                  <wp:posOffset>18415</wp:posOffset>
                </wp:positionV>
                <wp:extent cx="650938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4.2999pt,1.45pt" to="358.25pt,1.45pt" o:allowincell="f" strokecolor="#000000" strokeweight="1.32pt"/>
            </w:pict>
          </mc:Fallback>
        </mc:AlternateContent>
      </w:r>
    </w:p>
    <w:p>
      <w:pPr>
        <w:sectPr>
          <w:pgSz w:w="12240" w:h="15840" w:orient="portrait"/>
          <w:cols w:equalWidth="0" w:num="2">
            <w:col w:w="2700" w:space="380"/>
            <w:col w:w="7100"/>
          </w:cols>
          <w:pgMar w:left="1000" w:top="1208" w:right="1060"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YEARS ENDED 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8"/>
        </w:trPr>
        <w:tc>
          <w:tcPr>
            <w:tcW w:w="3980" w:type="dxa"/>
            <w:vAlign w:val="bottom"/>
          </w:tcPr>
          <w:p>
            <w:pPr>
              <w:spacing w:after="0"/>
              <w:rPr>
                <w:sz w:val="2"/>
                <w:szCs w:val="2"/>
                <w:color w:val="auto"/>
              </w:rPr>
            </w:pPr>
          </w:p>
        </w:tc>
        <w:tc>
          <w:tcPr>
            <w:tcW w:w="1280" w:type="dxa"/>
            <w:vAlign w:val="bottom"/>
            <w:gridSpan w:val="3"/>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
                <w:szCs w:val="2"/>
                <w:color w:val="auto"/>
              </w:rPr>
            </w:pPr>
          </w:p>
        </w:tc>
        <w:tc>
          <w:tcPr>
            <w:tcW w:w="760" w:type="dxa"/>
            <w:vAlign w:val="bottom"/>
            <w:gridSpan w:val="3"/>
            <w:vMerge w:val="restart"/>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398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980" w:type="dxa"/>
            <w:vAlign w:val="bottom"/>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3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160" w:type="dxa"/>
            <w:vAlign w:val="bottom"/>
          </w:tcPr>
          <w:p>
            <w:pPr>
              <w:spacing w:after="0"/>
              <w:rPr>
                <w:sz w:val="15"/>
                <w:szCs w:val="15"/>
                <w:color w:val="auto"/>
              </w:rPr>
            </w:pPr>
          </w:p>
        </w:tc>
        <w:tc>
          <w:tcPr>
            <w:tcW w:w="760" w:type="dxa"/>
            <w:vAlign w:val="bottom"/>
            <w:gridSpan w:val="3"/>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980" w:type="dxa"/>
            <w:vAlign w:val="bottom"/>
          </w:tcPr>
          <w:p>
            <w:pPr>
              <w:spacing w:after="0"/>
              <w:rPr>
                <w:sz w:val="13"/>
                <w:szCs w:val="13"/>
                <w:color w:val="auto"/>
              </w:rPr>
            </w:pPr>
          </w:p>
        </w:tc>
        <w:tc>
          <w:tcPr>
            <w:tcW w:w="1020" w:type="dxa"/>
            <w:vAlign w:val="bottom"/>
            <w:gridSpan w:val="2"/>
          </w:tcPr>
          <w:p>
            <w:pPr>
              <w:jc w:val="right"/>
              <w:ind w:right="460"/>
              <w:spacing w:after="0" w:line="153"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92"/>
              <w:spacing w:after="0" w:line="153" w:lineRule="exact"/>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3"/>
                <w:szCs w:val="13"/>
                <w:color w:val="auto"/>
              </w:rPr>
            </w:pPr>
          </w:p>
        </w:tc>
        <w:tc>
          <w:tcPr>
            <w:tcW w:w="60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3"/>
                <w:szCs w:val="13"/>
                <w:color w:val="auto"/>
              </w:rPr>
            </w:pPr>
          </w:p>
        </w:tc>
        <w:tc>
          <w:tcPr>
            <w:tcW w:w="760" w:type="dxa"/>
            <w:vAlign w:val="bottom"/>
            <w:gridSpan w:val="3"/>
          </w:tcPr>
          <w:p>
            <w:pPr>
              <w:jc w:val="center"/>
              <w:ind w:right="132"/>
              <w:spacing w:after="0" w:line="153" w:lineRule="exact"/>
              <w:rPr>
                <w:sz w:val="20"/>
                <w:szCs w:val="20"/>
                <w:color w:val="auto"/>
              </w:rPr>
            </w:pPr>
            <w:r>
              <w:rPr>
                <w:rFonts w:ascii="Times New Roman" w:cs="Times New Roman" w:eastAsia="Times New Roman" w:hAnsi="Times New Roman"/>
                <w:sz w:val="14"/>
                <w:szCs w:val="14"/>
                <w:b w:val="1"/>
                <w:bCs w:val="1"/>
                <w:color w:val="auto"/>
                <w:w w:val="97"/>
              </w:rPr>
              <w:t>(Deficit)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240"/>
              <w:spacing w:after="0" w:line="153"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9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98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Balance - January 1, 2021</w:t>
            </w:r>
          </w:p>
        </w:tc>
        <w:tc>
          <w:tcPr>
            <w:tcW w:w="7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280" w:type="dxa"/>
            <w:vAlign w:val="bottom"/>
            <w:shd w:val="clear" w:color="auto" w:fill="D1EEF5"/>
          </w:tcPr>
          <w:p>
            <w:pPr>
              <w:spacing w:after="0"/>
              <w:rPr>
                <w:sz w:val="14"/>
                <w:szCs w:val="14"/>
                <w:color w:val="auto"/>
              </w:rPr>
            </w:pPr>
          </w:p>
        </w:tc>
        <w:tc>
          <w:tcPr>
            <w:tcW w:w="260" w:type="dxa"/>
            <w:vAlign w:val="bottom"/>
            <w:shd w:val="clear" w:color="auto" w:fill="D1EEF5"/>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right w:val="single" w:sz="8" w:color="auto"/>
            </w:tcBorders>
            <w:gridSpan w:val="3"/>
            <w:shd w:val="clear" w:color="auto" w:fill="D1EEF5"/>
          </w:tcPr>
          <w:p>
            <w:pPr>
              <w:jc w:val="right"/>
              <w:ind w:right="120"/>
              <w:spacing w:after="0"/>
              <w:rPr>
                <w:sz w:val="20"/>
                <w:szCs w:val="20"/>
                <w:color w:val="auto"/>
              </w:rPr>
            </w:pPr>
            <w:r>
              <w:rPr>
                <w:rFonts w:ascii="Times New Roman" w:cs="Times New Roman" w:eastAsia="Times New Roman" w:hAnsi="Times New Roman"/>
                <w:sz w:val="14"/>
                <w:szCs w:val="14"/>
                <w:color w:val="auto"/>
              </w:rPr>
              <w:t>2,000</w:t>
            </w:r>
          </w:p>
        </w:tc>
        <w:tc>
          <w:tcPr>
            <w:tcW w:w="180" w:type="dxa"/>
            <w:vAlign w:val="bottom"/>
            <w:shd w:val="clear" w:color="auto" w:fill="D1EEF5"/>
          </w:tcPr>
          <w:p>
            <w:pPr>
              <w:spacing w:after="0"/>
              <w:rPr>
                <w:sz w:val="14"/>
                <w:szCs w:val="14"/>
                <w:color w:val="auto"/>
              </w:rPr>
            </w:pPr>
          </w:p>
        </w:tc>
        <w:tc>
          <w:tcPr>
            <w:tcW w:w="7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20,040,470</w:t>
            </w:r>
          </w:p>
        </w:tc>
        <w:tc>
          <w:tcPr>
            <w:tcW w:w="680" w:type="dxa"/>
            <w:vAlign w:val="bottom"/>
            <w:gridSpan w:val="2"/>
            <w:shd w:val="clear" w:color="auto" w:fill="D1EEF5"/>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D1EEF5"/>
          </w:tcPr>
          <w:p>
            <w:pPr>
              <w:jc w:val="right"/>
              <w:ind w:right="140"/>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D1EEF5"/>
          </w:tcPr>
          <w:p>
            <w:pPr>
              <w:jc w:val="right"/>
              <w:ind w:right="140"/>
              <w:spacing w:after="0"/>
              <w:rPr>
                <w:sz w:val="20"/>
                <w:szCs w:val="20"/>
                <w:color w:val="auto"/>
              </w:rPr>
            </w:pPr>
            <w:r>
              <w:rPr>
                <w:rFonts w:ascii="Times New Roman" w:cs="Times New Roman" w:eastAsia="Times New Roman" w:hAnsi="Times New Roman"/>
                <w:sz w:val="14"/>
                <w:szCs w:val="14"/>
                <w:color w:val="auto"/>
              </w:rPr>
              <w:t>451</w:t>
            </w:r>
          </w:p>
        </w:tc>
        <w:tc>
          <w:tcPr>
            <w:tcW w:w="28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D1EEF5"/>
          </w:tcPr>
          <w:p>
            <w:pPr>
              <w:jc w:val="right"/>
              <w:ind w:right="112"/>
              <w:spacing w:after="0"/>
              <w:rPr>
                <w:sz w:val="20"/>
                <w:szCs w:val="20"/>
                <w:color w:val="auto"/>
              </w:rPr>
            </w:pPr>
            <w:r>
              <w:rPr>
                <w:rFonts w:ascii="Times New Roman" w:cs="Times New Roman" w:eastAsia="Times New Roman" w:hAnsi="Times New Roman"/>
                <w:sz w:val="14"/>
                <w:szCs w:val="14"/>
                <w:color w:val="auto"/>
              </w:rPr>
              <w:t>8,100</w:t>
            </w:r>
          </w:p>
        </w:tc>
        <w:tc>
          <w:tcPr>
            <w:tcW w:w="22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8,555</w:t>
            </w:r>
          </w:p>
        </w:tc>
        <w:tc>
          <w:tcPr>
            <w:tcW w:w="0" w:type="dxa"/>
            <w:vAlign w:val="bottom"/>
          </w:tcPr>
          <w:p>
            <w:pPr>
              <w:spacing w:after="0"/>
              <w:rPr>
                <w:sz w:val="1"/>
                <w:szCs w:val="1"/>
                <w:color w:val="auto"/>
              </w:rPr>
            </w:pPr>
          </w:p>
        </w:tc>
      </w:tr>
      <w:tr>
        <w:trPr>
          <w:trHeight w:val="154"/>
        </w:trPr>
        <w:tc>
          <w:tcPr>
            <w:tcW w:w="3980" w:type="dxa"/>
            <w:vAlign w:val="bottom"/>
            <w:tcBorders>
              <w:top w:val="single" w:sz="8" w:color="D1EEF5"/>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Borders>
              <w:top w:val="single" w:sz="8" w:color="D1EEF5"/>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D1EEF5"/>
              <w:right w:val="single" w:sz="8" w:color="auto"/>
            </w:tcBorders>
          </w:tcPr>
          <w:p>
            <w:pPr>
              <w:spacing w:after="0"/>
              <w:rPr>
                <w:sz w:val="13"/>
                <w:szCs w:val="13"/>
                <w:color w:val="auto"/>
              </w:rPr>
            </w:pPr>
          </w:p>
        </w:tc>
        <w:tc>
          <w:tcPr>
            <w:tcW w:w="180" w:type="dxa"/>
            <w:vAlign w:val="bottom"/>
            <w:tcBorders>
              <w:top w:val="single" w:sz="8" w:color="D1EEF5"/>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80" w:type="dxa"/>
            <w:vAlign w:val="bottom"/>
            <w:tcBorders>
              <w:top w:val="single" w:sz="8" w:color="D1EEF5"/>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D1EEF5"/>
            </w:tcBorders>
          </w:tcPr>
          <w:p>
            <w:pPr>
              <w:spacing w:after="0"/>
              <w:rPr>
                <w:sz w:val="13"/>
                <w:szCs w:val="13"/>
                <w:color w:val="auto"/>
              </w:rPr>
            </w:pPr>
          </w:p>
        </w:tc>
        <w:tc>
          <w:tcPr>
            <w:tcW w:w="160" w:type="dxa"/>
            <w:vAlign w:val="bottom"/>
            <w:tcBorders>
              <w:top w:val="single" w:sz="8" w:color="D1EEF5"/>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Borders>
              <w:top w:val="single" w:sz="8" w:color="D1EEF5"/>
            </w:tcBorders>
          </w:tcPr>
          <w:p>
            <w:pPr>
              <w:spacing w:after="0"/>
              <w:rPr>
                <w:sz w:val="13"/>
                <w:szCs w:val="13"/>
                <w:color w:val="auto"/>
              </w:rPr>
            </w:pPr>
          </w:p>
        </w:tc>
        <w:tc>
          <w:tcPr>
            <w:tcW w:w="160" w:type="dxa"/>
            <w:vAlign w:val="bottom"/>
            <w:tcBorders>
              <w:top w:val="single" w:sz="8" w:color="D1EEF5"/>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Borders>
              <w:top w:val="single" w:sz="8" w:color="D1EEF5"/>
            </w:tcBorders>
          </w:tcPr>
          <w:p>
            <w:pPr>
              <w:spacing w:after="0"/>
              <w:rPr>
                <w:sz w:val="13"/>
                <w:szCs w:val="13"/>
                <w:color w:val="auto"/>
              </w:rPr>
            </w:pPr>
          </w:p>
        </w:tc>
        <w:tc>
          <w:tcPr>
            <w:tcW w:w="120" w:type="dxa"/>
            <w:vAlign w:val="bottom"/>
            <w:tcBorders>
              <w:top w:val="single" w:sz="8" w:color="D1EEF5"/>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Borders>
              <w:top w:val="single" w:sz="8" w:color="D1EEF5"/>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98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Retroactive application of recapitalization</w:t>
            </w:r>
          </w:p>
        </w:tc>
        <w:tc>
          <w:tcPr>
            <w:tcW w:w="1020" w:type="dxa"/>
            <w:vAlign w:val="bottom"/>
            <w:gridSpan w:val="2"/>
            <w:shd w:val="clear" w:color="auto" w:fill="D1EEF5"/>
          </w:tcPr>
          <w:p>
            <w:pPr>
              <w:jc w:val="right"/>
              <w:ind w:right="240"/>
              <w:spacing w:after="0"/>
              <w:rPr>
                <w:sz w:val="20"/>
                <w:szCs w:val="20"/>
                <w:color w:val="auto"/>
              </w:rPr>
            </w:pPr>
            <w:r>
              <w:rPr>
                <w:rFonts w:ascii="Times New Roman" w:cs="Times New Roman" w:eastAsia="Times New Roman" w:hAnsi="Times New Roman"/>
                <w:sz w:val="14"/>
                <w:szCs w:val="14"/>
                <w:color w:val="auto"/>
              </w:rPr>
              <w:t>(10,000,000)</w:t>
            </w:r>
          </w:p>
        </w:tc>
        <w:tc>
          <w:tcPr>
            <w:tcW w:w="260" w:type="dxa"/>
            <w:vAlign w:val="bottom"/>
            <w:shd w:val="clear" w:color="auto" w:fill="D1EEF5"/>
          </w:tcPr>
          <w:p>
            <w:pPr>
              <w:spacing w:after="0"/>
              <w:rPr>
                <w:sz w:val="16"/>
                <w:szCs w:val="16"/>
                <w:color w:val="auto"/>
              </w:rPr>
            </w:pPr>
          </w:p>
        </w:tc>
        <w:tc>
          <w:tcPr>
            <w:tcW w:w="460" w:type="dxa"/>
            <w:vAlign w:val="bottom"/>
            <w:tcBorders>
              <w:right w:val="single" w:sz="8" w:color="auto"/>
            </w:tcBorders>
            <w:gridSpan w:val="3"/>
            <w:shd w:val="clear" w:color="auto" w:fill="D1EEF5"/>
          </w:tcPr>
          <w:p>
            <w:pPr>
              <w:jc w:val="right"/>
              <w:ind w:right="60"/>
              <w:spacing w:after="0"/>
              <w:rPr>
                <w:sz w:val="20"/>
                <w:szCs w:val="20"/>
                <w:color w:val="auto"/>
              </w:rPr>
            </w:pPr>
            <w:r>
              <w:rPr>
                <w:rFonts w:ascii="Times New Roman" w:cs="Times New Roman" w:eastAsia="Times New Roman" w:hAnsi="Times New Roman"/>
                <w:sz w:val="14"/>
                <w:szCs w:val="14"/>
                <w:color w:val="auto"/>
                <w:w w:val="92"/>
              </w:rPr>
              <w:t>(2,000)</w:t>
            </w:r>
          </w:p>
        </w:tc>
        <w:tc>
          <w:tcPr>
            <w:tcW w:w="180" w:type="dxa"/>
            <w:vAlign w:val="bottom"/>
            <w:shd w:val="clear" w:color="auto" w:fill="D1EEF5"/>
          </w:tcPr>
          <w:p>
            <w:pPr>
              <w:spacing w:after="0"/>
              <w:rPr>
                <w:sz w:val="16"/>
                <w:szCs w:val="16"/>
                <w:color w:val="auto"/>
              </w:rPr>
            </w:pPr>
          </w:p>
        </w:tc>
        <w:tc>
          <w:tcPr>
            <w:tcW w:w="7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15,469,477</w:t>
            </w:r>
          </w:p>
        </w:tc>
        <w:tc>
          <w:tcPr>
            <w:tcW w:w="280" w:type="dxa"/>
            <w:vAlign w:val="bottom"/>
            <w:shd w:val="clear" w:color="auto" w:fill="D1EEF5"/>
          </w:tcPr>
          <w:p>
            <w:pPr>
              <w:spacing w:after="0"/>
              <w:rPr>
                <w:sz w:val="16"/>
                <w:szCs w:val="16"/>
                <w:color w:val="auto"/>
              </w:rPr>
            </w:pPr>
          </w:p>
        </w:tc>
        <w:tc>
          <w:tcPr>
            <w:tcW w:w="400" w:type="dxa"/>
            <w:vAlign w:val="bottom"/>
            <w:shd w:val="clear" w:color="auto" w:fill="D1EEF5"/>
          </w:tcPr>
          <w:p>
            <w:pPr>
              <w:spacing w:after="0"/>
              <w:rPr>
                <w:sz w:val="16"/>
                <w:szCs w:val="16"/>
                <w:color w:val="auto"/>
              </w:rPr>
            </w:pPr>
          </w:p>
        </w:tc>
        <w:tc>
          <w:tcPr>
            <w:tcW w:w="340" w:type="dxa"/>
            <w:vAlign w:val="bottom"/>
            <w:gridSpan w:val="2"/>
            <w:shd w:val="clear" w:color="auto" w:fill="D1EEF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1EEF5"/>
          </w:tcPr>
          <w:p>
            <w:pPr>
              <w:spacing w:after="0"/>
              <w:rPr>
                <w:sz w:val="16"/>
                <w:szCs w:val="16"/>
                <w:color w:val="auto"/>
              </w:rPr>
            </w:pPr>
          </w:p>
        </w:tc>
        <w:tc>
          <w:tcPr>
            <w:tcW w:w="60" w:type="dxa"/>
            <w:vAlign w:val="bottom"/>
            <w:shd w:val="clear" w:color="auto" w:fill="D1EEF5"/>
          </w:tcPr>
          <w:p>
            <w:pPr>
              <w:spacing w:after="0"/>
              <w:rPr>
                <w:sz w:val="16"/>
                <w:szCs w:val="16"/>
                <w:color w:val="auto"/>
              </w:rPr>
            </w:pPr>
          </w:p>
        </w:tc>
        <w:tc>
          <w:tcPr>
            <w:tcW w:w="680" w:type="dxa"/>
            <w:vAlign w:val="bottom"/>
            <w:gridSpan w:val="2"/>
            <w:shd w:val="clear" w:color="auto" w:fill="D1EEF5"/>
          </w:tcPr>
          <w:p>
            <w:pPr>
              <w:jc w:val="right"/>
              <w:ind w:right="140"/>
              <w:spacing w:after="0"/>
              <w:rPr>
                <w:sz w:val="20"/>
                <w:szCs w:val="20"/>
                <w:color w:val="auto"/>
              </w:rPr>
            </w:pPr>
            <w:r>
              <w:rPr>
                <w:rFonts w:ascii="Times New Roman" w:cs="Times New Roman" w:eastAsia="Times New Roman" w:hAnsi="Times New Roman"/>
                <w:sz w:val="14"/>
                <w:szCs w:val="14"/>
                <w:color w:val="auto"/>
              </w:rPr>
              <w:t>2,000</w:t>
            </w:r>
          </w:p>
        </w:tc>
        <w:tc>
          <w:tcPr>
            <w:tcW w:w="160" w:type="dxa"/>
            <w:vAlign w:val="bottom"/>
            <w:shd w:val="clear" w:color="auto" w:fill="D1EEF5"/>
          </w:tcPr>
          <w:p>
            <w:pPr>
              <w:spacing w:after="0"/>
              <w:rPr>
                <w:sz w:val="16"/>
                <w:szCs w:val="16"/>
                <w:color w:val="auto"/>
              </w:rPr>
            </w:pPr>
          </w:p>
        </w:tc>
        <w:tc>
          <w:tcPr>
            <w:tcW w:w="120" w:type="dxa"/>
            <w:vAlign w:val="bottom"/>
            <w:shd w:val="clear" w:color="auto" w:fill="D1EEF5"/>
          </w:tcPr>
          <w:p>
            <w:pPr>
              <w:spacing w:after="0"/>
              <w:rPr>
                <w:sz w:val="16"/>
                <w:szCs w:val="16"/>
                <w:color w:val="auto"/>
              </w:rPr>
            </w:pPr>
          </w:p>
        </w:tc>
        <w:tc>
          <w:tcPr>
            <w:tcW w:w="640" w:type="dxa"/>
            <w:vAlign w:val="bottom"/>
            <w:gridSpan w:val="2"/>
            <w:shd w:val="clear" w:color="auto" w:fill="D1EEF5"/>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EF5"/>
          </w:tcPr>
          <w:p>
            <w:pPr>
              <w:spacing w:after="0"/>
              <w:rPr>
                <w:sz w:val="16"/>
                <w:szCs w:val="16"/>
                <w:color w:val="auto"/>
              </w:rPr>
            </w:pPr>
          </w:p>
        </w:tc>
        <w:tc>
          <w:tcPr>
            <w:tcW w:w="100" w:type="dxa"/>
            <w:vAlign w:val="bottom"/>
            <w:shd w:val="clear" w:color="auto" w:fill="D1EEF5"/>
          </w:tcPr>
          <w:p>
            <w:pPr>
              <w:spacing w:after="0"/>
              <w:rPr>
                <w:sz w:val="16"/>
                <w:szCs w:val="16"/>
                <w:color w:val="auto"/>
              </w:rPr>
            </w:pPr>
          </w:p>
        </w:tc>
        <w:tc>
          <w:tcPr>
            <w:tcW w:w="58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38"/>
        </w:trPr>
        <w:tc>
          <w:tcPr>
            <w:tcW w:w="3980" w:type="dxa"/>
            <w:vAlign w:val="bottom"/>
            <w:tcBorders>
              <w:top w:val="single" w:sz="8" w:color="D1EEF5"/>
            </w:tcBorders>
          </w:tcPr>
          <w:p>
            <w:pPr>
              <w:spacing w:after="0" w:line="138" w:lineRule="exact"/>
              <w:rPr>
                <w:sz w:val="20"/>
                <w:szCs w:val="20"/>
                <w:color w:val="auto"/>
              </w:rPr>
            </w:pPr>
            <w:r>
              <w:rPr>
                <w:rFonts w:ascii="Times New Roman" w:cs="Times New Roman" w:eastAsia="Times New Roman" w:hAnsi="Times New Roman"/>
                <w:sz w:val="14"/>
                <w:szCs w:val="14"/>
                <w:color w:val="auto"/>
              </w:rPr>
              <w:t>Adjusted balance, beginning of period</w:t>
            </w:r>
          </w:p>
        </w:tc>
        <w:tc>
          <w:tcPr>
            <w:tcW w:w="7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D1EEF5"/>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gridSpan w:val="2"/>
          </w:tcPr>
          <w:p>
            <w:pPr>
              <w:jc w:val="right"/>
              <w:ind w:right="20"/>
              <w:spacing w:after="0" w:line="13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D1EEF5"/>
              <w:right w:val="single" w:sz="8" w:color="auto"/>
            </w:tcBorders>
          </w:tcPr>
          <w:p>
            <w:pPr>
              <w:spacing w:after="0"/>
              <w:rPr>
                <w:sz w:val="11"/>
                <w:szCs w:val="11"/>
                <w:color w:val="auto"/>
              </w:rPr>
            </w:pPr>
          </w:p>
        </w:tc>
        <w:tc>
          <w:tcPr>
            <w:tcW w:w="180" w:type="dxa"/>
            <w:vAlign w:val="bottom"/>
            <w:tcBorders>
              <w:top w:val="single" w:sz="8" w:color="D1EEF5"/>
            </w:tcBorders>
          </w:tcPr>
          <w:p>
            <w:pPr>
              <w:spacing w:after="0"/>
              <w:rPr>
                <w:sz w:val="11"/>
                <w:szCs w:val="11"/>
                <w:color w:val="auto"/>
              </w:rPr>
            </w:pPr>
          </w:p>
        </w:tc>
        <w:tc>
          <w:tcPr>
            <w:tcW w:w="7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35,509,947</w:t>
            </w:r>
          </w:p>
        </w:tc>
        <w:tc>
          <w:tcPr>
            <w:tcW w:w="280" w:type="dxa"/>
            <w:vAlign w:val="bottom"/>
            <w:tcBorders>
              <w:top w:val="single" w:sz="8" w:color="D1EEF5"/>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top w:val="single" w:sz="8" w:color="D1EEF5"/>
            </w:tcBorders>
          </w:tcPr>
          <w:p>
            <w:pPr>
              <w:spacing w:after="0"/>
              <w:rPr>
                <w:sz w:val="11"/>
                <w:szCs w:val="11"/>
                <w:color w:val="auto"/>
              </w:rPr>
            </w:pPr>
          </w:p>
        </w:tc>
        <w:tc>
          <w:tcPr>
            <w:tcW w:w="160" w:type="dxa"/>
            <w:vAlign w:val="bottom"/>
            <w:tcBorders>
              <w:top w:val="single" w:sz="8" w:color="D1EEF5"/>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2,451</w:t>
            </w:r>
          </w:p>
        </w:tc>
        <w:tc>
          <w:tcPr>
            <w:tcW w:w="140" w:type="dxa"/>
            <w:vAlign w:val="bottom"/>
            <w:tcBorders>
              <w:top w:val="single" w:sz="8" w:color="D1EEF5"/>
            </w:tcBorders>
          </w:tcPr>
          <w:p>
            <w:pPr>
              <w:spacing w:after="0"/>
              <w:rPr>
                <w:sz w:val="11"/>
                <w:szCs w:val="11"/>
                <w:color w:val="auto"/>
              </w:rPr>
            </w:pPr>
          </w:p>
        </w:tc>
        <w:tc>
          <w:tcPr>
            <w:tcW w:w="160" w:type="dxa"/>
            <w:vAlign w:val="bottom"/>
            <w:tcBorders>
              <w:top w:val="single" w:sz="8" w:color="D1EEF5"/>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8,100</w:t>
            </w:r>
          </w:p>
        </w:tc>
        <w:tc>
          <w:tcPr>
            <w:tcW w:w="180" w:type="dxa"/>
            <w:vAlign w:val="bottom"/>
            <w:tcBorders>
              <w:top w:val="single" w:sz="8" w:color="D1EEF5"/>
            </w:tcBorders>
          </w:tcPr>
          <w:p>
            <w:pPr>
              <w:spacing w:after="0"/>
              <w:rPr>
                <w:sz w:val="11"/>
                <w:szCs w:val="11"/>
                <w:color w:val="auto"/>
              </w:rPr>
            </w:pPr>
          </w:p>
        </w:tc>
        <w:tc>
          <w:tcPr>
            <w:tcW w:w="120" w:type="dxa"/>
            <w:vAlign w:val="bottom"/>
            <w:tcBorders>
              <w:top w:val="single" w:sz="8" w:color="D1EEF5"/>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10,555</w:t>
            </w:r>
          </w:p>
        </w:tc>
        <w:tc>
          <w:tcPr>
            <w:tcW w:w="100" w:type="dxa"/>
            <w:vAlign w:val="bottom"/>
            <w:tcBorders>
              <w:top w:val="single" w:sz="8" w:color="D1EEF5"/>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98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Net (loss) income</w:t>
            </w:r>
          </w:p>
        </w:tc>
        <w:tc>
          <w:tcPr>
            <w:tcW w:w="74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D1EEF5"/>
          </w:tcPr>
          <w:p>
            <w:pPr>
              <w:spacing w:after="0"/>
              <w:rPr>
                <w:sz w:val="13"/>
                <w:szCs w:val="13"/>
                <w:color w:val="auto"/>
              </w:rPr>
            </w:pPr>
          </w:p>
        </w:tc>
        <w:tc>
          <w:tcPr>
            <w:tcW w:w="260" w:type="dxa"/>
            <w:vAlign w:val="bottom"/>
            <w:shd w:val="clear" w:color="auto" w:fill="D1EEF5"/>
          </w:tcPr>
          <w:p>
            <w:pPr>
              <w:spacing w:after="0"/>
              <w:rPr>
                <w:sz w:val="13"/>
                <w:szCs w:val="13"/>
                <w:color w:val="auto"/>
              </w:rPr>
            </w:pPr>
          </w:p>
        </w:tc>
        <w:tc>
          <w:tcPr>
            <w:tcW w:w="460" w:type="dxa"/>
            <w:vAlign w:val="bottom"/>
            <w:tcBorders>
              <w:right w:val="single" w:sz="8" w:color="auto"/>
            </w:tcBorders>
            <w:gridSpan w:val="3"/>
            <w:shd w:val="clear" w:color="auto" w:fill="D1EEF5"/>
          </w:tcPr>
          <w:p>
            <w:pPr>
              <w:jc w:val="right"/>
              <w:ind w:right="1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EF5"/>
          </w:tcPr>
          <w:p>
            <w:pPr>
              <w:spacing w:after="0"/>
              <w:rPr>
                <w:sz w:val="13"/>
                <w:szCs w:val="13"/>
                <w:color w:val="auto"/>
              </w:rPr>
            </w:pPr>
          </w:p>
        </w:tc>
        <w:tc>
          <w:tcPr>
            <w:tcW w:w="70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D1EEF5"/>
          </w:tcPr>
          <w:p>
            <w:pPr>
              <w:spacing w:after="0"/>
              <w:rPr>
                <w:sz w:val="13"/>
                <w:szCs w:val="13"/>
                <w:color w:val="auto"/>
              </w:rPr>
            </w:pPr>
          </w:p>
        </w:tc>
        <w:tc>
          <w:tcPr>
            <w:tcW w:w="400" w:type="dxa"/>
            <w:vAlign w:val="bottom"/>
            <w:shd w:val="clear" w:color="auto" w:fill="D1EEF5"/>
          </w:tcPr>
          <w:p>
            <w:pPr>
              <w:spacing w:after="0"/>
              <w:rPr>
                <w:sz w:val="13"/>
                <w:szCs w:val="13"/>
                <w:color w:val="auto"/>
              </w:rPr>
            </w:pPr>
          </w:p>
        </w:tc>
        <w:tc>
          <w:tcPr>
            <w:tcW w:w="340" w:type="dxa"/>
            <w:vAlign w:val="bottom"/>
            <w:gridSpan w:val="2"/>
            <w:shd w:val="clear" w:color="auto" w:fill="D1EEF5"/>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1EEF5"/>
          </w:tcPr>
          <w:p>
            <w:pPr>
              <w:spacing w:after="0"/>
              <w:rPr>
                <w:sz w:val="13"/>
                <w:szCs w:val="13"/>
                <w:color w:val="auto"/>
              </w:rPr>
            </w:pPr>
          </w:p>
        </w:tc>
        <w:tc>
          <w:tcPr>
            <w:tcW w:w="60" w:type="dxa"/>
            <w:vAlign w:val="bottom"/>
            <w:shd w:val="clear" w:color="auto" w:fill="D1EEF5"/>
          </w:tcPr>
          <w:p>
            <w:pPr>
              <w:spacing w:after="0"/>
              <w:rPr>
                <w:sz w:val="13"/>
                <w:szCs w:val="13"/>
                <w:color w:val="auto"/>
              </w:rPr>
            </w:pPr>
          </w:p>
        </w:tc>
        <w:tc>
          <w:tcPr>
            <w:tcW w:w="680" w:type="dxa"/>
            <w:vAlign w:val="bottom"/>
            <w:gridSpan w:val="2"/>
            <w:shd w:val="clear" w:color="auto" w:fill="D1EEF5"/>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1EEF5"/>
          </w:tcPr>
          <w:p>
            <w:pPr>
              <w:spacing w:after="0"/>
              <w:rPr>
                <w:sz w:val="13"/>
                <w:szCs w:val="13"/>
                <w:color w:val="auto"/>
              </w:rPr>
            </w:pPr>
          </w:p>
        </w:tc>
        <w:tc>
          <w:tcPr>
            <w:tcW w:w="120" w:type="dxa"/>
            <w:vAlign w:val="bottom"/>
            <w:shd w:val="clear" w:color="auto" w:fill="D1EEF5"/>
          </w:tcPr>
          <w:p>
            <w:pPr>
              <w:spacing w:after="0"/>
              <w:rPr>
                <w:sz w:val="13"/>
                <w:szCs w:val="13"/>
                <w:color w:val="auto"/>
              </w:rPr>
            </w:pPr>
          </w:p>
        </w:tc>
        <w:tc>
          <w:tcPr>
            <w:tcW w:w="640" w:type="dxa"/>
            <w:vAlign w:val="bottom"/>
            <w:gridSpan w:val="2"/>
            <w:shd w:val="clear" w:color="auto" w:fill="D1EEF5"/>
          </w:tcPr>
          <w:p>
            <w:pPr>
              <w:jc w:val="right"/>
              <w:ind w:right="112"/>
              <w:spacing w:after="0" w:line="156" w:lineRule="exact"/>
              <w:rPr>
                <w:sz w:val="20"/>
                <w:szCs w:val="20"/>
                <w:color w:val="auto"/>
              </w:rPr>
            </w:pPr>
            <w:r>
              <w:rPr>
                <w:rFonts w:ascii="Times New Roman" w:cs="Times New Roman" w:eastAsia="Times New Roman" w:hAnsi="Times New Roman"/>
                <w:sz w:val="14"/>
                <w:szCs w:val="14"/>
                <w:color w:val="auto"/>
              </w:rPr>
              <w:t>4,338</w:t>
            </w:r>
          </w:p>
        </w:tc>
        <w:tc>
          <w:tcPr>
            <w:tcW w:w="120" w:type="dxa"/>
            <w:vAlign w:val="bottom"/>
            <w:shd w:val="clear" w:color="auto" w:fill="D1EEF5"/>
          </w:tcPr>
          <w:p>
            <w:pPr>
              <w:spacing w:after="0"/>
              <w:rPr>
                <w:sz w:val="13"/>
                <w:szCs w:val="13"/>
                <w:color w:val="auto"/>
              </w:rPr>
            </w:pPr>
          </w:p>
        </w:tc>
        <w:tc>
          <w:tcPr>
            <w:tcW w:w="100" w:type="dxa"/>
            <w:vAlign w:val="bottom"/>
            <w:shd w:val="clear" w:color="auto" w:fill="D1EEF5"/>
          </w:tcPr>
          <w:p>
            <w:pPr>
              <w:spacing w:after="0"/>
              <w:rPr>
                <w:sz w:val="13"/>
                <w:szCs w:val="13"/>
                <w:color w:val="auto"/>
              </w:rPr>
            </w:pPr>
          </w:p>
        </w:tc>
        <w:tc>
          <w:tcPr>
            <w:tcW w:w="580" w:type="dxa"/>
            <w:vAlign w:val="bottom"/>
            <w:gridSpan w:val="2"/>
            <w:shd w:val="clear" w:color="auto" w:fill="D1EEF5"/>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4,338</w:t>
            </w:r>
          </w:p>
        </w:tc>
        <w:tc>
          <w:tcPr>
            <w:tcW w:w="0" w:type="dxa"/>
            <w:vAlign w:val="bottom"/>
          </w:tcPr>
          <w:p>
            <w:pPr>
              <w:spacing w:after="0"/>
              <w:rPr>
                <w:sz w:val="1"/>
                <w:szCs w:val="1"/>
                <w:color w:val="auto"/>
              </w:rPr>
            </w:pPr>
          </w:p>
        </w:tc>
      </w:tr>
      <w:tr>
        <w:trPr>
          <w:trHeight w:val="156"/>
        </w:trPr>
        <w:tc>
          <w:tcPr>
            <w:tcW w:w="39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Stock compensation expense</w:t>
            </w:r>
          </w:p>
        </w:tc>
        <w:tc>
          <w:tcPr>
            <w:tcW w:w="7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Borders>
              <w:right w:val="single" w:sz="8" w:color="auto"/>
            </w:tcBorders>
            <w:gridSpan w:val="3"/>
          </w:tcPr>
          <w:p>
            <w:pPr>
              <w:jc w:val="right"/>
              <w:ind w:right="1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734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12"/>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66"/>
        </w:trPr>
        <w:tc>
          <w:tcPr>
            <w:tcW w:w="398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D1EEF5"/>
          </w:tcPr>
          <w:p>
            <w:pPr>
              <w:spacing w:after="0"/>
              <w:rPr>
                <w:sz w:val="14"/>
                <w:szCs w:val="14"/>
                <w:color w:val="auto"/>
              </w:rPr>
            </w:pPr>
          </w:p>
        </w:tc>
        <w:tc>
          <w:tcPr>
            <w:tcW w:w="260" w:type="dxa"/>
            <w:vAlign w:val="bottom"/>
            <w:shd w:val="clear" w:color="auto" w:fill="D1EEF5"/>
          </w:tcPr>
          <w:p>
            <w:pPr>
              <w:spacing w:after="0"/>
              <w:rPr>
                <w:sz w:val="14"/>
                <w:szCs w:val="14"/>
                <w:color w:val="auto"/>
              </w:rPr>
            </w:pPr>
          </w:p>
        </w:tc>
        <w:tc>
          <w:tcPr>
            <w:tcW w:w="460" w:type="dxa"/>
            <w:vAlign w:val="bottom"/>
            <w:tcBorders>
              <w:right w:val="single" w:sz="8" w:color="auto"/>
            </w:tcBorders>
            <w:gridSpan w:val="3"/>
            <w:shd w:val="clear" w:color="auto" w:fill="D1EEF5"/>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EF5"/>
          </w:tcPr>
          <w:p>
            <w:pPr>
              <w:spacing w:after="0"/>
              <w:rPr>
                <w:sz w:val="14"/>
                <w:szCs w:val="14"/>
                <w:color w:val="auto"/>
              </w:rPr>
            </w:pPr>
          </w:p>
        </w:tc>
        <w:tc>
          <w:tcPr>
            <w:tcW w:w="7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987,051</w:t>
            </w:r>
          </w:p>
        </w:tc>
        <w:tc>
          <w:tcPr>
            <w:tcW w:w="280" w:type="dxa"/>
            <w:vAlign w:val="bottom"/>
            <w:shd w:val="clear" w:color="auto" w:fill="D1EEF5"/>
          </w:tcPr>
          <w:p>
            <w:pPr>
              <w:spacing w:after="0"/>
              <w:rPr>
                <w:sz w:val="14"/>
                <w:szCs w:val="14"/>
                <w:color w:val="auto"/>
              </w:rPr>
            </w:pPr>
          </w:p>
        </w:tc>
        <w:tc>
          <w:tcPr>
            <w:tcW w:w="400" w:type="dxa"/>
            <w:vAlign w:val="bottom"/>
            <w:shd w:val="clear" w:color="auto" w:fill="D1EEF5"/>
          </w:tcPr>
          <w:p>
            <w:pPr>
              <w:spacing w:after="0"/>
              <w:rPr>
                <w:sz w:val="14"/>
                <w:szCs w:val="14"/>
                <w:color w:val="auto"/>
              </w:rPr>
            </w:pPr>
          </w:p>
        </w:tc>
        <w:tc>
          <w:tcPr>
            <w:tcW w:w="340" w:type="dxa"/>
            <w:vAlign w:val="bottom"/>
            <w:gridSpan w:val="2"/>
            <w:shd w:val="clear" w:color="auto" w:fill="D1EEF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1EEF5"/>
          </w:tcPr>
          <w:p>
            <w:pPr>
              <w:spacing w:after="0"/>
              <w:rPr>
                <w:sz w:val="14"/>
                <w:szCs w:val="14"/>
                <w:color w:val="auto"/>
              </w:rPr>
            </w:pPr>
          </w:p>
        </w:tc>
        <w:tc>
          <w:tcPr>
            <w:tcW w:w="60" w:type="dxa"/>
            <w:vAlign w:val="bottom"/>
            <w:shd w:val="clear" w:color="auto" w:fill="D1EEF5"/>
          </w:tcPr>
          <w:p>
            <w:pPr>
              <w:spacing w:after="0"/>
              <w:rPr>
                <w:sz w:val="14"/>
                <w:szCs w:val="14"/>
                <w:color w:val="auto"/>
              </w:rPr>
            </w:pPr>
          </w:p>
        </w:tc>
        <w:tc>
          <w:tcPr>
            <w:tcW w:w="680" w:type="dxa"/>
            <w:vAlign w:val="bottom"/>
            <w:gridSpan w:val="2"/>
            <w:shd w:val="clear" w:color="auto" w:fill="D1EEF5"/>
          </w:tcPr>
          <w:p>
            <w:pPr>
              <w:jc w:val="right"/>
              <w:ind w:right="140"/>
              <w:spacing w:after="0"/>
              <w:rPr>
                <w:sz w:val="20"/>
                <w:szCs w:val="20"/>
                <w:color w:val="auto"/>
              </w:rPr>
            </w:pPr>
            <w:r>
              <w:rPr>
                <w:rFonts w:ascii="Times New Roman" w:cs="Times New Roman" w:eastAsia="Times New Roman" w:hAnsi="Times New Roman"/>
                <w:sz w:val="14"/>
                <w:szCs w:val="14"/>
                <w:color w:val="auto"/>
              </w:rPr>
              <w:t>434</w:t>
            </w:r>
          </w:p>
        </w:tc>
        <w:tc>
          <w:tcPr>
            <w:tcW w:w="160" w:type="dxa"/>
            <w:vAlign w:val="bottom"/>
            <w:shd w:val="clear" w:color="auto" w:fill="D1EEF5"/>
          </w:tcPr>
          <w:p>
            <w:pPr>
              <w:spacing w:after="0"/>
              <w:rPr>
                <w:sz w:val="14"/>
                <w:szCs w:val="14"/>
                <w:color w:val="auto"/>
              </w:rPr>
            </w:pPr>
          </w:p>
        </w:tc>
        <w:tc>
          <w:tcPr>
            <w:tcW w:w="120" w:type="dxa"/>
            <w:vAlign w:val="bottom"/>
            <w:shd w:val="clear" w:color="auto" w:fill="D1EEF5"/>
          </w:tcPr>
          <w:p>
            <w:pPr>
              <w:spacing w:after="0"/>
              <w:rPr>
                <w:sz w:val="14"/>
                <w:szCs w:val="14"/>
                <w:color w:val="auto"/>
              </w:rPr>
            </w:pPr>
          </w:p>
        </w:tc>
        <w:tc>
          <w:tcPr>
            <w:tcW w:w="640" w:type="dxa"/>
            <w:vAlign w:val="bottom"/>
            <w:gridSpan w:val="2"/>
            <w:shd w:val="clear" w:color="auto" w:fill="D1EEF5"/>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c>
          <w:tcPr>
            <w:tcW w:w="58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r>
        <w:trPr>
          <w:trHeight w:val="157"/>
        </w:trPr>
        <w:tc>
          <w:tcPr>
            <w:tcW w:w="3980" w:type="dxa"/>
            <w:vAlign w:val="bottom"/>
            <w:tcBorders>
              <w:top w:val="single" w:sz="8" w:color="D1EEF5"/>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Borders>
              <w:top w:val="single" w:sz="8" w:color="D1EEF5"/>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D1EEF5"/>
              <w:right w:val="single" w:sz="8" w:color="auto"/>
            </w:tcBorders>
          </w:tcPr>
          <w:p>
            <w:pPr>
              <w:spacing w:after="0"/>
              <w:rPr>
                <w:sz w:val="13"/>
                <w:szCs w:val="13"/>
                <w:color w:val="auto"/>
              </w:rPr>
            </w:pPr>
          </w:p>
        </w:tc>
        <w:tc>
          <w:tcPr>
            <w:tcW w:w="180" w:type="dxa"/>
            <w:vAlign w:val="bottom"/>
            <w:tcBorders>
              <w:top w:val="single" w:sz="8" w:color="D1EEF5"/>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80" w:type="dxa"/>
            <w:vAlign w:val="bottom"/>
            <w:tcBorders>
              <w:top w:val="single" w:sz="8" w:color="D1EEF5"/>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D1EEF5"/>
            </w:tcBorders>
          </w:tcPr>
          <w:p>
            <w:pPr>
              <w:spacing w:after="0"/>
              <w:rPr>
                <w:sz w:val="13"/>
                <w:szCs w:val="13"/>
                <w:color w:val="auto"/>
              </w:rPr>
            </w:pPr>
          </w:p>
        </w:tc>
        <w:tc>
          <w:tcPr>
            <w:tcW w:w="160" w:type="dxa"/>
            <w:vAlign w:val="bottom"/>
            <w:tcBorders>
              <w:top w:val="single" w:sz="8" w:color="D1EEF5"/>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Borders>
              <w:top w:val="single" w:sz="8" w:color="D1EEF5"/>
            </w:tcBorders>
          </w:tcPr>
          <w:p>
            <w:pPr>
              <w:spacing w:after="0"/>
              <w:rPr>
                <w:sz w:val="13"/>
                <w:szCs w:val="13"/>
                <w:color w:val="auto"/>
              </w:rPr>
            </w:pPr>
          </w:p>
        </w:tc>
        <w:tc>
          <w:tcPr>
            <w:tcW w:w="160" w:type="dxa"/>
            <w:vAlign w:val="bottom"/>
            <w:tcBorders>
              <w:top w:val="single" w:sz="8" w:color="D1EEF5"/>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Borders>
              <w:top w:val="single" w:sz="8" w:color="D1EEF5"/>
            </w:tcBorders>
          </w:tcPr>
          <w:p>
            <w:pPr>
              <w:spacing w:after="0"/>
              <w:rPr>
                <w:sz w:val="13"/>
                <w:szCs w:val="13"/>
                <w:color w:val="auto"/>
              </w:rPr>
            </w:pPr>
          </w:p>
        </w:tc>
        <w:tc>
          <w:tcPr>
            <w:tcW w:w="120" w:type="dxa"/>
            <w:vAlign w:val="bottom"/>
            <w:tcBorders>
              <w:top w:val="single" w:sz="8" w:color="D1EEF5"/>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Borders>
              <w:top w:val="single" w:sz="8" w:color="D1EEF5"/>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98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Balance - December 31, 2021</w:t>
            </w:r>
          </w:p>
        </w:tc>
        <w:tc>
          <w:tcPr>
            <w:tcW w:w="7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D1EEF5"/>
          </w:tcPr>
          <w:p>
            <w:pPr>
              <w:spacing w:after="0"/>
              <w:rPr>
                <w:sz w:val="16"/>
                <w:szCs w:val="16"/>
                <w:color w:val="auto"/>
              </w:rPr>
            </w:pPr>
          </w:p>
        </w:tc>
        <w:tc>
          <w:tcPr>
            <w:tcW w:w="260" w:type="dxa"/>
            <w:vAlign w:val="bottom"/>
            <w:shd w:val="clear" w:color="auto" w:fill="D1EEF5"/>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right w:val="single" w:sz="8" w:color="auto"/>
            </w:tcBorders>
            <w:gridSpan w:val="3"/>
            <w:shd w:val="clear" w:color="auto" w:fill="D1EEF5"/>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EF5"/>
          </w:tcPr>
          <w:p>
            <w:pPr>
              <w:spacing w:after="0"/>
              <w:rPr>
                <w:sz w:val="16"/>
                <w:szCs w:val="16"/>
                <w:color w:val="auto"/>
              </w:rPr>
            </w:pPr>
          </w:p>
        </w:tc>
        <w:tc>
          <w:tcPr>
            <w:tcW w:w="7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36,496,998</w:t>
            </w:r>
          </w:p>
        </w:tc>
        <w:tc>
          <w:tcPr>
            <w:tcW w:w="280" w:type="dxa"/>
            <w:vAlign w:val="bottom"/>
            <w:shd w:val="clear" w:color="auto" w:fill="D1EEF5"/>
          </w:tcPr>
          <w:p>
            <w:pPr>
              <w:spacing w:after="0"/>
              <w:rPr>
                <w:sz w:val="16"/>
                <w:szCs w:val="16"/>
                <w:color w:val="auto"/>
              </w:rPr>
            </w:pPr>
          </w:p>
        </w:tc>
        <w:tc>
          <w:tcPr>
            <w:tcW w:w="400" w:type="dxa"/>
            <w:vAlign w:val="bottom"/>
            <w:shd w:val="clear" w:color="auto" w:fill="D1EEF5"/>
          </w:tcPr>
          <w:p>
            <w:pPr>
              <w:spacing w:after="0"/>
              <w:rPr>
                <w:sz w:val="16"/>
                <w:szCs w:val="16"/>
                <w:color w:val="auto"/>
              </w:rPr>
            </w:pPr>
          </w:p>
        </w:tc>
        <w:tc>
          <w:tcPr>
            <w:tcW w:w="340" w:type="dxa"/>
            <w:vAlign w:val="bottom"/>
            <w:gridSpan w:val="2"/>
            <w:shd w:val="clear" w:color="auto" w:fill="D1EEF5"/>
          </w:tcPr>
          <w:p>
            <w:pPr>
              <w:jc w:val="right"/>
              <w:ind w:right="140"/>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D1EEF5"/>
          </w:tcPr>
          <w:p>
            <w:pPr>
              <w:spacing w:after="0"/>
              <w:rPr>
                <w:sz w:val="16"/>
                <w:szCs w:val="16"/>
                <w:color w:val="auto"/>
              </w:rPr>
            </w:pPr>
          </w:p>
        </w:tc>
        <w:tc>
          <w:tcPr>
            <w:tcW w:w="60" w:type="dxa"/>
            <w:vAlign w:val="bottom"/>
            <w:shd w:val="clear" w:color="auto" w:fill="D1EEF5"/>
          </w:tcPr>
          <w:p>
            <w:pPr>
              <w:spacing w:after="0"/>
              <w:rPr>
                <w:sz w:val="16"/>
                <w:szCs w:val="16"/>
                <w:color w:val="auto"/>
              </w:rPr>
            </w:pPr>
          </w:p>
        </w:tc>
        <w:tc>
          <w:tcPr>
            <w:tcW w:w="680" w:type="dxa"/>
            <w:vAlign w:val="bottom"/>
            <w:gridSpan w:val="2"/>
            <w:shd w:val="clear" w:color="auto" w:fill="D1EEF5"/>
          </w:tcPr>
          <w:p>
            <w:pPr>
              <w:jc w:val="right"/>
              <w:ind w:right="140"/>
              <w:spacing w:after="0"/>
              <w:rPr>
                <w:sz w:val="20"/>
                <w:szCs w:val="20"/>
                <w:color w:val="auto"/>
              </w:rPr>
            </w:pPr>
            <w:r>
              <w:rPr>
                <w:rFonts w:ascii="Times New Roman" w:cs="Times New Roman" w:eastAsia="Times New Roman" w:hAnsi="Times New Roman"/>
                <w:sz w:val="14"/>
                <w:szCs w:val="14"/>
                <w:color w:val="auto"/>
              </w:rPr>
              <w:t>3,619</w:t>
            </w:r>
          </w:p>
        </w:tc>
        <w:tc>
          <w:tcPr>
            <w:tcW w:w="160" w:type="dxa"/>
            <w:vAlign w:val="bottom"/>
            <w:shd w:val="clear" w:color="auto" w:fill="D1EEF5"/>
          </w:tcPr>
          <w:p>
            <w:pPr>
              <w:spacing w:after="0"/>
              <w:rPr>
                <w:sz w:val="16"/>
                <w:szCs w:val="16"/>
                <w:color w:val="auto"/>
              </w:rPr>
            </w:pPr>
          </w:p>
        </w:tc>
        <w:tc>
          <w:tcPr>
            <w:tcW w:w="120" w:type="dxa"/>
            <w:vAlign w:val="bottom"/>
            <w:shd w:val="clear" w:color="auto" w:fill="D1EEF5"/>
          </w:tcPr>
          <w:p>
            <w:pPr>
              <w:spacing w:after="0"/>
              <w:rPr>
                <w:sz w:val="16"/>
                <w:szCs w:val="16"/>
                <w:color w:val="auto"/>
              </w:rPr>
            </w:pPr>
          </w:p>
        </w:tc>
        <w:tc>
          <w:tcPr>
            <w:tcW w:w="640" w:type="dxa"/>
            <w:vAlign w:val="bottom"/>
            <w:gridSpan w:val="2"/>
            <w:shd w:val="clear" w:color="auto" w:fill="D1EEF5"/>
          </w:tcPr>
          <w:p>
            <w:pPr>
              <w:jc w:val="right"/>
              <w:ind w:right="112"/>
              <w:spacing w:after="0"/>
              <w:rPr>
                <w:sz w:val="20"/>
                <w:szCs w:val="20"/>
                <w:color w:val="auto"/>
              </w:rPr>
            </w:pPr>
            <w:r>
              <w:rPr>
                <w:rFonts w:ascii="Times New Roman" w:cs="Times New Roman" w:eastAsia="Times New Roman" w:hAnsi="Times New Roman"/>
                <w:sz w:val="14"/>
                <w:szCs w:val="14"/>
                <w:color w:val="auto"/>
              </w:rPr>
              <w:t>12,438</w:t>
            </w:r>
          </w:p>
        </w:tc>
        <w:tc>
          <w:tcPr>
            <w:tcW w:w="120" w:type="dxa"/>
            <w:vAlign w:val="bottom"/>
            <w:shd w:val="clear" w:color="auto" w:fill="D1EEF5"/>
          </w:tcPr>
          <w:p>
            <w:pPr>
              <w:spacing w:after="0"/>
              <w:rPr>
                <w:sz w:val="16"/>
                <w:szCs w:val="16"/>
                <w:color w:val="auto"/>
              </w:rPr>
            </w:pPr>
          </w:p>
        </w:tc>
        <w:tc>
          <w:tcPr>
            <w:tcW w:w="100" w:type="dxa"/>
            <w:vAlign w:val="bottom"/>
            <w:shd w:val="clear" w:color="auto" w:fill="D1EEF5"/>
          </w:tcPr>
          <w:p>
            <w:pPr>
              <w:spacing w:after="0"/>
              <w:rPr>
                <w:sz w:val="16"/>
                <w:szCs w:val="16"/>
                <w:color w:val="auto"/>
              </w:rPr>
            </w:pPr>
          </w:p>
        </w:tc>
        <w:tc>
          <w:tcPr>
            <w:tcW w:w="58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16,061</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980" w:type="dxa"/>
            <w:vAlign w:val="bottom"/>
            <w:shd w:val="clear" w:color="auto" w:fill="D1EEF5"/>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Balance -January 1, 2022, after giving effect to the</w:t>
            </w:r>
          </w:p>
        </w:tc>
        <w:tc>
          <w:tcPr>
            <w:tcW w:w="740" w:type="dxa"/>
            <w:vAlign w:val="bottom"/>
            <w:shd w:val="clear" w:color="auto" w:fill="D1EEF5"/>
          </w:tcPr>
          <w:p>
            <w:pPr>
              <w:spacing w:after="0"/>
              <w:rPr>
                <w:sz w:val="11"/>
                <w:szCs w:val="11"/>
                <w:color w:val="auto"/>
              </w:rPr>
            </w:pPr>
          </w:p>
        </w:tc>
        <w:tc>
          <w:tcPr>
            <w:tcW w:w="280" w:type="dxa"/>
            <w:vAlign w:val="bottom"/>
            <w:shd w:val="clear" w:color="auto" w:fill="D1EEF5"/>
          </w:tcPr>
          <w:p>
            <w:pPr>
              <w:spacing w:after="0"/>
              <w:rPr>
                <w:sz w:val="11"/>
                <w:szCs w:val="11"/>
                <w:color w:val="auto"/>
              </w:rPr>
            </w:pPr>
          </w:p>
        </w:tc>
        <w:tc>
          <w:tcPr>
            <w:tcW w:w="260" w:type="dxa"/>
            <w:vAlign w:val="bottom"/>
            <w:shd w:val="clear" w:color="auto" w:fill="D1EEF5"/>
          </w:tcPr>
          <w:p>
            <w:pPr>
              <w:spacing w:after="0"/>
              <w:rPr>
                <w:sz w:val="11"/>
                <w:szCs w:val="11"/>
                <w:color w:val="auto"/>
              </w:rPr>
            </w:pPr>
          </w:p>
        </w:tc>
        <w:tc>
          <w:tcPr>
            <w:tcW w:w="340" w:type="dxa"/>
            <w:vAlign w:val="bottom"/>
            <w:shd w:val="clear" w:color="auto" w:fill="D1EEF5"/>
          </w:tcPr>
          <w:p>
            <w:pPr>
              <w:spacing w:after="0"/>
              <w:rPr>
                <w:sz w:val="11"/>
                <w:szCs w:val="11"/>
                <w:color w:val="auto"/>
              </w:rPr>
            </w:pPr>
          </w:p>
        </w:tc>
        <w:tc>
          <w:tcPr>
            <w:tcW w:w="20" w:type="dxa"/>
            <w:vAlign w:val="bottom"/>
            <w:shd w:val="clear" w:color="auto" w:fill="D1EEF5"/>
          </w:tcPr>
          <w:p>
            <w:pPr>
              <w:spacing w:after="0"/>
              <w:rPr>
                <w:sz w:val="11"/>
                <w:szCs w:val="11"/>
                <w:color w:val="auto"/>
              </w:rPr>
            </w:pPr>
          </w:p>
        </w:tc>
        <w:tc>
          <w:tcPr>
            <w:tcW w:w="100" w:type="dxa"/>
            <w:vAlign w:val="bottom"/>
            <w:tcBorders>
              <w:right w:val="single" w:sz="8" w:color="auto"/>
            </w:tcBorders>
            <w:shd w:val="clear" w:color="auto" w:fill="D1EEF5"/>
          </w:tcPr>
          <w:p>
            <w:pPr>
              <w:spacing w:after="0"/>
              <w:rPr>
                <w:sz w:val="11"/>
                <w:szCs w:val="11"/>
                <w:color w:val="auto"/>
              </w:rPr>
            </w:pPr>
          </w:p>
        </w:tc>
        <w:tc>
          <w:tcPr>
            <w:tcW w:w="180" w:type="dxa"/>
            <w:vAlign w:val="bottom"/>
            <w:shd w:val="clear" w:color="auto" w:fill="D1EEF5"/>
          </w:tcPr>
          <w:p>
            <w:pPr>
              <w:spacing w:after="0"/>
              <w:rPr>
                <w:sz w:val="11"/>
                <w:szCs w:val="11"/>
                <w:color w:val="auto"/>
              </w:rPr>
            </w:pPr>
          </w:p>
        </w:tc>
        <w:tc>
          <w:tcPr>
            <w:tcW w:w="700" w:type="dxa"/>
            <w:vAlign w:val="bottom"/>
            <w:shd w:val="clear" w:color="auto" w:fill="D1EEF5"/>
          </w:tcPr>
          <w:p>
            <w:pPr>
              <w:spacing w:after="0"/>
              <w:rPr>
                <w:sz w:val="11"/>
                <w:szCs w:val="11"/>
                <w:color w:val="auto"/>
              </w:rPr>
            </w:pPr>
          </w:p>
        </w:tc>
        <w:tc>
          <w:tcPr>
            <w:tcW w:w="280" w:type="dxa"/>
            <w:vAlign w:val="bottom"/>
            <w:shd w:val="clear" w:color="auto" w:fill="D1EEF5"/>
          </w:tcPr>
          <w:p>
            <w:pPr>
              <w:spacing w:after="0"/>
              <w:rPr>
                <w:sz w:val="11"/>
                <w:szCs w:val="11"/>
                <w:color w:val="auto"/>
              </w:rPr>
            </w:pPr>
          </w:p>
        </w:tc>
        <w:tc>
          <w:tcPr>
            <w:tcW w:w="400" w:type="dxa"/>
            <w:vAlign w:val="bottom"/>
            <w:shd w:val="clear" w:color="auto" w:fill="D1EEF5"/>
          </w:tcPr>
          <w:p>
            <w:pPr>
              <w:spacing w:after="0"/>
              <w:rPr>
                <w:sz w:val="11"/>
                <w:szCs w:val="11"/>
                <w:color w:val="auto"/>
              </w:rPr>
            </w:pPr>
          </w:p>
        </w:tc>
        <w:tc>
          <w:tcPr>
            <w:tcW w:w="200" w:type="dxa"/>
            <w:vAlign w:val="bottom"/>
            <w:shd w:val="clear" w:color="auto" w:fill="D1EEF5"/>
          </w:tcPr>
          <w:p>
            <w:pPr>
              <w:spacing w:after="0"/>
              <w:rPr>
                <w:sz w:val="11"/>
                <w:szCs w:val="11"/>
                <w:color w:val="auto"/>
              </w:rPr>
            </w:pPr>
          </w:p>
        </w:tc>
        <w:tc>
          <w:tcPr>
            <w:tcW w:w="140" w:type="dxa"/>
            <w:vAlign w:val="bottom"/>
            <w:shd w:val="clear" w:color="auto" w:fill="D1EEF5"/>
          </w:tcPr>
          <w:p>
            <w:pPr>
              <w:spacing w:after="0"/>
              <w:rPr>
                <w:sz w:val="11"/>
                <w:szCs w:val="11"/>
                <w:color w:val="auto"/>
              </w:rPr>
            </w:pPr>
          </w:p>
        </w:tc>
        <w:tc>
          <w:tcPr>
            <w:tcW w:w="160" w:type="dxa"/>
            <w:vAlign w:val="bottom"/>
            <w:shd w:val="clear" w:color="auto" w:fill="D1EEF5"/>
          </w:tcPr>
          <w:p>
            <w:pPr>
              <w:spacing w:after="0"/>
              <w:rPr>
                <w:sz w:val="11"/>
                <w:szCs w:val="11"/>
                <w:color w:val="auto"/>
              </w:rPr>
            </w:pPr>
          </w:p>
        </w:tc>
        <w:tc>
          <w:tcPr>
            <w:tcW w:w="60" w:type="dxa"/>
            <w:vAlign w:val="bottom"/>
            <w:shd w:val="clear" w:color="auto" w:fill="D1EEF5"/>
          </w:tcPr>
          <w:p>
            <w:pPr>
              <w:spacing w:after="0"/>
              <w:rPr>
                <w:sz w:val="11"/>
                <w:szCs w:val="11"/>
                <w:color w:val="auto"/>
              </w:rPr>
            </w:pPr>
          </w:p>
        </w:tc>
        <w:tc>
          <w:tcPr>
            <w:tcW w:w="540" w:type="dxa"/>
            <w:vAlign w:val="bottom"/>
            <w:shd w:val="clear" w:color="auto" w:fill="D1EEF5"/>
          </w:tcPr>
          <w:p>
            <w:pPr>
              <w:spacing w:after="0"/>
              <w:rPr>
                <w:sz w:val="11"/>
                <w:szCs w:val="11"/>
                <w:color w:val="auto"/>
              </w:rPr>
            </w:pPr>
          </w:p>
        </w:tc>
        <w:tc>
          <w:tcPr>
            <w:tcW w:w="140" w:type="dxa"/>
            <w:vAlign w:val="bottom"/>
            <w:shd w:val="clear" w:color="auto" w:fill="D1EEF5"/>
          </w:tcPr>
          <w:p>
            <w:pPr>
              <w:spacing w:after="0"/>
              <w:rPr>
                <w:sz w:val="11"/>
                <w:szCs w:val="11"/>
                <w:color w:val="auto"/>
              </w:rPr>
            </w:pPr>
          </w:p>
        </w:tc>
        <w:tc>
          <w:tcPr>
            <w:tcW w:w="160" w:type="dxa"/>
            <w:vAlign w:val="bottom"/>
            <w:shd w:val="clear" w:color="auto" w:fill="D1EEF5"/>
          </w:tcPr>
          <w:p>
            <w:pPr>
              <w:spacing w:after="0"/>
              <w:rPr>
                <w:sz w:val="11"/>
                <w:szCs w:val="11"/>
                <w:color w:val="auto"/>
              </w:rPr>
            </w:pPr>
          </w:p>
        </w:tc>
        <w:tc>
          <w:tcPr>
            <w:tcW w:w="120" w:type="dxa"/>
            <w:vAlign w:val="bottom"/>
            <w:shd w:val="clear" w:color="auto" w:fill="D1EEF5"/>
          </w:tcPr>
          <w:p>
            <w:pPr>
              <w:spacing w:after="0"/>
              <w:rPr>
                <w:sz w:val="11"/>
                <w:szCs w:val="11"/>
                <w:color w:val="auto"/>
              </w:rPr>
            </w:pPr>
          </w:p>
        </w:tc>
        <w:tc>
          <w:tcPr>
            <w:tcW w:w="460" w:type="dxa"/>
            <w:vAlign w:val="bottom"/>
            <w:shd w:val="clear" w:color="auto" w:fill="D1EEF5"/>
          </w:tcPr>
          <w:p>
            <w:pPr>
              <w:spacing w:after="0"/>
              <w:rPr>
                <w:sz w:val="11"/>
                <w:szCs w:val="11"/>
                <w:color w:val="auto"/>
              </w:rPr>
            </w:pPr>
          </w:p>
        </w:tc>
        <w:tc>
          <w:tcPr>
            <w:tcW w:w="180" w:type="dxa"/>
            <w:vAlign w:val="bottom"/>
            <w:shd w:val="clear" w:color="auto" w:fill="D1EEF5"/>
          </w:tcPr>
          <w:p>
            <w:pPr>
              <w:spacing w:after="0"/>
              <w:rPr>
                <w:sz w:val="11"/>
                <w:szCs w:val="11"/>
                <w:color w:val="auto"/>
              </w:rPr>
            </w:pPr>
          </w:p>
        </w:tc>
        <w:tc>
          <w:tcPr>
            <w:tcW w:w="120" w:type="dxa"/>
            <w:vAlign w:val="bottom"/>
            <w:shd w:val="clear" w:color="auto" w:fill="D1EEF5"/>
          </w:tcPr>
          <w:p>
            <w:pPr>
              <w:spacing w:after="0"/>
              <w:rPr>
                <w:sz w:val="11"/>
                <w:szCs w:val="11"/>
                <w:color w:val="auto"/>
              </w:rPr>
            </w:pPr>
          </w:p>
        </w:tc>
        <w:tc>
          <w:tcPr>
            <w:tcW w:w="100" w:type="dxa"/>
            <w:vAlign w:val="bottom"/>
            <w:shd w:val="clear" w:color="auto" w:fill="D1EEF5"/>
          </w:tcPr>
          <w:p>
            <w:pPr>
              <w:spacing w:after="0"/>
              <w:rPr>
                <w:sz w:val="11"/>
                <w:szCs w:val="11"/>
                <w:color w:val="auto"/>
              </w:rPr>
            </w:pPr>
          </w:p>
        </w:tc>
        <w:tc>
          <w:tcPr>
            <w:tcW w:w="480" w:type="dxa"/>
            <w:vAlign w:val="bottom"/>
            <w:shd w:val="clear" w:color="auto" w:fill="D1EEF5"/>
          </w:tcPr>
          <w:p>
            <w:pPr>
              <w:spacing w:after="0"/>
              <w:rPr>
                <w:sz w:val="11"/>
                <w:szCs w:val="11"/>
                <w:color w:val="auto"/>
              </w:rPr>
            </w:pPr>
          </w:p>
        </w:tc>
        <w:tc>
          <w:tcPr>
            <w:tcW w:w="100" w:type="dxa"/>
            <w:vAlign w:val="bottom"/>
            <w:shd w:val="clear" w:color="auto" w:fill="D1EEF5"/>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98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recapitalization</w:t>
            </w:r>
          </w:p>
        </w:tc>
        <w:tc>
          <w:tcPr>
            <w:tcW w:w="7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D1EEF5"/>
          </w:tcPr>
          <w:p>
            <w:pPr>
              <w:spacing w:after="0"/>
              <w:rPr>
                <w:sz w:val="15"/>
                <w:szCs w:val="15"/>
                <w:color w:val="auto"/>
              </w:rPr>
            </w:pPr>
          </w:p>
        </w:tc>
        <w:tc>
          <w:tcPr>
            <w:tcW w:w="260" w:type="dxa"/>
            <w:vAlign w:val="bottom"/>
            <w:shd w:val="clear" w:color="auto" w:fill="D1EEF5"/>
          </w:tcPr>
          <w:p>
            <w:pPr>
              <w:spacing w:after="0"/>
              <w:rPr>
                <w:sz w:val="15"/>
                <w:szCs w:val="15"/>
                <w:color w:val="auto"/>
              </w:rPr>
            </w:pPr>
          </w:p>
        </w:tc>
        <w:tc>
          <w:tcPr>
            <w:tcW w:w="460" w:type="dxa"/>
            <w:vAlign w:val="bottom"/>
            <w:tcBorders>
              <w:right w:val="single" w:sz="8" w:color="auto"/>
            </w:tcBorders>
            <w:gridSpan w:val="3"/>
            <w:shd w:val="clear" w:color="auto" w:fill="D1EEF5"/>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EF5"/>
          </w:tcPr>
          <w:p>
            <w:pPr>
              <w:spacing w:after="0"/>
              <w:rPr>
                <w:sz w:val="15"/>
                <w:szCs w:val="15"/>
                <w:color w:val="auto"/>
              </w:rPr>
            </w:pPr>
          </w:p>
        </w:tc>
        <w:tc>
          <w:tcPr>
            <w:tcW w:w="7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36,496,998</w:t>
            </w:r>
          </w:p>
        </w:tc>
        <w:tc>
          <w:tcPr>
            <w:tcW w:w="280" w:type="dxa"/>
            <w:vAlign w:val="bottom"/>
            <w:shd w:val="clear" w:color="auto" w:fill="D1EEF5"/>
          </w:tcPr>
          <w:p>
            <w:pPr>
              <w:spacing w:after="0"/>
              <w:rPr>
                <w:sz w:val="15"/>
                <w:szCs w:val="15"/>
                <w:color w:val="auto"/>
              </w:rPr>
            </w:pPr>
          </w:p>
        </w:tc>
        <w:tc>
          <w:tcPr>
            <w:tcW w:w="400" w:type="dxa"/>
            <w:vAlign w:val="bottom"/>
            <w:shd w:val="clear" w:color="auto" w:fill="D1EEF5"/>
          </w:tcPr>
          <w:p>
            <w:pPr>
              <w:spacing w:after="0"/>
              <w:rPr>
                <w:sz w:val="15"/>
                <w:szCs w:val="15"/>
                <w:color w:val="auto"/>
              </w:rPr>
            </w:pPr>
          </w:p>
        </w:tc>
        <w:tc>
          <w:tcPr>
            <w:tcW w:w="340" w:type="dxa"/>
            <w:vAlign w:val="bottom"/>
            <w:gridSpan w:val="2"/>
            <w:shd w:val="clear" w:color="auto" w:fill="D1EEF5"/>
          </w:tcPr>
          <w:p>
            <w:pPr>
              <w:jc w:val="right"/>
              <w:ind w:right="140"/>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D1EEF5"/>
          </w:tcPr>
          <w:p>
            <w:pPr>
              <w:spacing w:after="0"/>
              <w:rPr>
                <w:sz w:val="15"/>
                <w:szCs w:val="15"/>
                <w:color w:val="auto"/>
              </w:rPr>
            </w:pPr>
          </w:p>
        </w:tc>
        <w:tc>
          <w:tcPr>
            <w:tcW w:w="60" w:type="dxa"/>
            <w:vAlign w:val="bottom"/>
            <w:shd w:val="clear" w:color="auto" w:fill="D1EEF5"/>
          </w:tcPr>
          <w:p>
            <w:pPr>
              <w:spacing w:after="0"/>
              <w:rPr>
                <w:sz w:val="15"/>
                <w:szCs w:val="15"/>
                <w:color w:val="auto"/>
              </w:rPr>
            </w:pPr>
          </w:p>
        </w:tc>
        <w:tc>
          <w:tcPr>
            <w:tcW w:w="680" w:type="dxa"/>
            <w:vAlign w:val="bottom"/>
            <w:gridSpan w:val="2"/>
            <w:shd w:val="clear" w:color="auto" w:fill="D1EEF5"/>
          </w:tcPr>
          <w:p>
            <w:pPr>
              <w:jc w:val="right"/>
              <w:ind w:right="140"/>
              <w:spacing w:after="0"/>
              <w:rPr>
                <w:sz w:val="20"/>
                <w:szCs w:val="20"/>
                <w:color w:val="auto"/>
              </w:rPr>
            </w:pPr>
            <w:r>
              <w:rPr>
                <w:rFonts w:ascii="Times New Roman" w:cs="Times New Roman" w:eastAsia="Times New Roman" w:hAnsi="Times New Roman"/>
                <w:sz w:val="14"/>
                <w:szCs w:val="14"/>
                <w:color w:val="auto"/>
              </w:rPr>
              <w:t>3,619</w:t>
            </w:r>
          </w:p>
        </w:tc>
        <w:tc>
          <w:tcPr>
            <w:tcW w:w="160" w:type="dxa"/>
            <w:vAlign w:val="bottom"/>
            <w:shd w:val="clear" w:color="auto" w:fill="D1EEF5"/>
          </w:tcPr>
          <w:p>
            <w:pPr>
              <w:spacing w:after="0"/>
              <w:rPr>
                <w:sz w:val="15"/>
                <w:szCs w:val="15"/>
                <w:color w:val="auto"/>
              </w:rPr>
            </w:pPr>
          </w:p>
        </w:tc>
        <w:tc>
          <w:tcPr>
            <w:tcW w:w="120" w:type="dxa"/>
            <w:vAlign w:val="bottom"/>
            <w:shd w:val="clear" w:color="auto" w:fill="D1EEF5"/>
          </w:tcPr>
          <w:p>
            <w:pPr>
              <w:spacing w:after="0"/>
              <w:rPr>
                <w:sz w:val="15"/>
                <w:szCs w:val="15"/>
                <w:color w:val="auto"/>
              </w:rPr>
            </w:pPr>
          </w:p>
        </w:tc>
        <w:tc>
          <w:tcPr>
            <w:tcW w:w="640" w:type="dxa"/>
            <w:vAlign w:val="bottom"/>
            <w:gridSpan w:val="2"/>
            <w:shd w:val="clear" w:color="auto" w:fill="D1EEF5"/>
          </w:tcPr>
          <w:p>
            <w:pPr>
              <w:jc w:val="right"/>
              <w:ind w:right="112"/>
              <w:spacing w:after="0"/>
              <w:rPr>
                <w:sz w:val="20"/>
                <w:szCs w:val="20"/>
                <w:color w:val="auto"/>
              </w:rPr>
            </w:pPr>
            <w:r>
              <w:rPr>
                <w:rFonts w:ascii="Times New Roman" w:cs="Times New Roman" w:eastAsia="Times New Roman" w:hAnsi="Times New Roman"/>
                <w:sz w:val="14"/>
                <w:szCs w:val="14"/>
                <w:color w:val="auto"/>
              </w:rPr>
              <w:t>12,438</w:t>
            </w:r>
          </w:p>
        </w:tc>
        <w:tc>
          <w:tcPr>
            <w:tcW w:w="120" w:type="dxa"/>
            <w:vAlign w:val="bottom"/>
            <w:shd w:val="clear" w:color="auto" w:fill="D1EEF5"/>
          </w:tcPr>
          <w:p>
            <w:pPr>
              <w:spacing w:after="0"/>
              <w:rPr>
                <w:sz w:val="15"/>
                <w:szCs w:val="15"/>
                <w:color w:val="auto"/>
              </w:rPr>
            </w:pPr>
          </w:p>
        </w:tc>
        <w:tc>
          <w:tcPr>
            <w:tcW w:w="100" w:type="dxa"/>
            <w:vAlign w:val="bottom"/>
            <w:shd w:val="clear" w:color="auto" w:fill="D1EEF5"/>
          </w:tcPr>
          <w:p>
            <w:pPr>
              <w:spacing w:after="0"/>
              <w:rPr>
                <w:sz w:val="15"/>
                <w:szCs w:val="15"/>
                <w:color w:val="auto"/>
              </w:rPr>
            </w:pPr>
          </w:p>
        </w:tc>
        <w:tc>
          <w:tcPr>
            <w:tcW w:w="58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16,061</w:t>
            </w: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8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Net loss</w:t>
            </w:r>
          </w:p>
        </w:tc>
        <w:tc>
          <w:tcPr>
            <w:tcW w:w="74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D1EEF5"/>
          </w:tcPr>
          <w:p>
            <w:pPr>
              <w:spacing w:after="0"/>
              <w:rPr>
                <w:sz w:val="13"/>
                <w:szCs w:val="13"/>
                <w:color w:val="auto"/>
              </w:rPr>
            </w:pPr>
          </w:p>
        </w:tc>
        <w:tc>
          <w:tcPr>
            <w:tcW w:w="260" w:type="dxa"/>
            <w:vAlign w:val="bottom"/>
            <w:shd w:val="clear" w:color="auto" w:fill="D1EEF5"/>
          </w:tcPr>
          <w:p>
            <w:pPr>
              <w:spacing w:after="0"/>
              <w:rPr>
                <w:sz w:val="13"/>
                <w:szCs w:val="13"/>
                <w:color w:val="auto"/>
              </w:rPr>
            </w:pPr>
          </w:p>
        </w:tc>
        <w:tc>
          <w:tcPr>
            <w:tcW w:w="460" w:type="dxa"/>
            <w:vAlign w:val="bottom"/>
            <w:tcBorders>
              <w:right w:val="single" w:sz="8" w:color="auto"/>
            </w:tcBorders>
            <w:gridSpan w:val="3"/>
            <w:shd w:val="clear" w:color="auto" w:fill="D1EEF5"/>
          </w:tcPr>
          <w:p>
            <w:pPr>
              <w:jc w:val="right"/>
              <w:ind w:right="1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EF5"/>
          </w:tcPr>
          <w:p>
            <w:pPr>
              <w:spacing w:after="0"/>
              <w:rPr>
                <w:sz w:val="13"/>
                <w:szCs w:val="13"/>
                <w:color w:val="auto"/>
              </w:rPr>
            </w:pPr>
          </w:p>
        </w:tc>
        <w:tc>
          <w:tcPr>
            <w:tcW w:w="70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D1EEF5"/>
          </w:tcPr>
          <w:p>
            <w:pPr>
              <w:spacing w:after="0"/>
              <w:rPr>
                <w:sz w:val="13"/>
                <w:szCs w:val="13"/>
                <w:color w:val="auto"/>
              </w:rPr>
            </w:pPr>
          </w:p>
        </w:tc>
        <w:tc>
          <w:tcPr>
            <w:tcW w:w="400" w:type="dxa"/>
            <w:vAlign w:val="bottom"/>
            <w:shd w:val="clear" w:color="auto" w:fill="D1EEF5"/>
          </w:tcPr>
          <w:p>
            <w:pPr>
              <w:spacing w:after="0"/>
              <w:rPr>
                <w:sz w:val="13"/>
                <w:szCs w:val="13"/>
                <w:color w:val="auto"/>
              </w:rPr>
            </w:pPr>
          </w:p>
        </w:tc>
        <w:tc>
          <w:tcPr>
            <w:tcW w:w="340" w:type="dxa"/>
            <w:vAlign w:val="bottom"/>
            <w:gridSpan w:val="2"/>
            <w:shd w:val="clear" w:color="auto" w:fill="D1EEF5"/>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1EEF5"/>
          </w:tcPr>
          <w:p>
            <w:pPr>
              <w:spacing w:after="0"/>
              <w:rPr>
                <w:sz w:val="13"/>
                <w:szCs w:val="13"/>
                <w:color w:val="auto"/>
              </w:rPr>
            </w:pPr>
          </w:p>
        </w:tc>
        <w:tc>
          <w:tcPr>
            <w:tcW w:w="60" w:type="dxa"/>
            <w:vAlign w:val="bottom"/>
            <w:shd w:val="clear" w:color="auto" w:fill="D1EEF5"/>
          </w:tcPr>
          <w:p>
            <w:pPr>
              <w:spacing w:after="0"/>
              <w:rPr>
                <w:sz w:val="13"/>
                <w:szCs w:val="13"/>
                <w:color w:val="auto"/>
              </w:rPr>
            </w:pPr>
          </w:p>
        </w:tc>
        <w:tc>
          <w:tcPr>
            <w:tcW w:w="680" w:type="dxa"/>
            <w:vAlign w:val="bottom"/>
            <w:gridSpan w:val="2"/>
            <w:shd w:val="clear" w:color="auto" w:fill="D1EEF5"/>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1EEF5"/>
          </w:tcPr>
          <w:p>
            <w:pPr>
              <w:spacing w:after="0"/>
              <w:rPr>
                <w:sz w:val="13"/>
                <w:szCs w:val="13"/>
                <w:color w:val="auto"/>
              </w:rPr>
            </w:pPr>
          </w:p>
        </w:tc>
        <w:tc>
          <w:tcPr>
            <w:tcW w:w="120" w:type="dxa"/>
            <w:vAlign w:val="bottom"/>
            <w:shd w:val="clear" w:color="auto" w:fill="D1EEF5"/>
          </w:tcPr>
          <w:p>
            <w:pPr>
              <w:spacing w:after="0"/>
              <w:rPr>
                <w:sz w:val="13"/>
                <w:szCs w:val="13"/>
                <w:color w:val="auto"/>
              </w:rPr>
            </w:pPr>
          </w:p>
        </w:tc>
        <w:tc>
          <w:tcPr>
            <w:tcW w:w="640" w:type="dxa"/>
            <w:vAlign w:val="bottom"/>
            <w:gridSpan w:val="2"/>
            <w:shd w:val="clear" w:color="auto" w:fill="D1EEF5"/>
          </w:tcPr>
          <w:p>
            <w:pPr>
              <w:jc w:val="right"/>
              <w:ind w:right="72"/>
              <w:spacing w:after="0" w:line="156" w:lineRule="exact"/>
              <w:rPr>
                <w:sz w:val="20"/>
                <w:szCs w:val="20"/>
                <w:color w:val="auto"/>
              </w:rPr>
            </w:pPr>
            <w:r>
              <w:rPr>
                <w:rFonts w:ascii="Times New Roman" w:cs="Times New Roman" w:eastAsia="Times New Roman" w:hAnsi="Times New Roman"/>
                <w:sz w:val="14"/>
                <w:szCs w:val="14"/>
                <w:color w:val="auto"/>
              </w:rPr>
              <w:t>(39,571)</w:t>
            </w:r>
          </w:p>
        </w:tc>
        <w:tc>
          <w:tcPr>
            <w:tcW w:w="120" w:type="dxa"/>
            <w:vAlign w:val="bottom"/>
            <w:shd w:val="clear" w:color="auto" w:fill="D1EEF5"/>
          </w:tcPr>
          <w:p>
            <w:pPr>
              <w:spacing w:after="0"/>
              <w:rPr>
                <w:sz w:val="13"/>
                <w:szCs w:val="13"/>
                <w:color w:val="auto"/>
              </w:rPr>
            </w:pPr>
          </w:p>
        </w:tc>
        <w:tc>
          <w:tcPr>
            <w:tcW w:w="100" w:type="dxa"/>
            <w:vAlign w:val="bottom"/>
            <w:shd w:val="clear" w:color="auto" w:fill="D1EEF5"/>
          </w:tcPr>
          <w:p>
            <w:pPr>
              <w:spacing w:after="0"/>
              <w:rPr>
                <w:sz w:val="13"/>
                <w:szCs w:val="13"/>
                <w:color w:val="auto"/>
              </w:rPr>
            </w:pPr>
          </w:p>
        </w:tc>
        <w:tc>
          <w:tcPr>
            <w:tcW w:w="580" w:type="dxa"/>
            <w:vAlign w:val="bottom"/>
            <w:gridSpan w:val="2"/>
            <w:shd w:val="clear" w:color="auto" w:fill="D1EEF5"/>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(39,571)</w:t>
            </w:r>
          </w:p>
        </w:tc>
        <w:tc>
          <w:tcPr>
            <w:tcW w:w="0" w:type="dxa"/>
            <w:vAlign w:val="bottom"/>
          </w:tcPr>
          <w:p>
            <w:pPr>
              <w:spacing w:after="0"/>
              <w:rPr>
                <w:sz w:val="1"/>
                <w:szCs w:val="1"/>
                <w:color w:val="auto"/>
              </w:rPr>
            </w:pPr>
          </w:p>
        </w:tc>
      </w:tr>
      <w:tr>
        <w:trPr>
          <w:trHeight w:val="157"/>
        </w:trPr>
        <w:tc>
          <w:tcPr>
            <w:tcW w:w="39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Stock purchase agreement</w:t>
            </w: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Borders>
              <w:right w:val="single" w:sz="8" w:color="auto"/>
            </w:tcBorders>
            <w:gridSpan w:val="3"/>
          </w:tcPr>
          <w:p>
            <w:pPr>
              <w:jc w:val="right"/>
              <w:ind w:right="12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1,498,301</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gridSpan w:val="2"/>
          </w:tcPr>
          <w:p>
            <w:pPr>
              <w:jc w:val="right"/>
              <w:ind w:right="14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140"/>
              <w:spacing w:after="0" w:line="157" w:lineRule="exact"/>
              <w:rPr>
                <w:sz w:val="20"/>
                <w:szCs w:val="20"/>
                <w:color w:val="auto"/>
              </w:rPr>
            </w:pPr>
            <w:r>
              <w:rPr>
                <w:rFonts w:ascii="Times New Roman" w:cs="Times New Roman" w:eastAsia="Times New Roman" w:hAnsi="Times New Roman"/>
                <w:sz w:val="14"/>
                <w:szCs w:val="14"/>
                <w:color w:val="auto"/>
              </w:rPr>
              <w:t>15,000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12"/>
              <w:spacing w:after="0" w:line="15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line="157" w:lineRule="exact"/>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56"/>
        </w:trPr>
        <w:tc>
          <w:tcPr>
            <w:tcW w:w="398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Exercise of stock options</w:t>
            </w:r>
          </w:p>
        </w:tc>
        <w:tc>
          <w:tcPr>
            <w:tcW w:w="74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D1EEF5"/>
          </w:tcPr>
          <w:p>
            <w:pPr>
              <w:spacing w:after="0"/>
              <w:rPr>
                <w:sz w:val="13"/>
                <w:szCs w:val="13"/>
                <w:color w:val="auto"/>
              </w:rPr>
            </w:pPr>
          </w:p>
        </w:tc>
        <w:tc>
          <w:tcPr>
            <w:tcW w:w="260" w:type="dxa"/>
            <w:vAlign w:val="bottom"/>
            <w:shd w:val="clear" w:color="auto" w:fill="D1EEF5"/>
          </w:tcPr>
          <w:p>
            <w:pPr>
              <w:spacing w:after="0"/>
              <w:rPr>
                <w:sz w:val="13"/>
                <w:szCs w:val="13"/>
                <w:color w:val="auto"/>
              </w:rPr>
            </w:pPr>
          </w:p>
        </w:tc>
        <w:tc>
          <w:tcPr>
            <w:tcW w:w="460" w:type="dxa"/>
            <w:vAlign w:val="bottom"/>
            <w:tcBorders>
              <w:right w:val="single" w:sz="8" w:color="auto"/>
            </w:tcBorders>
            <w:gridSpan w:val="3"/>
            <w:shd w:val="clear" w:color="auto" w:fill="D1EEF5"/>
          </w:tcPr>
          <w:p>
            <w:pPr>
              <w:jc w:val="right"/>
              <w:ind w:right="1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EF5"/>
          </w:tcPr>
          <w:p>
            <w:pPr>
              <w:spacing w:after="0"/>
              <w:rPr>
                <w:sz w:val="13"/>
                <w:szCs w:val="13"/>
                <w:color w:val="auto"/>
              </w:rPr>
            </w:pPr>
          </w:p>
        </w:tc>
        <w:tc>
          <w:tcPr>
            <w:tcW w:w="70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581,351</w:t>
            </w:r>
          </w:p>
        </w:tc>
        <w:tc>
          <w:tcPr>
            <w:tcW w:w="280" w:type="dxa"/>
            <w:vAlign w:val="bottom"/>
            <w:shd w:val="clear" w:color="auto" w:fill="D1EEF5"/>
          </w:tcPr>
          <w:p>
            <w:pPr>
              <w:spacing w:after="0"/>
              <w:rPr>
                <w:sz w:val="13"/>
                <w:szCs w:val="13"/>
                <w:color w:val="auto"/>
              </w:rPr>
            </w:pPr>
          </w:p>
        </w:tc>
        <w:tc>
          <w:tcPr>
            <w:tcW w:w="400" w:type="dxa"/>
            <w:vAlign w:val="bottom"/>
            <w:shd w:val="clear" w:color="auto" w:fill="D1EEF5"/>
          </w:tcPr>
          <w:p>
            <w:pPr>
              <w:spacing w:after="0"/>
              <w:rPr>
                <w:sz w:val="13"/>
                <w:szCs w:val="13"/>
                <w:color w:val="auto"/>
              </w:rPr>
            </w:pPr>
          </w:p>
        </w:tc>
        <w:tc>
          <w:tcPr>
            <w:tcW w:w="340" w:type="dxa"/>
            <w:vAlign w:val="bottom"/>
            <w:gridSpan w:val="2"/>
            <w:shd w:val="clear" w:color="auto" w:fill="D1EEF5"/>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1EEF5"/>
          </w:tcPr>
          <w:p>
            <w:pPr>
              <w:spacing w:after="0"/>
              <w:rPr>
                <w:sz w:val="13"/>
                <w:szCs w:val="13"/>
                <w:color w:val="auto"/>
              </w:rPr>
            </w:pPr>
          </w:p>
        </w:tc>
        <w:tc>
          <w:tcPr>
            <w:tcW w:w="60" w:type="dxa"/>
            <w:vAlign w:val="bottom"/>
            <w:shd w:val="clear" w:color="auto" w:fill="D1EEF5"/>
          </w:tcPr>
          <w:p>
            <w:pPr>
              <w:spacing w:after="0"/>
              <w:rPr>
                <w:sz w:val="13"/>
                <w:szCs w:val="13"/>
                <w:color w:val="auto"/>
              </w:rPr>
            </w:pPr>
          </w:p>
        </w:tc>
        <w:tc>
          <w:tcPr>
            <w:tcW w:w="680" w:type="dxa"/>
            <w:vAlign w:val="bottom"/>
            <w:gridSpan w:val="2"/>
            <w:shd w:val="clear" w:color="auto" w:fill="D1EEF5"/>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706</w:t>
            </w:r>
          </w:p>
        </w:tc>
        <w:tc>
          <w:tcPr>
            <w:tcW w:w="160" w:type="dxa"/>
            <w:vAlign w:val="bottom"/>
            <w:shd w:val="clear" w:color="auto" w:fill="D1EEF5"/>
          </w:tcPr>
          <w:p>
            <w:pPr>
              <w:spacing w:after="0"/>
              <w:rPr>
                <w:sz w:val="13"/>
                <w:szCs w:val="13"/>
                <w:color w:val="auto"/>
              </w:rPr>
            </w:pPr>
          </w:p>
        </w:tc>
        <w:tc>
          <w:tcPr>
            <w:tcW w:w="120" w:type="dxa"/>
            <w:vAlign w:val="bottom"/>
            <w:shd w:val="clear" w:color="auto" w:fill="D1EEF5"/>
          </w:tcPr>
          <w:p>
            <w:pPr>
              <w:spacing w:after="0"/>
              <w:rPr>
                <w:sz w:val="13"/>
                <w:szCs w:val="13"/>
                <w:color w:val="auto"/>
              </w:rPr>
            </w:pPr>
          </w:p>
        </w:tc>
        <w:tc>
          <w:tcPr>
            <w:tcW w:w="640" w:type="dxa"/>
            <w:vAlign w:val="bottom"/>
            <w:gridSpan w:val="2"/>
            <w:shd w:val="clear" w:color="auto" w:fill="D1EEF5"/>
          </w:tcPr>
          <w:p>
            <w:pPr>
              <w:jc w:val="right"/>
              <w:ind w:right="112"/>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EF5"/>
          </w:tcPr>
          <w:p>
            <w:pPr>
              <w:spacing w:after="0"/>
              <w:rPr>
                <w:sz w:val="13"/>
                <w:szCs w:val="13"/>
                <w:color w:val="auto"/>
              </w:rPr>
            </w:pPr>
          </w:p>
        </w:tc>
        <w:tc>
          <w:tcPr>
            <w:tcW w:w="100" w:type="dxa"/>
            <w:vAlign w:val="bottom"/>
            <w:shd w:val="clear" w:color="auto" w:fill="D1EEF5"/>
          </w:tcPr>
          <w:p>
            <w:pPr>
              <w:spacing w:after="0"/>
              <w:rPr>
                <w:sz w:val="13"/>
                <w:szCs w:val="13"/>
                <w:color w:val="auto"/>
              </w:rPr>
            </w:pPr>
          </w:p>
        </w:tc>
        <w:tc>
          <w:tcPr>
            <w:tcW w:w="580" w:type="dxa"/>
            <w:vAlign w:val="bottom"/>
            <w:gridSpan w:val="2"/>
            <w:shd w:val="clear" w:color="auto" w:fill="D1EEF5"/>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706</w:t>
            </w:r>
          </w:p>
        </w:tc>
        <w:tc>
          <w:tcPr>
            <w:tcW w:w="0" w:type="dxa"/>
            <w:vAlign w:val="bottom"/>
          </w:tcPr>
          <w:p>
            <w:pPr>
              <w:spacing w:after="0"/>
              <w:rPr>
                <w:sz w:val="1"/>
                <w:szCs w:val="1"/>
                <w:color w:val="auto"/>
              </w:rPr>
            </w:pPr>
          </w:p>
        </w:tc>
      </w:tr>
      <w:tr>
        <w:trPr>
          <w:trHeight w:val="156"/>
        </w:trPr>
        <w:tc>
          <w:tcPr>
            <w:tcW w:w="39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Reverse capitalization, net of transaction costs (See Note 3)</w:t>
            </w:r>
          </w:p>
        </w:tc>
        <w:tc>
          <w:tcPr>
            <w:tcW w:w="7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Borders>
              <w:right w:val="single" w:sz="8" w:color="auto"/>
            </w:tcBorders>
            <w:gridSpan w:val="3"/>
          </w:tcPr>
          <w:p>
            <w:pPr>
              <w:jc w:val="right"/>
              <w:ind w:right="1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4,238,936</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12"/>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398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Cashless exercise of liability classified warrants</w:t>
            </w:r>
          </w:p>
        </w:tc>
        <w:tc>
          <w:tcPr>
            <w:tcW w:w="74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D1EEF5"/>
          </w:tcPr>
          <w:p>
            <w:pPr>
              <w:spacing w:after="0"/>
              <w:rPr>
                <w:sz w:val="13"/>
                <w:szCs w:val="13"/>
                <w:color w:val="auto"/>
              </w:rPr>
            </w:pPr>
          </w:p>
        </w:tc>
        <w:tc>
          <w:tcPr>
            <w:tcW w:w="260" w:type="dxa"/>
            <w:vAlign w:val="bottom"/>
            <w:shd w:val="clear" w:color="auto" w:fill="D1EEF5"/>
          </w:tcPr>
          <w:p>
            <w:pPr>
              <w:spacing w:after="0"/>
              <w:rPr>
                <w:sz w:val="13"/>
                <w:szCs w:val="13"/>
                <w:color w:val="auto"/>
              </w:rPr>
            </w:pPr>
          </w:p>
        </w:tc>
        <w:tc>
          <w:tcPr>
            <w:tcW w:w="460" w:type="dxa"/>
            <w:vAlign w:val="bottom"/>
            <w:tcBorders>
              <w:right w:val="single" w:sz="8" w:color="auto"/>
            </w:tcBorders>
            <w:gridSpan w:val="3"/>
            <w:shd w:val="clear" w:color="auto" w:fill="D1EEF5"/>
          </w:tcPr>
          <w:p>
            <w:pPr>
              <w:jc w:val="right"/>
              <w:ind w:right="12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EF5"/>
          </w:tcPr>
          <w:p>
            <w:pPr>
              <w:spacing w:after="0"/>
              <w:rPr>
                <w:sz w:val="13"/>
                <w:szCs w:val="13"/>
                <w:color w:val="auto"/>
              </w:rPr>
            </w:pPr>
          </w:p>
        </w:tc>
        <w:tc>
          <w:tcPr>
            <w:tcW w:w="70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457,142</w:t>
            </w:r>
          </w:p>
        </w:tc>
        <w:tc>
          <w:tcPr>
            <w:tcW w:w="280" w:type="dxa"/>
            <w:vAlign w:val="bottom"/>
            <w:shd w:val="clear" w:color="auto" w:fill="D1EEF5"/>
          </w:tcPr>
          <w:p>
            <w:pPr>
              <w:spacing w:after="0"/>
              <w:rPr>
                <w:sz w:val="13"/>
                <w:szCs w:val="13"/>
                <w:color w:val="auto"/>
              </w:rPr>
            </w:pPr>
          </w:p>
        </w:tc>
        <w:tc>
          <w:tcPr>
            <w:tcW w:w="400" w:type="dxa"/>
            <w:vAlign w:val="bottom"/>
            <w:shd w:val="clear" w:color="auto" w:fill="D1EEF5"/>
          </w:tcPr>
          <w:p>
            <w:pPr>
              <w:spacing w:after="0"/>
              <w:rPr>
                <w:sz w:val="13"/>
                <w:szCs w:val="13"/>
                <w:color w:val="auto"/>
              </w:rPr>
            </w:pPr>
          </w:p>
        </w:tc>
        <w:tc>
          <w:tcPr>
            <w:tcW w:w="340" w:type="dxa"/>
            <w:vAlign w:val="bottom"/>
            <w:gridSpan w:val="2"/>
            <w:shd w:val="clear" w:color="auto" w:fill="D1EEF5"/>
          </w:tcPr>
          <w:p>
            <w:pPr>
              <w:jc w:val="right"/>
              <w:ind w:right="14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1EEF5"/>
          </w:tcPr>
          <w:p>
            <w:pPr>
              <w:spacing w:after="0"/>
              <w:rPr>
                <w:sz w:val="13"/>
                <w:szCs w:val="13"/>
                <w:color w:val="auto"/>
              </w:rPr>
            </w:pPr>
          </w:p>
        </w:tc>
        <w:tc>
          <w:tcPr>
            <w:tcW w:w="60" w:type="dxa"/>
            <w:vAlign w:val="bottom"/>
            <w:shd w:val="clear" w:color="auto" w:fill="D1EEF5"/>
          </w:tcPr>
          <w:p>
            <w:pPr>
              <w:spacing w:after="0"/>
              <w:rPr>
                <w:sz w:val="13"/>
                <w:szCs w:val="13"/>
                <w:color w:val="auto"/>
              </w:rPr>
            </w:pPr>
          </w:p>
        </w:tc>
        <w:tc>
          <w:tcPr>
            <w:tcW w:w="680" w:type="dxa"/>
            <w:vAlign w:val="bottom"/>
            <w:gridSpan w:val="2"/>
            <w:shd w:val="clear" w:color="auto" w:fill="D1EEF5"/>
          </w:tcPr>
          <w:p>
            <w:pPr>
              <w:jc w:val="right"/>
              <w:ind w:right="140"/>
              <w:spacing w:after="0" w:line="157" w:lineRule="exact"/>
              <w:rPr>
                <w:sz w:val="20"/>
                <w:szCs w:val="20"/>
                <w:color w:val="auto"/>
              </w:rPr>
            </w:pPr>
            <w:r>
              <w:rPr>
                <w:rFonts w:ascii="Times New Roman" w:cs="Times New Roman" w:eastAsia="Times New Roman" w:hAnsi="Times New Roman"/>
                <w:sz w:val="14"/>
                <w:szCs w:val="14"/>
                <w:color w:val="auto"/>
              </w:rPr>
              <w:t>16,669</w:t>
            </w:r>
          </w:p>
        </w:tc>
        <w:tc>
          <w:tcPr>
            <w:tcW w:w="160" w:type="dxa"/>
            <w:vAlign w:val="bottom"/>
            <w:shd w:val="clear" w:color="auto" w:fill="D1EEF5"/>
          </w:tcPr>
          <w:p>
            <w:pPr>
              <w:spacing w:after="0"/>
              <w:rPr>
                <w:sz w:val="13"/>
                <w:szCs w:val="13"/>
                <w:color w:val="auto"/>
              </w:rPr>
            </w:pPr>
          </w:p>
        </w:tc>
        <w:tc>
          <w:tcPr>
            <w:tcW w:w="120" w:type="dxa"/>
            <w:vAlign w:val="bottom"/>
            <w:shd w:val="clear" w:color="auto" w:fill="D1EEF5"/>
          </w:tcPr>
          <w:p>
            <w:pPr>
              <w:spacing w:after="0"/>
              <w:rPr>
                <w:sz w:val="13"/>
                <w:szCs w:val="13"/>
                <w:color w:val="auto"/>
              </w:rPr>
            </w:pPr>
          </w:p>
        </w:tc>
        <w:tc>
          <w:tcPr>
            <w:tcW w:w="640" w:type="dxa"/>
            <w:vAlign w:val="bottom"/>
            <w:gridSpan w:val="2"/>
            <w:shd w:val="clear" w:color="auto" w:fill="D1EEF5"/>
          </w:tcPr>
          <w:p>
            <w:pPr>
              <w:jc w:val="right"/>
              <w:ind w:right="112"/>
              <w:spacing w:after="0" w:line="15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EF5"/>
          </w:tcPr>
          <w:p>
            <w:pPr>
              <w:spacing w:after="0"/>
              <w:rPr>
                <w:sz w:val="13"/>
                <w:szCs w:val="13"/>
                <w:color w:val="auto"/>
              </w:rPr>
            </w:pPr>
          </w:p>
        </w:tc>
        <w:tc>
          <w:tcPr>
            <w:tcW w:w="100" w:type="dxa"/>
            <w:vAlign w:val="bottom"/>
            <w:shd w:val="clear" w:color="auto" w:fill="D1EEF5"/>
          </w:tcPr>
          <w:p>
            <w:pPr>
              <w:spacing w:after="0"/>
              <w:rPr>
                <w:sz w:val="13"/>
                <w:szCs w:val="13"/>
                <w:color w:val="auto"/>
              </w:rPr>
            </w:pPr>
          </w:p>
        </w:tc>
        <w:tc>
          <w:tcPr>
            <w:tcW w:w="580" w:type="dxa"/>
            <w:vAlign w:val="bottom"/>
            <w:gridSpan w:val="2"/>
            <w:shd w:val="clear" w:color="auto" w:fill="D1EEF5"/>
          </w:tcPr>
          <w:p>
            <w:pPr>
              <w:jc w:val="right"/>
              <w:ind w:right="100"/>
              <w:spacing w:after="0" w:line="157" w:lineRule="exact"/>
              <w:rPr>
                <w:sz w:val="20"/>
                <w:szCs w:val="20"/>
                <w:color w:val="auto"/>
              </w:rPr>
            </w:pPr>
            <w:r>
              <w:rPr>
                <w:rFonts w:ascii="Times New Roman" w:cs="Times New Roman" w:eastAsia="Times New Roman" w:hAnsi="Times New Roman"/>
                <w:sz w:val="14"/>
                <w:szCs w:val="14"/>
                <w:color w:val="auto"/>
              </w:rPr>
              <w:t>16,669</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2,467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2,467</w:t>
            </w:r>
          </w:p>
        </w:tc>
        <w:tc>
          <w:tcPr>
            <w:tcW w:w="0" w:type="dxa"/>
            <w:vAlign w:val="bottom"/>
          </w:tcPr>
          <w:p>
            <w:pPr>
              <w:spacing w:after="0"/>
              <w:rPr>
                <w:sz w:val="1"/>
                <w:szCs w:val="1"/>
                <w:color w:val="auto"/>
              </w:rPr>
            </w:pPr>
          </w:p>
        </w:tc>
      </w:tr>
      <w:tr>
        <w:trPr>
          <w:trHeight w:val="179"/>
        </w:trPr>
        <w:tc>
          <w:tcPr>
            <w:tcW w:w="398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Balance - December 31, 2022</w:t>
            </w:r>
          </w:p>
        </w:tc>
        <w:tc>
          <w:tcPr>
            <w:tcW w:w="74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D1EEF5"/>
            </w:tcBorders>
            <w:shd w:val="clear" w:color="auto" w:fill="D1EEF5"/>
          </w:tcPr>
          <w:p>
            <w:pPr>
              <w:spacing w:after="0"/>
              <w:rPr>
                <w:sz w:val="15"/>
                <w:szCs w:val="15"/>
                <w:color w:val="auto"/>
              </w:rPr>
            </w:pPr>
          </w:p>
        </w:tc>
        <w:tc>
          <w:tcPr>
            <w:tcW w:w="260" w:type="dxa"/>
            <w:vAlign w:val="bottom"/>
            <w:tcBorders>
              <w:top w:val="single" w:sz="8" w:color="auto"/>
            </w:tcBorders>
            <w:shd w:val="clear" w:color="auto" w:fill="D1EEF5"/>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gridSpan w:val="2"/>
            <w:shd w:val="clear" w:color="auto" w:fill="D1EEF5"/>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D1EEF5"/>
              <w:right w:val="single" w:sz="8" w:color="auto"/>
            </w:tcBorders>
            <w:shd w:val="clear" w:color="auto" w:fill="D1EEF5"/>
          </w:tcPr>
          <w:p>
            <w:pPr>
              <w:spacing w:after="0"/>
              <w:rPr>
                <w:sz w:val="15"/>
                <w:szCs w:val="15"/>
                <w:color w:val="auto"/>
              </w:rPr>
            </w:pPr>
          </w:p>
        </w:tc>
        <w:tc>
          <w:tcPr>
            <w:tcW w:w="180" w:type="dxa"/>
            <w:vAlign w:val="bottom"/>
            <w:tcBorders>
              <w:top w:val="single" w:sz="8" w:color="D1EEF5"/>
            </w:tcBorders>
            <w:shd w:val="clear" w:color="auto" w:fill="D1EEF5"/>
          </w:tcPr>
          <w:p>
            <w:pPr>
              <w:spacing w:after="0"/>
              <w:rPr>
                <w:sz w:val="15"/>
                <w:szCs w:val="15"/>
                <w:color w:val="auto"/>
              </w:rPr>
            </w:pPr>
          </w:p>
        </w:tc>
        <w:tc>
          <w:tcPr>
            <w:tcW w:w="70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43,272,728</w:t>
            </w:r>
          </w:p>
        </w:tc>
        <w:tc>
          <w:tcPr>
            <w:tcW w:w="280" w:type="dxa"/>
            <w:vAlign w:val="bottom"/>
            <w:tcBorders>
              <w:top w:val="single" w:sz="8" w:color="D1EEF5"/>
            </w:tcBorders>
            <w:shd w:val="clear" w:color="auto" w:fill="D1EEF5"/>
          </w:tcPr>
          <w:p>
            <w:pPr>
              <w:spacing w:after="0"/>
              <w:rPr>
                <w:sz w:val="15"/>
                <w:szCs w:val="15"/>
                <w:color w:val="auto"/>
              </w:rPr>
            </w:pPr>
          </w:p>
        </w:tc>
        <w:tc>
          <w:tcPr>
            <w:tcW w:w="400" w:type="dxa"/>
            <w:vAlign w:val="bottom"/>
            <w:tcBorders>
              <w:top w:val="single" w:sz="8" w:color="auto"/>
            </w:tcBorders>
            <w:shd w:val="clear" w:color="auto" w:fill="D1EEF5"/>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top w:val="single" w:sz="8" w:color="D1EEF5"/>
            </w:tcBorders>
            <w:shd w:val="clear" w:color="auto" w:fill="D1EEF5"/>
          </w:tcPr>
          <w:p>
            <w:pPr>
              <w:spacing w:after="0"/>
              <w:rPr>
                <w:sz w:val="15"/>
                <w:szCs w:val="15"/>
                <w:color w:val="auto"/>
              </w:rPr>
            </w:pPr>
          </w:p>
        </w:tc>
        <w:tc>
          <w:tcPr>
            <w:tcW w:w="160" w:type="dxa"/>
            <w:vAlign w:val="bottom"/>
            <w:tcBorders>
              <w:top w:val="single" w:sz="8" w:color="D1EEF5"/>
            </w:tcBorders>
            <w:shd w:val="clear" w:color="auto" w:fill="D1EEF5"/>
          </w:tcPr>
          <w:p>
            <w:pPr>
              <w:spacing w:after="0"/>
              <w:rPr>
                <w:sz w:val="15"/>
                <w:szCs w:val="15"/>
                <w:color w:val="auto"/>
              </w:rPr>
            </w:pPr>
          </w:p>
        </w:tc>
        <w:tc>
          <w:tcPr>
            <w:tcW w:w="6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38,461</w:t>
            </w:r>
          </w:p>
        </w:tc>
        <w:tc>
          <w:tcPr>
            <w:tcW w:w="140" w:type="dxa"/>
            <w:vAlign w:val="bottom"/>
            <w:tcBorders>
              <w:top w:val="single" w:sz="8" w:color="D1EEF5"/>
            </w:tcBorders>
            <w:shd w:val="clear" w:color="auto" w:fill="D1EEF5"/>
          </w:tcPr>
          <w:p>
            <w:pPr>
              <w:spacing w:after="0"/>
              <w:rPr>
                <w:sz w:val="15"/>
                <w:szCs w:val="15"/>
                <w:color w:val="auto"/>
              </w:rPr>
            </w:pPr>
          </w:p>
        </w:tc>
        <w:tc>
          <w:tcPr>
            <w:tcW w:w="160" w:type="dxa"/>
            <w:vAlign w:val="bottom"/>
            <w:tcBorders>
              <w:top w:val="single" w:sz="8" w:color="D1EEF5"/>
            </w:tcBorders>
            <w:shd w:val="clear" w:color="auto" w:fill="D1EEF5"/>
          </w:tcPr>
          <w:p>
            <w:pPr>
              <w:spacing w:after="0"/>
              <w:rPr>
                <w:sz w:val="15"/>
                <w:szCs w:val="15"/>
                <w:color w:val="auto"/>
              </w:rPr>
            </w:pPr>
          </w:p>
        </w:tc>
        <w:tc>
          <w:tcPr>
            <w:tcW w:w="12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(27,133</w:t>
            </w:r>
          </w:p>
        </w:tc>
        <w:tc>
          <w:tcPr>
            <w:tcW w:w="180" w:type="dxa"/>
            <w:vAlign w:val="bottom"/>
            <w:tcBorders>
              <w:top w:val="single" w:sz="8" w:color="D1EEF5"/>
            </w:tcBorders>
            <w:shd w:val="clear" w:color="auto" w:fill="D1EEF5"/>
          </w:tcPr>
          <w:p>
            <w:pPr>
              <w:jc w:val="right"/>
              <w:ind w:right="52"/>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D1EEF5"/>
            </w:tcBorders>
            <w:shd w:val="clear" w:color="auto" w:fill="D1EEF5"/>
          </w:tcPr>
          <w:p>
            <w:pPr>
              <w:spacing w:after="0"/>
              <w:rPr>
                <w:sz w:val="15"/>
                <w:szCs w:val="15"/>
                <w:color w:val="auto"/>
              </w:rPr>
            </w:pPr>
          </w:p>
        </w:tc>
        <w:tc>
          <w:tcPr>
            <w:tcW w:w="10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11,332</w:t>
            </w:r>
          </w:p>
        </w:tc>
        <w:tc>
          <w:tcPr>
            <w:tcW w:w="100" w:type="dxa"/>
            <w:vAlign w:val="bottom"/>
            <w:tcBorders>
              <w:top w:val="single" w:sz="8" w:color="D1EEF5"/>
            </w:tcBorders>
            <w:shd w:val="clear" w:color="auto" w:fill="D1EEF5"/>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-1162050</wp:posOffset>
            </wp:positionV>
            <wp:extent cx="3944620" cy="49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4">
                      <a:extLst>
                        <a:ext uri="{28A0092B-C50C-407E-A947-70E740481C1C}"/>
                      </a:extLst>
                    </a:blip>
                    <a:srcRect/>
                    <a:stretch>
                      <a:fillRect/>
                    </a:stretch>
                  </pic:blipFill>
                  <pic:spPr bwMode="auto">
                    <a:xfrm>
                      <a:off x="0" y="0"/>
                      <a:ext cx="3944620" cy="4953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-27940</wp:posOffset>
            </wp:positionV>
            <wp:extent cx="3944620" cy="495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5">
                      <a:extLst>
                        <a:ext uri="{28A0092B-C50C-407E-A947-70E740481C1C}"/>
                      </a:extLst>
                    </a:blip>
                    <a:srcRect/>
                    <a:stretch>
                      <a:fillRect/>
                    </a:stretch>
                  </pic:blipFill>
                  <pic:spPr bwMode="auto">
                    <a:xfrm>
                      <a:off x="0" y="0"/>
                      <a:ext cx="3944620" cy="49530"/>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financial statements.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650938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pt" to="512.25pt,1.3pt" o:allowincell="f" strokecolor="#000000" strokeweight="1.26pt"/>
            </w:pict>
          </mc:Fallback>
        </mc:AlternateContent>
      </w:r>
    </w:p>
    <w:p>
      <w:pPr>
        <w:sectPr>
          <w:pgSz w:w="12240" w:h="15840" w:orient="portrait"/>
          <w:cols w:equalWidth="0" w:num="1">
            <w:col w:w="10240"/>
          </w:cols>
          <w:pgMar w:left="1000" w:top="1208" w:right="1000"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100"/>
        <w:spacing w:after="0" w:line="255" w:lineRule="auto"/>
        <w:rPr>
          <w:sz w:val="20"/>
          <w:szCs w:val="20"/>
          <w:color w:val="auto"/>
        </w:rPr>
      </w:pPr>
      <w:r>
        <w:rPr>
          <w:rFonts w:ascii="Times New Roman" w:cs="Times New Roman" w:eastAsia="Times New Roman" w:hAnsi="Times New Roman"/>
          <w:sz w:val="14"/>
          <w:szCs w:val="14"/>
          <w:color w:val="auto"/>
        </w:rPr>
        <w:t>Cash flows from Operating Activities Net (Loss) Income</w:t>
      </w:r>
    </w:p>
    <w:p>
      <w:pPr>
        <w:spacing w:after="0" w:line="1" w:lineRule="exact"/>
        <w:rPr>
          <w:sz w:val="20"/>
          <w:szCs w:val="20"/>
          <w:color w:val="auto"/>
        </w:rPr>
      </w:pPr>
    </w:p>
    <w:p>
      <w:pPr>
        <w:ind w:left="140" w:hanging="136"/>
        <w:spacing w:after="0" w:line="248" w:lineRule="auto"/>
        <w:rPr>
          <w:sz w:val="20"/>
          <w:szCs w:val="20"/>
          <w:color w:val="auto"/>
        </w:rPr>
      </w:pPr>
      <w:r>
        <w:rPr>
          <w:rFonts w:ascii="Times New Roman" w:cs="Times New Roman" w:eastAsia="Times New Roman" w:hAnsi="Times New Roman"/>
          <w:sz w:val="14"/>
          <w:szCs w:val="14"/>
          <w:color w:val="auto"/>
        </w:rPr>
        <w:t>Adjustments to Reconcile Net (Loss) Income to Net Cash Provided by (Used in) Operating Activities</w:t>
      </w:r>
    </w:p>
    <w:p>
      <w:pPr>
        <w:ind w:left="280"/>
        <w:spacing w:after="0" w:line="233" w:lineRule="auto"/>
        <w:rPr>
          <w:sz w:val="20"/>
          <w:szCs w:val="20"/>
          <w:color w:val="auto"/>
        </w:rPr>
      </w:pPr>
      <w:r>
        <w:rPr>
          <w:rFonts w:ascii="Times New Roman" w:cs="Times New Roman" w:eastAsia="Times New Roman" w:hAnsi="Times New Roman"/>
          <w:sz w:val="14"/>
          <w:szCs w:val="14"/>
          <w:color w:val="auto"/>
        </w:rPr>
        <w:t>Stock based compensation</w:t>
      </w:r>
    </w:p>
    <w:p>
      <w:pPr>
        <w:ind w:left="280"/>
        <w:spacing w:after="0" w:line="232" w:lineRule="auto"/>
        <w:rPr>
          <w:sz w:val="20"/>
          <w:szCs w:val="20"/>
          <w:color w:val="auto"/>
        </w:rPr>
      </w:pPr>
      <w:r>
        <w:rPr>
          <w:rFonts w:ascii="Times New Roman" w:cs="Times New Roman" w:eastAsia="Times New Roman" w:hAnsi="Times New Roman"/>
          <w:sz w:val="14"/>
          <w:szCs w:val="14"/>
          <w:color w:val="auto"/>
        </w:rPr>
        <w:t>Debt extinguishment</w:t>
      </w:r>
    </w:p>
    <w:p>
      <w:pPr>
        <w:ind w:left="280"/>
        <w:spacing w:after="0" w:line="235" w:lineRule="auto"/>
        <w:rPr>
          <w:sz w:val="20"/>
          <w:szCs w:val="20"/>
          <w:color w:val="auto"/>
        </w:rPr>
      </w:pPr>
      <w:r>
        <w:rPr>
          <w:rFonts w:ascii="Times New Roman" w:cs="Times New Roman" w:eastAsia="Times New Roman" w:hAnsi="Times New Roman"/>
          <w:sz w:val="14"/>
          <w:szCs w:val="14"/>
          <w:color w:val="auto"/>
        </w:rPr>
        <w:t>Amortization of debt discount</w:t>
      </w:r>
    </w:p>
    <w:p>
      <w:pPr>
        <w:ind w:left="280"/>
        <w:spacing w:after="0" w:line="232" w:lineRule="auto"/>
        <w:rPr>
          <w:sz w:val="20"/>
          <w:szCs w:val="20"/>
          <w:color w:val="auto"/>
        </w:rPr>
      </w:pPr>
      <w:r>
        <w:rPr>
          <w:rFonts w:ascii="Times New Roman" w:cs="Times New Roman" w:eastAsia="Times New Roman" w:hAnsi="Times New Roman"/>
          <w:sz w:val="14"/>
          <w:szCs w:val="14"/>
          <w:color w:val="auto"/>
        </w:rPr>
        <w:t>Change in fair market value of warrant liability</w:t>
      </w:r>
    </w:p>
    <w:p>
      <w:pPr>
        <w:ind w:left="280"/>
        <w:spacing w:after="0" w:line="233" w:lineRule="auto"/>
        <w:rPr>
          <w:sz w:val="20"/>
          <w:szCs w:val="20"/>
          <w:color w:val="auto"/>
        </w:rPr>
      </w:pPr>
      <w:r>
        <w:rPr>
          <w:rFonts w:ascii="Times New Roman" w:cs="Times New Roman" w:eastAsia="Times New Roman" w:hAnsi="Times New Roman"/>
          <w:sz w:val="14"/>
          <w:szCs w:val="14"/>
          <w:color w:val="auto"/>
        </w:rPr>
        <w:t>Deferred tax liability</w:t>
      </w:r>
    </w:p>
    <w:p>
      <w:pPr>
        <w:ind w:left="280"/>
        <w:spacing w:after="0" w:line="234" w:lineRule="auto"/>
        <w:rPr>
          <w:sz w:val="20"/>
          <w:szCs w:val="20"/>
          <w:color w:val="auto"/>
        </w:rPr>
      </w:pPr>
      <w:r>
        <w:rPr>
          <w:rFonts w:ascii="Times New Roman" w:cs="Times New Roman" w:eastAsia="Times New Roman" w:hAnsi="Times New Roman"/>
          <w:sz w:val="14"/>
          <w:szCs w:val="14"/>
          <w:color w:val="auto"/>
        </w:rPr>
        <w:t>Non-cash interest expense (paid-in-kind)</w:t>
      </w:r>
    </w:p>
    <w:p>
      <w:pPr>
        <w:ind w:left="280"/>
        <w:spacing w:after="0" w:line="233" w:lineRule="auto"/>
        <w:rPr>
          <w:sz w:val="20"/>
          <w:szCs w:val="20"/>
          <w:color w:val="auto"/>
        </w:rPr>
      </w:pPr>
      <w:r>
        <w:rPr>
          <w:rFonts w:ascii="Times New Roman" w:cs="Times New Roman" w:eastAsia="Times New Roman" w:hAnsi="Times New Roman"/>
          <w:sz w:val="14"/>
          <w:szCs w:val="14"/>
          <w:color w:val="auto"/>
        </w:rPr>
        <w:t>Provision for doubtful accounts</w:t>
      </w:r>
    </w:p>
    <w:p>
      <w:pPr>
        <w:ind w:left="280"/>
        <w:spacing w:after="0" w:line="232" w:lineRule="auto"/>
        <w:rPr>
          <w:sz w:val="20"/>
          <w:szCs w:val="20"/>
          <w:color w:val="auto"/>
        </w:rPr>
      </w:pPr>
      <w:r>
        <w:rPr>
          <w:rFonts w:ascii="Times New Roman" w:cs="Times New Roman" w:eastAsia="Times New Roman" w:hAnsi="Times New Roman"/>
          <w:sz w:val="14"/>
          <w:szCs w:val="14"/>
          <w:color w:val="auto"/>
        </w:rPr>
        <w:t>Depreciation and amortization</w:t>
      </w:r>
    </w:p>
    <w:p>
      <w:pPr>
        <w:spacing w:after="0" w:line="1" w:lineRule="exact"/>
        <w:rPr>
          <w:sz w:val="20"/>
          <w:szCs w:val="20"/>
          <w:color w:val="auto"/>
        </w:rPr>
      </w:pPr>
    </w:p>
    <w:p>
      <w:pPr>
        <w:ind w:left="280" w:right="480"/>
        <w:spacing w:after="0" w:line="272" w:lineRule="auto"/>
        <w:rPr>
          <w:sz w:val="20"/>
          <w:szCs w:val="20"/>
          <w:color w:val="auto"/>
        </w:rPr>
      </w:pPr>
      <w:r>
        <w:rPr>
          <w:rFonts w:ascii="Times New Roman" w:cs="Times New Roman" w:eastAsia="Times New Roman" w:hAnsi="Times New Roman"/>
          <w:sz w:val="12"/>
          <w:szCs w:val="12"/>
          <w:color w:val="auto"/>
        </w:rPr>
        <w:t>Loss on disposal of property and equipment Assumption of Warrant Liability</w:t>
      </w:r>
    </w:p>
    <w:p>
      <w:pPr>
        <w:spacing w:after="0" w:line="233" w:lineRule="auto"/>
        <w:rPr>
          <w:sz w:val="20"/>
          <w:szCs w:val="20"/>
          <w:color w:val="auto"/>
        </w:rPr>
      </w:pPr>
      <w:r>
        <w:rPr>
          <w:rFonts w:ascii="Times New Roman" w:cs="Times New Roman" w:eastAsia="Times New Roman" w:hAnsi="Times New Roman"/>
          <w:sz w:val="14"/>
          <w:szCs w:val="14"/>
          <w:color w:val="auto"/>
        </w:rPr>
        <w:t>Changes in Assets and Liabilities</w:t>
      </w:r>
    </w:p>
    <w:p>
      <w:pPr>
        <w:ind w:left="140"/>
        <w:spacing w:after="0" w:line="232" w:lineRule="auto"/>
        <w:rPr>
          <w:sz w:val="20"/>
          <w:szCs w:val="20"/>
          <w:color w:val="auto"/>
        </w:rPr>
      </w:pPr>
      <w:r>
        <w:rPr>
          <w:rFonts w:ascii="Times New Roman" w:cs="Times New Roman" w:eastAsia="Times New Roman" w:hAnsi="Times New Roman"/>
          <w:sz w:val="14"/>
          <w:szCs w:val="14"/>
          <w:color w:val="auto"/>
        </w:rPr>
        <w:t>Accounts receivable</w:t>
      </w:r>
    </w:p>
    <w:p>
      <w:pPr>
        <w:ind w:left="140"/>
        <w:spacing w:after="0" w:line="235" w:lineRule="auto"/>
        <w:rPr>
          <w:sz w:val="20"/>
          <w:szCs w:val="20"/>
          <w:color w:val="auto"/>
        </w:rPr>
      </w:pPr>
      <w:r>
        <w:rPr>
          <w:rFonts w:ascii="Times New Roman" w:cs="Times New Roman" w:eastAsia="Times New Roman" w:hAnsi="Times New Roman"/>
          <w:sz w:val="14"/>
          <w:szCs w:val="14"/>
          <w:color w:val="auto"/>
        </w:rPr>
        <w:t>Inventories</w:t>
      </w:r>
    </w:p>
    <w:p>
      <w:pPr>
        <w:ind w:left="140"/>
        <w:spacing w:after="0" w:line="232" w:lineRule="auto"/>
        <w:rPr>
          <w:sz w:val="20"/>
          <w:szCs w:val="20"/>
          <w:color w:val="auto"/>
        </w:rPr>
      </w:pPr>
      <w:r>
        <w:rPr>
          <w:rFonts w:ascii="Times New Roman" w:cs="Times New Roman" w:eastAsia="Times New Roman" w:hAnsi="Times New Roman"/>
          <w:sz w:val="14"/>
          <w:szCs w:val="14"/>
          <w:color w:val="auto"/>
        </w:rPr>
        <w:t>Prepaid expenses</w:t>
      </w:r>
    </w:p>
    <w:p>
      <w:pPr>
        <w:ind w:left="140"/>
        <w:spacing w:after="0" w:line="233" w:lineRule="auto"/>
        <w:rPr>
          <w:sz w:val="20"/>
          <w:szCs w:val="20"/>
          <w:color w:val="auto"/>
        </w:rPr>
      </w:pPr>
      <w:r>
        <w:rPr>
          <w:rFonts w:ascii="Times New Roman" w:cs="Times New Roman" w:eastAsia="Times New Roman" w:hAnsi="Times New Roman"/>
          <w:sz w:val="14"/>
          <w:szCs w:val="14"/>
          <w:color w:val="auto"/>
        </w:rPr>
        <w:t>Prepaid inventory</w:t>
      </w:r>
    </w:p>
    <w:p>
      <w:pPr>
        <w:ind w:left="140"/>
        <w:spacing w:after="0" w:line="232" w:lineRule="auto"/>
        <w:rPr>
          <w:sz w:val="20"/>
          <w:szCs w:val="20"/>
          <w:color w:val="auto"/>
        </w:rPr>
      </w:pPr>
      <w:r>
        <w:rPr>
          <w:rFonts w:ascii="Times New Roman" w:cs="Times New Roman" w:eastAsia="Times New Roman" w:hAnsi="Times New Roman"/>
          <w:sz w:val="14"/>
          <w:szCs w:val="14"/>
          <w:color w:val="auto"/>
        </w:rPr>
        <w:t>Other current assets</w:t>
      </w:r>
    </w:p>
    <w:p>
      <w:pPr>
        <w:ind w:left="140"/>
        <w:spacing w:after="0" w:line="235" w:lineRule="auto"/>
        <w:rPr>
          <w:sz w:val="20"/>
          <w:szCs w:val="20"/>
          <w:color w:val="auto"/>
        </w:rPr>
      </w:pPr>
      <w:r>
        <w:rPr>
          <w:rFonts w:ascii="Times New Roman" w:cs="Times New Roman" w:eastAsia="Times New Roman" w:hAnsi="Times New Roman"/>
          <w:sz w:val="14"/>
          <w:szCs w:val="14"/>
          <w:color w:val="auto"/>
        </w:rPr>
        <w:t>Other assets</w:t>
      </w:r>
    </w:p>
    <w:p>
      <w:pPr>
        <w:ind w:left="140"/>
        <w:spacing w:after="0" w:line="232" w:lineRule="auto"/>
        <w:rPr>
          <w:sz w:val="20"/>
          <w:szCs w:val="20"/>
          <w:color w:val="auto"/>
        </w:rPr>
      </w:pPr>
      <w:r>
        <w:rPr>
          <w:rFonts w:ascii="Times New Roman" w:cs="Times New Roman" w:eastAsia="Times New Roman" w:hAnsi="Times New Roman"/>
          <w:sz w:val="14"/>
          <w:szCs w:val="14"/>
          <w:color w:val="auto"/>
        </w:rPr>
        <w:t>Income taxes payable</w:t>
      </w:r>
    </w:p>
    <w:p>
      <w:pPr>
        <w:ind w:left="140"/>
        <w:spacing w:after="0" w:line="233" w:lineRule="auto"/>
        <w:rPr>
          <w:sz w:val="20"/>
          <w:szCs w:val="20"/>
          <w:color w:val="auto"/>
        </w:rPr>
      </w:pPr>
      <w:r>
        <w:rPr>
          <w:rFonts w:ascii="Times New Roman" w:cs="Times New Roman" w:eastAsia="Times New Roman" w:hAnsi="Times New Roman"/>
          <w:sz w:val="14"/>
          <w:szCs w:val="14"/>
          <w:color w:val="auto"/>
        </w:rPr>
        <w:t>Accounts payable and accrued expenses</w:t>
      </w:r>
    </w:p>
    <w:p>
      <w:pPr>
        <w:ind w:left="140"/>
        <w:spacing w:after="0" w:line="234" w:lineRule="auto"/>
        <w:rPr>
          <w:sz w:val="20"/>
          <w:szCs w:val="20"/>
          <w:color w:val="auto"/>
        </w:rPr>
      </w:pPr>
      <w:r>
        <w:rPr>
          <w:rFonts w:ascii="Times New Roman" w:cs="Times New Roman" w:eastAsia="Times New Roman" w:hAnsi="Times New Roman"/>
          <w:sz w:val="14"/>
          <w:szCs w:val="14"/>
          <w:color w:val="auto"/>
        </w:rPr>
        <w:t>Uncertain tax position liability</w:t>
      </w:r>
    </w:p>
    <w:p>
      <w:pPr>
        <w:ind w:left="140"/>
        <w:spacing w:after="0"/>
        <w:rPr>
          <w:sz w:val="20"/>
          <w:szCs w:val="20"/>
          <w:color w:val="auto"/>
        </w:rPr>
      </w:pPr>
      <w:r>
        <w:rPr>
          <w:rFonts w:ascii="Times New Roman" w:cs="Times New Roman" w:eastAsia="Times New Roman" w:hAnsi="Times New Roman"/>
          <w:sz w:val="14"/>
          <w:szCs w:val="14"/>
          <w:color w:val="auto"/>
        </w:rPr>
        <w:t>Customer deposits</w:t>
      </w:r>
    </w:p>
    <w:p>
      <w:pPr>
        <w:ind w:left="280"/>
        <w:spacing w:after="0"/>
        <w:rPr>
          <w:sz w:val="20"/>
          <w:szCs w:val="20"/>
          <w:color w:val="auto"/>
        </w:rPr>
      </w:pPr>
      <w:r>
        <w:rPr>
          <w:rFonts w:ascii="Times New Roman" w:cs="Times New Roman" w:eastAsia="Times New Roman" w:hAnsi="Times New Roman"/>
          <w:sz w:val="14"/>
          <w:szCs w:val="14"/>
          <w:color w:val="auto"/>
        </w:rPr>
        <w:t>Total Adjustments</w:t>
      </w:r>
    </w:p>
    <w:p>
      <w:pPr>
        <w:spacing w:after="0" w:line="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Net Cash Used in Operating Activities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Flows From Investing Activities</w:t>
      </w:r>
    </w:p>
    <w:p>
      <w:pPr>
        <w:spacing w:after="0" w:line="15" w:lineRule="exact"/>
        <w:rPr>
          <w:sz w:val="20"/>
          <w:szCs w:val="20"/>
          <w:color w:val="auto"/>
        </w:rPr>
      </w:pPr>
    </w:p>
    <w:p>
      <w:pPr>
        <w:ind w:left="140" w:right="260"/>
        <w:spacing w:after="0" w:line="236" w:lineRule="auto"/>
        <w:rPr>
          <w:sz w:val="20"/>
          <w:szCs w:val="20"/>
          <w:color w:val="auto"/>
        </w:rPr>
      </w:pPr>
      <w:r>
        <w:rPr>
          <w:rFonts w:ascii="Times New Roman" w:cs="Times New Roman" w:eastAsia="Times New Roman" w:hAnsi="Times New Roman"/>
          <w:sz w:val="14"/>
          <w:szCs w:val="14"/>
          <w:color w:val="auto"/>
        </w:rPr>
        <w:t>Proceeds from disposal of property and equipment Purchase of property and equipment</w:t>
      </w:r>
    </w:p>
    <w:p>
      <w:pPr>
        <w:ind w:left="280"/>
        <w:spacing w:after="0"/>
        <w:rPr>
          <w:sz w:val="20"/>
          <w:szCs w:val="20"/>
          <w:color w:val="auto"/>
        </w:rPr>
      </w:pPr>
      <w:r>
        <w:rPr>
          <w:rFonts w:ascii="Times New Roman" w:cs="Times New Roman" w:eastAsia="Times New Roman" w:hAnsi="Times New Roman"/>
          <w:sz w:val="14"/>
          <w:szCs w:val="14"/>
          <w:color w:val="auto"/>
        </w:rPr>
        <w:t>Net Cash Used in Investing Activities</w:t>
      </w:r>
    </w:p>
    <w:p>
      <w:pPr>
        <w:spacing w:after="0" w:line="22" w:lineRule="exact"/>
        <w:rPr>
          <w:sz w:val="20"/>
          <w:szCs w:val="20"/>
          <w:color w:val="auto"/>
        </w:rPr>
      </w:pPr>
    </w:p>
    <w:p>
      <w:pPr>
        <w:ind w:left="140" w:right="780" w:hanging="136"/>
        <w:spacing w:after="0" w:line="236" w:lineRule="auto"/>
        <w:rPr>
          <w:sz w:val="20"/>
          <w:szCs w:val="20"/>
          <w:color w:val="auto"/>
        </w:rPr>
      </w:pPr>
      <w:r>
        <w:rPr>
          <w:rFonts w:ascii="Times New Roman" w:cs="Times New Roman" w:eastAsia="Times New Roman" w:hAnsi="Times New Roman"/>
          <w:sz w:val="14"/>
          <w:szCs w:val="14"/>
          <w:color w:val="auto"/>
        </w:rPr>
        <w:t>Cash Flows From Financing Activities Proceeds from term loan Proceeds from note payable Repayment from note payable Payments of debt issuance costs Proceeds from exercise of options Proceeds from stock purchase agreement Proceeds from revolving note agreement</w:t>
      </w:r>
    </w:p>
    <w:p>
      <w:pPr>
        <w:spacing w:after="0" w:line="20" w:lineRule="exact"/>
        <w:rPr>
          <w:sz w:val="20"/>
          <w:szCs w:val="20"/>
          <w:color w:val="auto"/>
        </w:rPr>
      </w:pPr>
      <w:r>
        <w:rPr>
          <w:sz w:val="20"/>
          <w:szCs w:val="20"/>
          <w:color w:val="auto"/>
        </w:rPr>
        <w:br w:type="column"/>
      </w:r>
    </w:p>
    <w:p>
      <w:pPr>
        <w:jc w:val="center"/>
        <w:ind w:right="3500"/>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7"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14"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14"/>
          <w:szCs w:val="14"/>
          <w:b w:val="1"/>
          <w:bCs w:val="1"/>
          <w:color w:val="auto"/>
        </w:rPr>
        <w:t>YEARS ENDED DECEMBER 31, 2022 AND 2021</w:t>
      </w:r>
    </w:p>
    <w:p>
      <w:pPr>
        <w:jc w:val="center"/>
        <w:ind w:right="35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40" w:lineRule="exact"/>
        <w:rPr>
          <w:sz w:val="20"/>
          <w:szCs w:val="20"/>
          <w:color w:val="auto"/>
        </w:rPr>
      </w:pPr>
    </w:p>
    <w:tbl>
      <w:tblPr>
        <w:tblLayout w:type="fixed"/>
        <w:tblInd w:w="3260" w:type="dxa"/>
        <w:tblCellMar>
          <w:top w:w="0" w:type="dxa"/>
          <w:left w:w="0" w:type="dxa"/>
          <w:bottom w:w="0" w:type="dxa"/>
          <w:right w:w="0" w:type="dxa"/>
        </w:tblCellMar>
      </w:tblPr>
      <w:tr>
        <w:trPr>
          <w:trHeight w:val="172"/>
        </w:trPr>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4"/>
                <w:szCs w:val="14"/>
                <w:color w:val="auto"/>
              </w:rPr>
            </w:pPr>
          </w:p>
        </w:tc>
      </w:tr>
      <w:tr>
        <w:trPr>
          <w:trHeight w:val="324"/>
        </w:trPr>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(39,571)</w:t>
            </w: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40" w:type="dxa"/>
            <w:vAlign w:val="bottom"/>
          </w:tcPr>
          <w:p>
            <w:pPr>
              <w:spacing w:after="0"/>
              <w:rPr>
                <w:sz w:val="24"/>
                <w:szCs w:val="24"/>
                <w:color w:val="auto"/>
              </w:rPr>
            </w:pPr>
          </w:p>
        </w:tc>
      </w:tr>
      <w:tr>
        <w:trPr>
          <w:trHeight w:val="454"/>
        </w:trPr>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40" w:type="dxa"/>
            <w:vAlign w:val="bottom"/>
          </w:tcPr>
          <w:p>
            <w:pPr>
              <w:spacing w:after="0"/>
              <w:rPr>
                <w:sz w:val="24"/>
                <w:szCs w:val="24"/>
                <w:color w:val="auto"/>
              </w:rPr>
            </w:pPr>
          </w:p>
        </w:tc>
      </w:tr>
      <w:tr>
        <w:trPr>
          <w:trHeight w:val="156"/>
        </w:trPr>
        <w:tc>
          <w:tcPr>
            <w:tcW w:w="3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4,824</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r>
      <w:tr>
        <w:trPr>
          <w:trHeight w:val="157"/>
        </w:trPr>
        <w:tc>
          <w:tcPr>
            <w:tcW w:w="340" w:type="dxa"/>
            <w:vAlign w:val="bottom"/>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1,822</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206</w:t>
            </w:r>
          </w:p>
        </w:tc>
        <w:tc>
          <w:tcPr>
            <w:tcW w:w="40" w:type="dxa"/>
            <w:vAlign w:val="bottom"/>
          </w:tcPr>
          <w:p>
            <w:pPr>
              <w:spacing w:after="0"/>
              <w:rPr>
                <w:sz w:val="13"/>
                <w:szCs w:val="13"/>
                <w:color w:val="auto"/>
              </w:rPr>
            </w:pPr>
          </w:p>
        </w:tc>
      </w:tr>
      <w:tr>
        <w:trPr>
          <w:trHeight w:val="156"/>
        </w:trPr>
        <w:tc>
          <w:tcPr>
            <w:tcW w:w="340" w:type="dxa"/>
            <w:vAlign w:val="bottom"/>
          </w:tcPr>
          <w:p>
            <w:pPr>
              <w:spacing w:after="0"/>
              <w:rPr>
                <w:sz w:val="13"/>
                <w:szCs w:val="13"/>
                <w:color w:val="auto"/>
              </w:rPr>
            </w:pPr>
          </w:p>
        </w:tc>
        <w:tc>
          <w:tcPr>
            <w:tcW w:w="1500" w:type="dxa"/>
            <w:vAlign w:val="bottom"/>
            <w:gridSpan w:val="3"/>
          </w:tcPr>
          <w:p>
            <w:pPr>
              <w:jc w:val="right"/>
              <w:ind w:right="260"/>
              <w:spacing w:after="0" w:line="156" w:lineRule="exact"/>
              <w:rPr>
                <w:sz w:val="20"/>
                <w:szCs w:val="20"/>
                <w:color w:val="auto"/>
              </w:rPr>
            </w:pPr>
            <w:r>
              <w:rPr>
                <w:rFonts w:ascii="Times New Roman" w:cs="Times New Roman" w:eastAsia="Times New Roman" w:hAnsi="Times New Roman"/>
                <w:sz w:val="14"/>
                <w:szCs w:val="14"/>
                <w:color w:val="auto"/>
              </w:rPr>
              <w:t>(5,446)</w:t>
            </w:r>
          </w:p>
        </w:tc>
        <w:tc>
          <w:tcPr>
            <w:tcW w:w="3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r>
      <w:tr>
        <w:trPr>
          <w:trHeight w:val="156"/>
        </w:trPr>
        <w:tc>
          <w:tcPr>
            <w:tcW w:w="340" w:type="dxa"/>
            <w:vAlign w:val="bottom"/>
          </w:tcPr>
          <w:p>
            <w:pPr>
              <w:spacing w:after="0"/>
              <w:rPr>
                <w:sz w:val="13"/>
                <w:szCs w:val="13"/>
                <w:color w:val="auto"/>
              </w:rPr>
            </w:pPr>
          </w:p>
        </w:tc>
        <w:tc>
          <w:tcPr>
            <w:tcW w:w="1500" w:type="dxa"/>
            <w:vAlign w:val="bottom"/>
            <w:gridSpan w:val="3"/>
          </w:tcPr>
          <w:p>
            <w:pPr>
              <w:jc w:val="right"/>
              <w:ind w:right="260"/>
              <w:spacing w:after="0" w:line="156" w:lineRule="exact"/>
              <w:rPr>
                <w:sz w:val="20"/>
                <w:szCs w:val="20"/>
                <w:color w:val="auto"/>
              </w:rPr>
            </w:pPr>
            <w:r>
              <w:rPr>
                <w:rFonts w:ascii="Times New Roman" w:cs="Times New Roman" w:eastAsia="Times New Roman" w:hAnsi="Times New Roman"/>
                <w:sz w:val="14"/>
                <w:szCs w:val="14"/>
                <w:color w:val="auto"/>
              </w:rPr>
              <w:t>(453)</w:t>
            </w:r>
          </w:p>
        </w:tc>
        <w:tc>
          <w:tcPr>
            <w:tcW w:w="3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122</w:t>
            </w:r>
          </w:p>
        </w:tc>
        <w:tc>
          <w:tcPr>
            <w:tcW w:w="40" w:type="dxa"/>
            <w:vAlign w:val="bottom"/>
          </w:tcPr>
          <w:p>
            <w:pPr>
              <w:spacing w:after="0"/>
              <w:rPr>
                <w:sz w:val="13"/>
                <w:szCs w:val="13"/>
                <w:color w:val="auto"/>
              </w:rPr>
            </w:pPr>
          </w:p>
        </w:tc>
      </w:tr>
      <w:tr>
        <w:trPr>
          <w:trHeight w:val="157"/>
        </w:trPr>
        <w:tc>
          <w:tcPr>
            <w:tcW w:w="340" w:type="dxa"/>
            <w:vAlign w:val="bottom"/>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1,192</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r>
      <w:tr>
        <w:trPr>
          <w:trHeight w:val="156"/>
        </w:trPr>
        <w:tc>
          <w:tcPr>
            <w:tcW w:w="3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108</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50</w:t>
            </w:r>
          </w:p>
        </w:tc>
        <w:tc>
          <w:tcPr>
            <w:tcW w:w="40" w:type="dxa"/>
            <w:vAlign w:val="bottom"/>
          </w:tcPr>
          <w:p>
            <w:pPr>
              <w:spacing w:after="0"/>
              <w:rPr>
                <w:sz w:val="13"/>
                <w:szCs w:val="13"/>
                <w:color w:val="auto"/>
              </w:rPr>
            </w:pPr>
          </w:p>
        </w:tc>
      </w:tr>
      <w:tr>
        <w:trPr>
          <w:trHeight w:val="156"/>
        </w:trPr>
        <w:tc>
          <w:tcPr>
            <w:tcW w:w="3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891</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617</w:t>
            </w:r>
          </w:p>
        </w:tc>
        <w:tc>
          <w:tcPr>
            <w:tcW w:w="40" w:type="dxa"/>
            <w:vAlign w:val="bottom"/>
          </w:tcPr>
          <w:p>
            <w:pPr>
              <w:spacing w:after="0"/>
              <w:rPr>
                <w:sz w:val="13"/>
                <w:szCs w:val="13"/>
                <w:color w:val="auto"/>
              </w:rPr>
            </w:pPr>
          </w:p>
        </w:tc>
      </w:tr>
      <w:tr>
        <w:trPr>
          <w:trHeight w:val="156"/>
        </w:trPr>
        <w:tc>
          <w:tcPr>
            <w:tcW w:w="3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124</w:t>
            </w:r>
          </w:p>
        </w:tc>
        <w:tc>
          <w:tcPr>
            <w:tcW w:w="40" w:type="dxa"/>
            <w:vAlign w:val="bottom"/>
          </w:tcPr>
          <w:p>
            <w:pPr>
              <w:spacing w:after="0"/>
              <w:rPr>
                <w:sz w:val="13"/>
                <w:szCs w:val="13"/>
                <w:color w:val="auto"/>
              </w:rPr>
            </w:pPr>
          </w:p>
        </w:tc>
      </w:tr>
      <w:tr>
        <w:trPr>
          <w:trHeight w:val="181"/>
        </w:trPr>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288"/>
        </w:trPr>
        <w:tc>
          <w:tcPr>
            <w:tcW w:w="340" w:type="dxa"/>
            <w:vAlign w:val="bottom"/>
          </w:tcPr>
          <w:p>
            <w:pPr>
              <w:spacing w:after="0"/>
              <w:rPr>
                <w:sz w:val="24"/>
                <w:szCs w:val="24"/>
                <w:color w:val="auto"/>
              </w:rPr>
            </w:pP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(769)</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40" w:type="dxa"/>
            <w:vAlign w:val="bottom"/>
          </w:tcPr>
          <w:p>
            <w:pPr>
              <w:spacing w:after="0"/>
              <w:rPr>
                <w:sz w:val="24"/>
                <w:szCs w:val="24"/>
                <w:color w:val="auto"/>
              </w:rPr>
            </w:pPr>
          </w:p>
        </w:tc>
      </w:tr>
      <w:tr>
        <w:trPr>
          <w:trHeight w:val="157"/>
        </w:trPr>
        <w:tc>
          <w:tcPr>
            <w:tcW w:w="340" w:type="dxa"/>
            <w:vAlign w:val="bottom"/>
          </w:tcPr>
          <w:p>
            <w:pPr>
              <w:spacing w:after="0"/>
              <w:rPr>
                <w:sz w:val="13"/>
                <w:szCs w:val="13"/>
                <w:color w:val="auto"/>
              </w:rPr>
            </w:pPr>
          </w:p>
        </w:tc>
        <w:tc>
          <w:tcPr>
            <w:tcW w:w="1500" w:type="dxa"/>
            <w:vAlign w:val="bottom"/>
            <w:gridSpan w:val="3"/>
          </w:tcPr>
          <w:p>
            <w:pPr>
              <w:jc w:val="right"/>
              <w:ind w:right="260"/>
              <w:spacing w:after="0" w:line="157" w:lineRule="exact"/>
              <w:rPr>
                <w:sz w:val="20"/>
                <w:szCs w:val="20"/>
                <w:color w:val="auto"/>
              </w:rPr>
            </w:pPr>
            <w:r>
              <w:rPr>
                <w:rFonts w:ascii="Times New Roman" w:cs="Times New Roman" w:eastAsia="Times New Roman" w:hAnsi="Times New Roman"/>
                <w:sz w:val="14"/>
                <w:szCs w:val="14"/>
                <w:color w:val="auto"/>
              </w:rPr>
              <w:t>(22,719)</w:t>
            </w:r>
          </w:p>
        </w:tc>
        <w:tc>
          <w:tcPr>
            <w:tcW w:w="360" w:type="dxa"/>
            <w:vAlign w:val="bottom"/>
          </w:tcPr>
          <w:p>
            <w:pPr>
              <w:spacing w:after="0"/>
              <w:rPr>
                <w:sz w:val="13"/>
                <w:szCs w:val="13"/>
                <w:color w:val="auto"/>
              </w:rPr>
            </w:pPr>
          </w:p>
        </w:tc>
        <w:tc>
          <w:tcPr>
            <w:tcW w:w="12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(21,179)</w:t>
            </w:r>
          </w:p>
        </w:tc>
      </w:tr>
      <w:tr>
        <w:trPr>
          <w:trHeight w:val="156"/>
        </w:trPr>
        <w:tc>
          <w:tcPr>
            <w:tcW w:w="340" w:type="dxa"/>
            <w:vAlign w:val="bottom"/>
          </w:tcPr>
          <w:p>
            <w:pPr>
              <w:spacing w:after="0"/>
              <w:rPr>
                <w:sz w:val="13"/>
                <w:szCs w:val="13"/>
                <w:color w:val="auto"/>
              </w:rPr>
            </w:pPr>
          </w:p>
        </w:tc>
        <w:tc>
          <w:tcPr>
            <w:tcW w:w="1500" w:type="dxa"/>
            <w:vAlign w:val="bottom"/>
            <w:gridSpan w:val="3"/>
          </w:tcPr>
          <w:p>
            <w:pPr>
              <w:jc w:val="right"/>
              <w:ind w:right="260"/>
              <w:spacing w:after="0" w:line="156" w:lineRule="exact"/>
              <w:rPr>
                <w:sz w:val="20"/>
                <w:szCs w:val="20"/>
                <w:color w:val="auto"/>
              </w:rPr>
            </w:pPr>
            <w:r>
              <w:rPr>
                <w:rFonts w:ascii="Times New Roman" w:cs="Times New Roman" w:eastAsia="Times New Roman" w:hAnsi="Times New Roman"/>
                <w:sz w:val="14"/>
                <w:szCs w:val="14"/>
                <w:color w:val="auto"/>
              </w:rPr>
              <w:t>(1,467)</w:t>
            </w:r>
          </w:p>
        </w:tc>
        <w:tc>
          <w:tcPr>
            <w:tcW w:w="3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58</w:t>
            </w:r>
          </w:p>
        </w:tc>
        <w:tc>
          <w:tcPr>
            <w:tcW w:w="40" w:type="dxa"/>
            <w:vAlign w:val="bottom"/>
          </w:tcPr>
          <w:p>
            <w:pPr>
              <w:spacing w:after="0"/>
              <w:rPr>
                <w:sz w:val="13"/>
                <w:szCs w:val="13"/>
                <w:color w:val="auto"/>
              </w:rPr>
            </w:pPr>
          </w:p>
        </w:tc>
      </w:tr>
      <w:tr>
        <w:trPr>
          <w:trHeight w:val="156"/>
        </w:trPr>
        <w:tc>
          <w:tcPr>
            <w:tcW w:w="3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5,459</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(6,353)</w:t>
            </w:r>
          </w:p>
        </w:tc>
      </w:tr>
      <w:tr>
        <w:trPr>
          <w:trHeight w:val="156"/>
        </w:trPr>
        <w:tc>
          <w:tcPr>
            <w:tcW w:w="3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1,520</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(1,214)</w:t>
            </w:r>
          </w:p>
        </w:tc>
      </w:tr>
      <w:tr>
        <w:trPr>
          <w:trHeight w:val="157"/>
        </w:trPr>
        <w:tc>
          <w:tcPr>
            <w:tcW w:w="340" w:type="dxa"/>
            <w:vAlign w:val="bottom"/>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1,196</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1,029</w:t>
            </w:r>
          </w:p>
        </w:tc>
        <w:tc>
          <w:tcPr>
            <w:tcW w:w="40" w:type="dxa"/>
            <w:vAlign w:val="bottom"/>
          </w:tcPr>
          <w:p>
            <w:pPr>
              <w:spacing w:after="0"/>
              <w:rPr>
                <w:sz w:val="13"/>
                <w:szCs w:val="13"/>
                <w:color w:val="auto"/>
              </w:rPr>
            </w:pPr>
          </w:p>
        </w:tc>
      </w:tr>
      <w:tr>
        <w:trPr>
          <w:trHeight w:val="156"/>
        </w:trPr>
        <w:tc>
          <w:tcPr>
            <w:tcW w:w="340" w:type="dxa"/>
            <w:vAlign w:val="bottom"/>
          </w:tcPr>
          <w:p>
            <w:pPr>
              <w:spacing w:after="0"/>
              <w:rPr>
                <w:sz w:val="13"/>
                <w:szCs w:val="13"/>
                <w:color w:val="auto"/>
              </w:rPr>
            </w:pPr>
          </w:p>
        </w:tc>
        <w:tc>
          <w:tcPr>
            <w:tcW w:w="1500" w:type="dxa"/>
            <w:vAlign w:val="bottom"/>
            <w:gridSpan w:val="3"/>
          </w:tcPr>
          <w:p>
            <w:pPr>
              <w:jc w:val="right"/>
              <w:ind w:right="260"/>
              <w:spacing w:after="0" w:line="156" w:lineRule="exact"/>
              <w:rPr>
                <w:sz w:val="20"/>
                <w:szCs w:val="20"/>
                <w:color w:val="auto"/>
              </w:rPr>
            </w:pPr>
            <w:r>
              <w:rPr>
                <w:rFonts w:ascii="Times New Roman" w:cs="Times New Roman" w:eastAsia="Times New Roman" w:hAnsi="Times New Roman"/>
                <w:sz w:val="14"/>
                <w:szCs w:val="14"/>
                <w:color w:val="auto"/>
              </w:rPr>
              <w:t>(1,156)</w:t>
            </w:r>
          </w:p>
        </w:tc>
        <w:tc>
          <w:tcPr>
            <w:tcW w:w="360" w:type="dxa"/>
            <w:vAlign w:val="bottom"/>
          </w:tcPr>
          <w:p>
            <w:pPr>
              <w:spacing w:after="0"/>
              <w:rPr>
                <w:sz w:val="13"/>
                <w:szCs w:val="13"/>
                <w:color w:val="auto"/>
              </w:rPr>
            </w:pPr>
          </w:p>
        </w:tc>
        <w:tc>
          <w:tcPr>
            <w:tcW w:w="12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(651)</w:t>
            </w:r>
          </w:p>
        </w:tc>
      </w:tr>
      <w:tr>
        <w:trPr>
          <w:trHeight w:val="156"/>
        </w:trPr>
        <w:tc>
          <w:tcPr>
            <w:tcW w:w="3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4,428</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8,903</w:t>
            </w:r>
          </w:p>
        </w:tc>
        <w:tc>
          <w:tcPr>
            <w:tcW w:w="40" w:type="dxa"/>
            <w:vAlign w:val="bottom"/>
          </w:tcPr>
          <w:p>
            <w:pPr>
              <w:spacing w:after="0"/>
              <w:rPr>
                <w:sz w:val="13"/>
                <w:szCs w:val="13"/>
                <w:color w:val="auto"/>
              </w:rPr>
            </w:pPr>
          </w:p>
        </w:tc>
      </w:tr>
      <w:tr>
        <w:trPr>
          <w:trHeight w:val="157"/>
        </w:trPr>
        <w:tc>
          <w:tcPr>
            <w:tcW w:w="340" w:type="dxa"/>
            <w:vAlign w:val="bottom"/>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128</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(19)</w:t>
            </w:r>
          </w:p>
        </w:tc>
      </w:tr>
      <w:tr>
        <w:trPr>
          <w:trHeight w:val="188"/>
        </w:trPr>
        <w:tc>
          <w:tcPr>
            <w:tcW w:w="340" w:type="dxa"/>
            <w:vAlign w:val="bottom"/>
          </w:tcPr>
          <w:p>
            <w:pPr>
              <w:spacing w:after="0"/>
              <w:rPr>
                <w:sz w:val="16"/>
                <w:szCs w:val="16"/>
                <w:color w:val="auto"/>
              </w:rPr>
            </w:pP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(196)</w:t>
            </w:r>
          </w:p>
        </w:tc>
        <w:tc>
          <w:tcPr>
            <w:tcW w:w="36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(1,345)</w:t>
            </w:r>
          </w:p>
        </w:tc>
      </w:tr>
      <w:tr>
        <w:trPr>
          <w:trHeight w:val="159"/>
        </w:trPr>
        <w:tc>
          <w:tcPr>
            <w:tcW w:w="3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(6,125)</w:t>
            </w:r>
          </w:p>
        </w:tc>
        <w:tc>
          <w:tcPr>
            <w:tcW w:w="2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(17,911)</w:t>
            </w:r>
          </w:p>
        </w:tc>
        <w:tc>
          <w:tcPr>
            <w:tcW w:w="40" w:type="dxa"/>
            <w:vAlign w:val="bottom"/>
          </w:tcPr>
          <w:p>
            <w:pPr>
              <w:spacing w:after="0"/>
              <w:rPr>
                <w:sz w:val="13"/>
                <w:szCs w:val="13"/>
                <w:color w:val="auto"/>
              </w:rPr>
            </w:pPr>
          </w:p>
        </w:tc>
      </w:tr>
      <w:tr>
        <w:trPr>
          <w:trHeight w:val="159"/>
        </w:trPr>
        <w:tc>
          <w:tcPr>
            <w:tcW w:w="3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(45,696</w:t>
            </w:r>
          </w:p>
        </w:tc>
        <w:tc>
          <w:tcPr>
            <w:tcW w:w="30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(13,573</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86"/>
        </w:trPr>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4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(6,862)</w:t>
            </w:r>
          </w:p>
        </w:tc>
        <w:tc>
          <w:tcPr>
            <w:tcW w:w="36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(2,970)</w:t>
            </w:r>
          </w:p>
        </w:tc>
      </w:tr>
      <w:tr>
        <w:trPr>
          <w:trHeight w:val="159"/>
        </w:trPr>
        <w:tc>
          <w:tcPr>
            <w:tcW w:w="3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(6,827)</w:t>
            </w:r>
          </w:p>
        </w:tc>
        <w:tc>
          <w:tcPr>
            <w:tcW w:w="300" w:type="dxa"/>
            <w:vAlign w:val="bottom"/>
            <w:gridSpan w:val="2"/>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(2,909)</w:t>
            </w:r>
          </w:p>
        </w:tc>
        <w:tc>
          <w:tcPr>
            <w:tcW w:w="40" w:type="dxa"/>
            <w:vAlign w:val="bottom"/>
          </w:tcPr>
          <w:p>
            <w:pPr>
              <w:spacing w:after="0"/>
              <w:rPr>
                <w:sz w:val="13"/>
                <w:szCs w:val="13"/>
                <w:color w:val="auto"/>
              </w:rPr>
            </w:pPr>
          </w:p>
        </w:tc>
      </w:tr>
      <w:tr>
        <w:trPr>
          <w:trHeight w:val="287"/>
        </w:trPr>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r>
      <w:tr>
        <w:trPr>
          <w:trHeight w:val="156"/>
        </w:trPr>
        <w:tc>
          <w:tcPr>
            <w:tcW w:w="3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45,000</w:t>
            </w:r>
          </w:p>
        </w:tc>
        <w:tc>
          <w:tcPr>
            <w:tcW w:w="40" w:type="dxa"/>
            <w:vAlign w:val="bottom"/>
          </w:tcPr>
          <w:p>
            <w:pPr>
              <w:spacing w:after="0"/>
              <w:rPr>
                <w:sz w:val="13"/>
                <w:szCs w:val="13"/>
                <w:color w:val="auto"/>
              </w:rPr>
            </w:pPr>
          </w:p>
        </w:tc>
      </w:tr>
      <w:tr>
        <w:trPr>
          <w:trHeight w:val="157"/>
        </w:trPr>
        <w:tc>
          <w:tcPr>
            <w:tcW w:w="340" w:type="dxa"/>
            <w:vAlign w:val="bottom"/>
          </w:tcPr>
          <w:p>
            <w:pPr>
              <w:spacing w:after="0"/>
              <w:rPr>
                <w:sz w:val="13"/>
                <w:szCs w:val="13"/>
                <w:color w:val="auto"/>
              </w:rPr>
            </w:pPr>
          </w:p>
        </w:tc>
        <w:tc>
          <w:tcPr>
            <w:tcW w:w="1500" w:type="dxa"/>
            <w:vAlign w:val="bottom"/>
            <w:gridSpan w:val="3"/>
          </w:tcPr>
          <w:p>
            <w:pPr>
              <w:jc w:val="right"/>
              <w:ind w:right="260"/>
              <w:spacing w:after="0" w:line="157" w:lineRule="exact"/>
              <w:rPr>
                <w:sz w:val="20"/>
                <w:szCs w:val="20"/>
                <w:color w:val="auto"/>
              </w:rPr>
            </w:pPr>
            <w:r>
              <w:rPr>
                <w:rFonts w:ascii="Times New Roman" w:cs="Times New Roman" w:eastAsia="Times New Roman" w:hAnsi="Times New Roman"/>
                <w:sz w:val="14"/>
                <w:szCs w:val="14"/>
                <w:color w:val="auto"/>
              </w:rPr>
              <w:t>(45,000)</w:t>
            </w:r>
          </w:p>
        </w:tc>
        <w:tc>
          <w:tcPr>
            <w:tcW w:w="360" w:type="dxa"/>
            <w:vAlign w:val="bottom"/>
          </w:tcPr>
          <w:p>
            <w:pPr>
              <w:spacing w:after="0"/>
              <w:rPr>
                <w:sz w:val="13"/>
                <w:szCs w:val="13"/>
                <w:color w:val="auto"/>
              </w:rPr>
            </w:pPr>
          </w:p>
        </w:tc>
        <w:tc>
          <w:tcPr>
            <w:tcW w:w="11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r>
      <w:tr>
        <w:trPr>
          <w:trHeight w:val="156"/>
        </w:trPr>
        <w:tc>
          <w:tcPr>
            <w:tcW w:w="340" w:type="dxa"/>
            <w:vAlign w:val="bottom"/>
          </w:tcPr>
          <w:p>
            <w:pPr>
              <w:spacing w:after="0"/>
              <w:rPr>
                <w:sz w:val="13"/>
                <w:szCs w:val="13"/>
                <w:color w:val="auto"/>
              </w:rPr>
            </w:pPr>
          </w:p>
        </w:tc>
        <w:tc>
          <w:tcPr>
            <w:tcW w:w="1500" w:type="dxa"/>
            <w:vAlign w:val="bottom"/>
            <w:gridSpan w:val="3"/>
          </w:tcPr>
          <w:p>
            <w:pPr>
              <w:jc w:val="right"/>
              <w:ind w:right="260"/>
              <w:spacing w:after="0" w:line="156" w:lineRule="exact"/>
              <w:rPr>
                <w:sz w:val="20"/>
                <w:szCs w:val="20"/>
                <w:color w:val="auto"/>
              </w:rPr>
            </w:pPr>
            <w:r>
              <w:rPr>
                <w:rFonts w:ascii="Times New Roman" w:cs="Times New Roman" w:eastAsia="Times New Roman" w:hAnsi="Times New Roman"/>
                <w:sz w:val="14"/>
                <w:szCs w:val="14"/>
                <w:color w:val="auto"/>
              </w:rPr>
              <w:t>(4,032)</w:t>
            </w:r>
          </w:p>
        </w:tc>
        <w:tc>
          <w:tcPr>
            <w:tcW w:w="360" w:type="dxa"/>
            <w:vAlign w:val="bottom"/>
          </w:tcPr>
          <w:p>
            <w:pPr>
              <w:spacing w:after="0"/>
              <w:rPr>
                <w:sz w:val="13"/>
                <w:szCs w:val="13"/>
                <w:color w:val="auto"/>
              </w:rPr>
            </w:pPr>
          </w:p>
        </w:tc>
        <w:tc>
          <w:tcPr>
            <w:tcW w:w="12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(6,278)</w:t>
            </w:r>
          </w:p>
        </w:tc>
      </w:tr>
      <w:tr>
        <w:trPr>
          <w:trHeight w:val="156"/>
        </w:trPr>
        <w:tc>
          <w:tcPr>
            <w:tcW w:w="3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706</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184</w:t>
            </w:r>
          </w:p>
        </w:tc>
        <w:tc>
          <w:tcPr>
            <w:tcW w:w="40" w:type="dxa"/>
            <w:vAlign w:val="bottom"/>
          </w:tcPr>
          <w:p>
            <w:pPr>
              <w:spacing w:after="0"/>
              <w:rPr>
                <w:sz w:val="13"/>
                <w:szCs w:val="13"/>
                <w:color w:val="auto"/>
              </w:rPr>
            </w:pPr>
          </w:p>
        </w:tc>
      </w:tr>
      <w:tr>
        <w:trPr>
          <w:trHeight w:val="157"/>
        </w:trPr>
        <w:tc>
          <w:tcPr>
            <w:tcW w:w="340" w:type="dxa"/>
            <w:vAlign w:val="bottom"/>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15,000</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r>
      <w:tr>
        <w:trPr>
          <w:trHeight w:val="174"/>
        </w:trPr>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-2223135</wp:posOffset>
                </wp:positionH>
                <wp:positionV relativeFrom="paragraph">
                  <wp:posOffset>-3973830</wp:posOffset>
                </wp:positionV>
                <wp:extent cx="6503035" cy="106045"/>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106045"/>
                        </a:xfrm>
                        <a:prstGeom prst="rect">
                          <a:avLst/>
                        </a:prstGeom>
                        <a:solidFill>
                          <a:srgbClr val="D1EEF5"/>
                        </a:solidFill>
                      </wps:spPr>
                      <wps:bodyPr/>
                    </wps:wsp>
                  </a:graphicData>
                </a:graphic>
              </wp:anchor>
            </w:drawing>
          </mc:Choice>
          <mc:Fallback>
            <w:pict>
              <v:rect id="Shape 110" o:spid="_x0000_s1135" style="position:absolute;margin-left:-175.0499pt;margin-top:-312.8999pt;width:512.05pt;height:8.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-2223135</wp:posOffset>
                </wp:positionH>
                <wp:positionV relativeFrom="paragraph">
                  <wp:posOffset>-3755390</wp:posOffset>
                </wp:positionV>
                <wp:extent cx="6503035" cy="205105"/>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205105"/>
                        </a:xfrm>
                        <a:prstGeom prst="rect">
                          <a:avLst/>
                        </a:prstGeom>
                        <a:solidFill>
                          <a:srgbClr val="D1EEF5"/>
                        </a:solidFill>
                      </wps:spPr>
                      <wps:bodyPr/>
                    </wps:wsp>
                  </a:graphicData>
                </a:graphic>
              </wp:anchor>
            </w:drawing>
          </mc:Choice>
          <mc:Fallback>
            <w:pict>
              <v:rect id="Shape 111" o:spid="_x0000_s1136" style="position:absolute;margin-left:-175.0499pt;margin-top:-295.6999pt;width:512.05pt;height:16.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-2223135</wp:posOffset>
                </wp:positionH>
                <wp:positionV relativeFrom="paragraph">
                  <wp:posOffset>-3451860</wp:posOffset>
                </wp:positionV>
                <wp:extent cx="6503035" cy="9906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99060"/>
                        </a:xfrm>
                        <a:prstGeom prst="rect">
                          <a:avLst/>
                        </a:prstGeom>
                        <a:solidFill>
                          <a:srgbClr val="D1EEF5"/>
                        </a:solidFill>
                      </wps:spPr>
                      <wps:bodyPr/>
                    </wps:wsp>
                  </a:graphicData>
                </a:graphic>
              </wp:anchor>
            </w:drawing>
          </mc:Choice>
          <mc:Fallback>
            <w:pict>
              <v:rect id="Shape 112" o:spid="_x0000_s1137" style="position:absolute;margin-left:-175.0499pt;margin-top:-271.7999pt;width:512.05pt;height:7.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-2223135</wp:posOffset>
                </wp:positionH>
                <wp:positionV relativeFrom="paragraph">
                  <wp:posOffset>-3253105</wp:posOffset>
                </wp:positionV>
                <wp:extent cx="6503035" cy="9906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99060"/>
                        </a:xfrm>
                        <a:prstGeom prst="rect">
                          <a:avLst/>
                        </a:prstGeom>
                        <a:solidFill>
                          <a:srgbClr val="D1EEF5"/>
                        </a:solidFill>
                      </wps:spPr>
                      <wps:bodyPr/>
                    </wps:wsp>
                  </a:graphicData>
                </a:graphic>
              </wp:anchor>
            </w:drawing>
          </mc:Choice>
          <mc:Fallback>
            <w:pict>
              <v:rect id="Shape 113" o:spid="_x0000_s1138" style="position:absolute;margin-left:-175.0499pt;margin-top:-256.1499pt;width:512.05pt;height:7.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-2223135</wp:posOffset>
                </wp:positionH>
                <wp:positionV relativeFrom="paragraph">
                  <wp:posOffset>-3054985</wp:posOffset>
                </wp:positionV>
                <wp:extent cx="6503035" cy="99695"/>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99695"/>
                        </a:xfrm>
                        <a:prstGeom prst="rect">
                          <a:avLst/>
                        </a:prstGeom>
                        <a:solidFill>
                          <a:srgbClr val="D1EEF5"/>
                        </a:solidFill>
                      </wps:spPr>
                      <wps:bodyPr/>
                    </wps:wsp>
                  </a:graphicData>
                </a:graphic>
              </wp:anchor>
            </w:drawing>
          </mc:Choice>
          <mc:Fallback>
            <w:pict>
              <v:rect id="Shape 114" o:spid="_x0000_s1139" style="position:absolute;margin-left:-175.0499pt;margin-top:-240.5499pt;width:512.05pt;height:7.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-2223135</wp:posOffset>
                </wp:positionH>
                <wp:positionV relativeFrom="paragraph">
                  <wp:posOffset>-2856230</wp:posOffset>
                </wp:positionV>
                <wp:extent cx="6503035" cy="9906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99060"/>
                        </a:xfrm>
                        <a:prstGeom prst="rect">
                          <a:avLst/>
                        </a:prstGeom>
                        <a:solidFill>
                          <a:srgbClr val="D1EEF5"/>
                        </a:solidFill>
                      </wps:spPr>
                      <wps:bodyPr/>
                    </wps:wsp>
                  </a:graphicData>
                </a:graphic>
              </wp:anchor>
            </w:drawing>
          </mc:Choice>
          <mc:Fallback>
            <w:pict>
              <v:rect id="Shape 115" o:spid="_x0000_s1140" style="position:absolute;margin-left:-175.0499pt;margin-top:-224.8999pt;width:512.05pt;height:7.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-2223135</wp:posOffset>
                </wp:positionH>
                <wp:positionV relativeFrom="paragraph">
                  <wp:posOffset>-2658110</wp:posOffset>
                </wp:positionV>
                <wp:extent cx="6503035" cy="10033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100330"/>
                        </a:xfrm>
                        <a:prstGeom prst="rect">
                          <a:avLst/>
                        </a:prstGeom>
                        <a:solidFill>
                          <a:srgbClr val="D1EEF5"/>
                        </a:solidFill>
                      </wps:spPr>
                      <wps:bodyPr/>
                    </wps:wsp>
                  </a:graphicData>
                </a:graphic>
              </wp:anchor>
            </w:drawing>
          </mc:Choice>
          <mc:Fallback>
            <w:pict>
              <v:rect id="Shape 116" o:spid="_x0000_s1141" style="position:absolute;margin-left:-175.0499pt;margin-top:-209.2999pt;width:512.05pt;height:7.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-2223135</wp:posOffset>
                </wp:positionH>
                <wp:positionV relativeFrom="paragraph">
                  <wp:posOffset>-2458720</wp:posOffset>
                </wp:positionV>
                <wp:extent cx="6503035" cy="9906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99060"/>
                        </a:xfrm>
                        <a:prstGeom prst="rect">
                          <a:avLst/>
                        </a:prstGeom>
                        <a:solidFill>
                          <a:srgbClr val="D1EEF5"/>
                        </a:solidFill>
                      </wps:spPr>
                      <wps:bodyPr/>
                    </wps:wsp>
                  </a:graphicData>
                </a:graphic>
              </wp:anchor>
            </w:drawing>
          </mc:Choice>
          <mc:Fallback>
            <w:pict>
              <v:rect id="Shape 117" o:spid="_x0000_s1142" style="position:absolute;margin-left:-175.0499pt;margin-top:-193.5999pt;width:512.05pt;height:7.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-2223135</wp:posOffset>
                </wp:positionH>
                <wp:positionV relativeFrom="paragraph">
                  <wp:posOffset>-2359660</wp:posOffset>
                </wp:positionV>
                <wp:extent cx="6503035" cy="99695"/>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99695"/>
                        </a:xfrm>
                        <a:prstGeom prst="rect">
                          <a:avLst/>
                        </a:prstGeom>
                        <a:solidFill>
                          <a:srgbClr val="FFFFFF"/>
                        </a:solidFill>
                      </wps:spPr>
                      <wps:bodyPr/>
                    </wps:wsp>
                  </a:graphicData>
                </a:graphic>
              </wp:anchor>
            </w:drawing>
          </mc:Choice>
          <mc:Fallback>
            <w:pict>
              <v:rect id="Shape 118" o:spid="_x0000_s1143" style="position:absolute;margin-left:-175.0499pt;margin-top:-185.7999pt;width:512.05pt;height:7.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-2223135</wp:posOffset>
                </wp:positionH>
                <wp:positionV relativeFrom="paragraph">
                  <wp:posOffset>-2259965</wp:posOffset>
                </wp:positionV>
                <wp:extent cx="6503035" cy="9906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99060"/>
                        </a:xfrm>
                        <a:prstGeom prst="rect">
                          <a:avLst/>
                        </a:prstGeom>
                        <a:solidFill>
                          <a:srgbClr val="D1EEF5"/>
                        </a:solidFill>
                      </wps:spPr>
                      <wps:bodyPr/>
                    </wps:wsp>
                  </a:graphicData>
                </a:graphic>
              </wp:anchor>
            </w:drawing>
          </mc:Choice>
          <mc:Fallback>
            <w:pict>
              <v:rect id="Shape 119" o:spid="_x0000_s1144" style="position:absolute;margin-left:-175.0499pt;margin-top:-177.9499pt;width:512.05pt;height:7.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-2223135</wp:posOffset>
                </wp:positionH>
                <wp:positionV relativeFrom="paragraph">
                  <wp:posOffset>-2061845</wp:posOffset>
                </wp:positionV>
                <wp:extent cx="6503035" cy="9906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99060"/>
                        </a:xfrm>
                        <a:prstGeom prst="rect">
                          <a:avLst/>
                        </a:prstGeom>
                        <a:solidFill>
                          <a:srgbClr val="D1EEF5"/>
                        </a:solidFill>
                      </wps:spPr>
                      <wps:bodyPr/>
                    </wps:wsp>
                  </a:graphicData>
                </a:graphic>
              </wp:anchor>
            </w:drawing>
          </mc:Choice>
          <mc:Fallback>
            <w:pict>
              <v:rect id="Shape 120" o:spid="_x0000_s1145" style="position:absolute;margin-left:-175.0499pt;margin-top:-162.3499pt;width:512.05pt;height:7.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-2223135</wp:posOffset>
                </wp:positionH>
                <wp:positionV relativeFrom="paragraph">
                  <wp:posOffset>-1863090</wp:posOffset>
                </wp:positionV>
                <wp:extent cx="6503035" cy="9906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99060"/>
                        </a:xfrm>
                        <a:prstGeom prst="rect">
                          <a:avLst/>
                        </a:prstGeom>
                        <a:solidFill>
                          <a:srgbClr val="D1EEF5"/>
                        </a:solidFill>
                      </wps:spPr>
                      <wps:bodyPr/>
                    </wps:wsp>
                  </a:graphicData>
                </a:graphic>
              </wp:anchor>
            </w:drawing>
          </mc:Choice>
          <mc:Fallback>
            <w:pict>
              <v:rect id="Shape 121" o:spid="_x0000_s1146" style="position:absolute;margin-left:-175.0499pt;margin-top:-146.6999pt;width:512.05pt;height:7.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-2223135</wp:posOffset>
                </wp:positionH>
                <wp:positionV relativeFrom="paragraph">
                  <wp:posOffset>-1664970</wp:posOffset>
                </wp:positionV>
                <wp:extent cx="6503035" cy="99695"/>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99695"/>
                        </a:xfrm>
                        <a:prstGeom prst="rect">
                          <a:avLst/>
                        </a:prstGeom>
                        <a:solidFill>
                          <a:srgbClr val="D1EEF5"/>
                        </a:solidFill>
                      </wps:spPr>
                      <wps:bodyPr/>
                    </wps:wsp>
                  </a:graphicData>
                </a:graphic>
              </wp:anchor>
            </w:drawing>
          </mc:Choice>
          <mc:Fallback>
            <w:pict>
              <v:rect id="Shape 122" o:spid="_x0000_s1147" style="position:absolute;margin-left:-175.0499pt;margin-top:-131.0999pt;width:512.05pt;height:7.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-2223135</wp:posOffset>
                </wp:positionH>
                <wp:positionV relativeFrom="paragraph">
                  <wp:posOffset>-1452880</wp:posOffset>
                </wp:positionV>
                <wp:extent cx="6503035" cy="11176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111760"/>
                        </a:xfrm>
                        <a:prstGeom prst="rect">
                          <a:avLst/>
                        </a:prstGeom>
                        <a:solidFill>
                          <a:srgbClr val="D1EEF5"/>
                        </a:solidFill>
                      </wps:spPr>
                      <wps:bodyPr/>
                    </wps:wsp>
                  </a:graphicData>
                </a:graphic>
              </wp:anchor>
            </w:drawing>
          </mc:Choice>
          <mc:Fallback>
            <w:pict>
              <v:rect id="Shape 123" o:spid="_x0000_s1148" style="position:absolute;margin-left:-175.0499pt;margin-top:-114.3999pt;width:512.05pt;height:8.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-2223135</wp:posOffset>
                </wp:positionH>
                <wp:positionV relativeFrom="paragraph">
                  <wp:posOffset>-1228725</wp:posOffset>
                </wp:positionV>
                <wp:extent cx="6503035" cy="10541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105410"/>
                        </a:xfrm>
                        <a:prstGeom prst="rect">
                          <a:avLst/>
                        </a:prstGeom>
                        <a:solidFill>
                          <a:srgbClr val="D1EEF5"/>
                        </a:solidFill>
                      </wps:spPr>
                      <wps:bodyPr/>
                    </wps:wsp>
                  </a:graphicData>
                </a:graphic>
              </wp:anchor>
            </w:drawing>
          </mc:Choice>
          <mc:Fallback>
            <w:pict>
              <v:rect id="Shape 124" o:spid="_x0000_s1149" style="position:absolute;margin-left:-175.0499pt;margin-top:-96.7499pt;width:512.05pt;height:8.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-2223135</wp:posOffset>
                </wp:positionH>
                <wp:positionV relativeFrom="paragraph">
                  <wp:posOffset>-1023620</wp:posOffset>
                </wp:positionV>
                <wp:extent cx="6503035" cy="112395"/>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112395"/>
                        </a:xfrm>
                        <a:prstGeom prst="rect">
                          <a:avLst/>
                        </a:prstGeom>
                        <a:solidFill>
                          <a:srgbClr val="D1EEF5"/>
                        </a:solidFill>
                      </wps:spPr>
                      <wps:bodyPr/>
                    </wps:wsp>
                  </a:graphicData>
                </a:graphic>
              </wp:anchor>
            </w:drawing>
          </mc:Choice>
          <mc:Fallback>
            <w:pict>
              <v:rect id="Shape 125" o:spid="_x0000_s1150" style="position:absolute;margin-left:-175.0499pt;margin-top:-80.5999pt;width:512.05pt;height:8.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-2223135</wp:posOffset>
                </wp:positionH>
                <wp:positionV relativeFrom="paragraph">
                  <wp:posOffset>-799465</wp:posOffset>
                </wp:positionV>
                <wp:extent cx="6503035" cy="106045"/>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106045"/>
                        </a:xfrm>
                        <a:prstGeom prst="rect">
                          <a:avLst/>
                        </a:prstGeom>
                        <a:solidFill>
                          <a:srgbClr val="D1EEF5"/>
                        </a:solidFill>
                      </wps:spPr>
                      <wps:bodyPr/>
                    </wps:wsp>
                  </a:graphicData>
                </a:graphic>
              </wp:anchor>
            </w:drawing>
          </mc:Choice>
          <mc:Fallback>
            <w:pict>
              <v:rect id="Shape 126" o:spid="_x0000_s1151" style="position:absolute;margin-left:-175.0499pt;margin-top:-62.9499pt;width:512.05pt;height:8.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-2223135</wp:posOffset>
                </wp:positionH>
                <wp:positionV relativeFrom="paragraph">
                  <wp:posOffset>-594360</wp:posOffset>
                </wp:positionV>
                <wp:extent cx="6503035" cy="9906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99060"/>
                        </a:xfrm>
                        <a:prstGeom prst="rect">
                          <a:avLst/>
                        </a:prstGeom>
                        <a:solidFill>
                          <a:srgbClr val="D1EEF5"/>
                        </a:solidFill>
                      </wps:spPr>
                      <wps:bodyPr/>
                    </wps:wsp>
                  </a:graphicData>
                </a:graphic>
              </wp:anchor>
            </w:drawing>
          </mc:Choice>
          <mc:Fallback>
            <w:pict>
              <v:rect id="Shape 127" o:spid="_x0000_s1152" style="position:absolute;margin-left:-175.0499pt;margin-top:-46.7999pt;width:512.05pt;height:7.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-2223135</wp:posOffset>
                </wp:positionH>
                <wp:positionV relativeFrom="paragraph">
                  <wp:posOffset>-395605</wp:posOffset>
                </wp:positionV>
                <wp:extent cx="6503035" cy="9906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99060"/>
                        </a:xfrm>
                        <a:prstGeom prst="rect">
                          <a:avLst/>
                        </a:prstGeom>
                        <a:solidFill>
                          <a:srgbClr val="D1EEF5"/>
                        </a:solidFill>
                      </wps:spPr>
                      <wps:bodyPr/>
                    </wps:wsp>
                  </a:graphicData>
                </a:graphic>
              </wp:anchor>
            </w:drawing>
          </mc:Choice>
          <mc:Fallback>
            <w:pict>
              <v:rect id="Shape 128" o:spid="_x0000_s1153" style="position:absolute;margin-left:-175.0499pt;margin-top:-31.1499pt;width:512.05pt;height:7.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-2223135</wp:posOffset>
                </wp:positionH>
                <wp:positionV relativeFrom="paragraph">
                  <wp:posOffset>-197485</wp:posOffset>
                </wp:positionV>
                <wp:extent cx="6503035" cy="99695"/>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035" cy="99695"/>
                        </a:xfrm>
                        <a:prstGeom prst="rect">
                          <a:avLst/>
                        </a:prstGeom>
                        <a:solidFill>
                          <a:srgbClr val="D1EEF5"/>
                        </a:solidFill>
                      </wps:spPr>
                      <wps:bodyPr/>
                    </wps:wsp>
                  </a:graphicData>
                </a:graphic>
              </wp:anchor>
            </w:drawing>
          </mc:Choice>
          <mc:Fallback>
            <w:pict>
              <v:rect id="Shape 129" o:spid="_x0000_s1154" style="position:absolute;margin-left:-175.0499pt;margin-top:-15.5499pt;width:512.05pt;height:7.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spacing w:after="0" w:line="1" w:lineRule="exact"/>
        <w:rPr>
          <w:sz w:val="20"/>
          <w:szCs w:val="20"/>
          <w:color w:val="auto"/>
        </w:rPr>
      </w:pPr>
    </w:p>
    <w:p>
      <w:pPr>
        <w:sectPr>
          <w:pgSz w:w="12240" w:h="15840" w:orient="portrait"/>
          <w:cols w:equalWidth="0" w:num="2">
            <w:col w:w="3140" w:space="360"/>
            <w:col w:w="6740"/>
          </w:cols>
          <w:pgMar w:left="1000" w:top="1208" w:right="1000" w:bottom="1440" w:gutter="0" w:footer="0" w:header="0"/>
        </w:sectPr>
      </w:pPr>
    </w:p>
    <w:tbl>
      <w:tblPr>
        <w:tblLayout w:type="fixed"/>
        <w:tblInd w:w="0" w:type="dxa"/>
        <w:tblCellMar>
          <w:top w:w="0" w:type="dxa"/>
          <w:left w:w="0" w:type="dxa"/>
          <w:bottom w:w="0" w:type="dxa"/>
          <w:right w:w="0" w:type="dxa"/>
        </w:tblCellMar>
      </w:tblPr>
      <w:tr>
        <w:trPr>
          <w:trHeight w:val="178"/>
        </w:trPr>
        <w:tc>
          <w:tcPr>
            <w:tcW w:w="5740" w:type="dxa"/>
            <w:vAlign w:val="bottom"/>
            <w:shd w:val="clear" w:color="auto" w:fill="D1EEF5"/>
          </w:tcPr>
          <w:p>
            <w:pPr>
              <w:ind w:left="140"/>
              <w:spacing w:after="0" w:line="158" w:lineRule="exact"/>
              <w:rPr>
                <w:sz w:val="20"/>
                <w:szCs w:val="20"/>
                <w:color w:val="auto"/>
              </w:rPr>
            </w:pPr>
            <w:r>
              <w:rPr>
                <w:rFonts w:ascii="Times New Roman" w:cs="Times New Roman" w:eastAsia="Times New Roman" w:hAnsi="Times New Roman"/>
                <w:sz w:val="14"/>
                <w:szCs w:val="14"/>
                <w:color w:val="auto"/>
              </w:rPr>
              <w:t>Repayments of revolving note agreement</w:t>
            </w:r>
          </w:p>
        </w:tc>
        <w:tc>
          <w:tcPr>
            <w:tcW w:w="1020" w:type="dxa"/>
            <w:vAlign w:val="bottom"/>
            <w:shd w:val="clear" w:color="auto" w:fill="D1EEF5"/>
          </w:tcPr>
          <w:p>
            <w:pPr>
              <w:spacing w:after="0"/>
              <w:rPr>
                <w:sz w:val="15"/>
                <w:szCs w:val="15"/>
                <w:color w:val="auto"/>
              </w:rPr>
            </w:pPr>
          </w:p>
        </w:tc>
        <w:tc>
          <w:tcPr>
            <w:tcW w:w="600" w:type="dxa"/>
            <w:vAlign w:val="bottom"/>
            <w:shd w:val="clear" w:color="auto" w:fill="D1EEF5"/>
          </w:tcPr>
          <w:p>
            <w:pPr>
              <w:spacing w:after="0"/>
              <w:rPr>
                <w:sz w:val="15"/>
                <w:szCs w:val="15"/>
                <w:color w:val="auto"/>
              </w:rPr>
            </w:pPr>
          </w:p>
        </w:tc>
        <w:tc>
          <w:tcPr>
            <w:tcW w:w="940" w:type="dxa"/>
            <w:vAlign w:val="bottom"/>
            <w:shd w:val="clear" w:color="auto" w:fill="D1EEF5"/>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1EEF5"/>
          </w:tcPr>
          <w:p>
            <w:pPr>
              <w:spacing w:after="0"/>
              <w:rPr>
                <w:sz w:val="15"/>
                <w:szCs w:val="15"/>
                <w:color w:val="auto"/>
              </w:rPr>
            </w:pPr>
          </w:p>
        </w:tc>
        <w:tc>
          <w:tcPr>
            <w:tcW w:w="620" w:type="dxa"/>
            <w:vAlign w:val="bottom"/>
            <w:shd w:val="clear" w:color="auto" w:fill="D1EEF5"/>
          </w:tcPr>
          <w:p>
            <w:pPr>
              <w:spacing w:after="0"/>
              <w:rPr>
                <w:sz w:val="15"/>
                <w:szCs w:val="15"/>
                <w:color w:val="auto"/>
              </w:rPr>
            </w:pPr>
          </w:p>
        </w:tc>
        <w:tc>
          <w:tcPr>
            <w:tcW w:w="1020" w:type="dxa"/>
            <w:vAlign w:val="bottom"/>
            <w:gridSpan w:val="2"/>
            <w:shd w:val="clear" w:color="auto" w:fill="D1EEF5"/>
          </w:tcPr>
          <w:p>
            <w:pPr>
              <w:jc w:val="right"/>
              <w:ind w:right="60"/>
              <w:spacing w:after="0" w:line="158" w:lineRule="exact"/>
              <w:rPr>
                <w:sz w:val="20"/>
                <w:szCs w:val="20"/>
                <w:color w:val="auto"/>
              </w:rPr>
            </w:pPr>
            <w:r>
              <w:rPr>
                <w:rFonts w:ascii="Times New Roman" w:cs="Times New Roman" w:eastAsia="Times New Roman" w:hAnsi="Times New Roman"/>
                <w:sz w:val="14"/>
                <w:szCs w:val="14"/>
                <w:color w:val="auto"/>
              </w:rPr>
              <w:t>(5,000)</w:t>
            </w:r>
          </w:p>
        </w:tc>
      </w:tr>
      <w:tr>
        <w:trPr>
          <w:trHeight w:val="144"/>
        </w:trPr>
        <w:tc>
          <w:tcPr>
            <w:tcW w:w="5740" w:type="dxa"/>
            <w:vAlign w:val="bottom"/>
            <w:tcBorders>
              <w:top w:val="single" w:sz="8" w:color="D1EEF5"/>
              <w:bottom w:val="single" w:sz="8" w:color="D1EEF5"/>
            </w:tcBorders>
          </w:tcPr>
          <w:p>
            <w:pPr>
              <w:ind w:left="280"/>
              <w:spacing w:after="0" w:line="139"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20" w:type="dxa"/>
            <w:vAlign w:val="bottom"/>
            <w:tcBorders>
              <w:top w:val="single" w:sz="8" w:color="D1EEF5"/>
              <w:bottom w:val="single" w:sz="8" w:color="D1EEF5"/>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41,674</w:t>
            </w:r>
          </w:p>
        </w:tc>
        <w:tc>
          <w:tcPr>
            <w:tcW w:w="300" w:type="dxa"/>
            <w:vAlign w:val="bottom"/>
            <w:tcBorders>
              <w:top w:val="single" w:sz="8" w:color="D1EEF5"/>
              <w:bottom w:val="single" w:sz="8" w:color="D1EEF5"/>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38,906</w:t>
            </w:r>
          </w:p>
        </w:tc>
        <w:tc>
          <w:tcPr>
            <w:tcW w:w="100" w:type="dxa"/>
            <w:vAlign w:val="bottom"/>
            <w:tcBorders>
              <w:top w:val="single" w:sz="8" w:color="D1EEF5"/>
              <w:bottom w:val="single" w:sz="8" w:color="D1EEF5"/>
            </w:tcBorders>
          </w:tcPr>
          <w:p>
            <w:pPr>
              <w:spacing w:after="0"/>
              <w:rPr>
                <w:sz w:val="12"/>
                <w:szCs w:val="12"/>
                <w:color w:val="auto"/>
              </w:rPr>
            </w:pPr>
          </w:p>
        </w:tc>
      </w:tr>
      <w:tr>
        <w:trPr>
          <w:trHeight w:val="160"/>
        </w:trPr>
        <w:tc>
          <w:tcPr>
            <w:tcW w:w="5740" w:type="dxa"/>
            <w:vAlign w:val="bottom"/>
            <w:shd w:val="clear" w:color="auto" w:fill="D1EEF5"/>
          </w:tcPr>
          <w:p>
            <w:pPr>
              <w:spacing w:after="0" w:line="159" w:lineRule="exact"/>
              <w:rPr>
                <w:sz w:val="20"/>
                <w:szCs w:val="20"/>
                <w:color w:val="auto"/>
              </w:rPr>
            </w:pPr>
            <w:r>
              <w:rPr>
                <w:rFonts w:ascii="Times New Roman" w:cs="Times New Roman" w:eastAsia="Times New Roman" w:hAnsi="Times New Roman"/>
                <w:sz w:val="14"/>
                <w:szCs w:val="14"/>
                <w:color w:val="auto"/>
              </w:rPr>
              <w:t>Net (Decrease) Increase in Cash and Restricted Cash</w:t>
            </w:r>
          </w:p>
        </w:tc>
        <w:tc>
          <w:tcPr>
            <w:tcW w:w="1020" w:type="dxa"/>
            <w:vAlign w:val="bottom"/>
            <w:shd w:val="clear" w:color="auto" w:fill="D1EEF5"/>
          </w:tcPr>
          <w:p>
            <w:pPr>
              <w:spacing w:after="0"/>
              <w:rPr>
                <w:sz w:val="13"/>
                <w:szCs w:val="13"/>
                <w:color w:val="auto"/>
              </w:rPr>
            </w:pPr>
          </w:p>
        </w:tc>
        <w:tc>
          <w:tcPr>
            <w:tcW w:w="600" w:type="dxa"/>
            <w:vAlign w:val="bottom"/>
            <w:shd w:val="clear" w:color="auto" w:fill="D1EEF5"/>
          </w:tcPr>
          <w:p>
            <w:pPr>
              <w:spacing w:after="0"/>
              <w:rPr>
                <w:sz w:val="13"/>
                <w:szCs w:val="13"/>
                <w:color w:val="auto"/>
              </w:rPr>
            </w:pPr>
          </w:p>
        </w:tc>
        <w:tc>
          <w:tcPr>
            <w:tcW w:w="940" w:type="dxa"/>
            <w:vAlign w:val="bottom"/>
            <w:shd w:val="clear" w:color="auto" w:fill="D1EEF5"/>
          </w:tcPr>
          <w:p>
            <w:pPr>
              <w:jc w:val="right"/>
              <w:spacing w:after="0" w:line="159" w:lineRule="exact"/>
              <w:rPr>
                <w:sz w:val="20"/>
                <w:szCs w:val="20"/>
                <w:color w:val="auto"/>
              </w:rPr>
            </w:pPr>
            <w:r>
              <w:rPr>
                <w:rFonts w:ascii="Times New Roman" w:cs="Times New Roman" w:eastAsia="Times New Roman" w:hAnsi="Times New Roman"/>
                <w:sz w:val="14"/>
                <w:szCs w:val="14"/>
                <w:color w:val="auto"/>
              </w:rPr>
              <w:t>(10,849)</w:t>
            </w:r>
          </w:p>
        </w:tc>
        <w:tc>
          <w:tcPr>
            <w:tcW w:w="300" w:type="dxa"/>
            <w:vAlign w:val="bottom"/>
            <w:shd w:val="clear" w:color="auto" w:fill="D1EEF5"/>
          </w:tcPr>
          <w:p>
            <w:pPr>
              <w:spacing w:after="0"/>
              <w:rPr>
                <w:sz w:val="13"/>
                <w:szCs w:val="13"/>
                <w:color w:val="auto"/>
              </w:rPr>
            </w:pPr>
          </w:p>
        </w:tc>
        <w:tc>
          <w:tcPr>
            <w:tcW w:w="620" w:type="dxa"/>
            <w:vAlign w:val="bottom"/>
            <w:shd w:val="clear" w:color="auto" w:fill="D1EEF5"/>
          </w:tcPr>
          <w:p>
            <w:pPr>
              <w:spacing w:after="0"/>
              <w:rPr>
                <w:sz w:val="13"/>
                <w:szCs w:val="13"/>
                <w:color w:val="auto"/>
              </w:rPr>
            </w:pPr>
          </w:p>
        </w:tc>
        <w:tc>
          <w:tcPr>
            <w:tcW w:w="920" w:type="dxa"/>
            <w:vAlign w:val="bottom"/>
            <w:shd w:val="clear" w:color="auto" w:fill="D1EEF5"/>
          </w:tcPr>
          <w:p>
            <w:pPr>
              <w:jc w:val="right"/>
              <w:spacing w:after="0" w:line="159" w:lineRule="exact"/>
              <w:rPr>
                <w:sz w:val="20"/>
                <w:szCs w:val="20"/>
                <w:color w:val="auto"/>
              </w:rPr>
            </w:pPr>
            <w:r>
              <w:rPr>
                <w:rFonts w:ascii="Times New Roman" w:cs="Times New Roman" w:eastAsia="Times New Roman" w:hAnsi="Times New Roman"/>
                <w:sz w:val="14"/>
                <w:szCs w:val="14"/>
                <w:color w:val="auto"/>
              </w:rPr>
              <w:t>22,424</w:t>
            </w:r>
          </w:p>
        </w:tc>
        <w:tc>
          <w:tcPr>
            <w:tcW w:w="100" w:type="dxa"/>
            <w:vAlign w:val="bottom"/>
            <w:shd w:val="clear" w:color="auto" w:fill="D1EEF5"/>
          </w:tcPr>
          <w:p>
            <w:pPr>
              <w:spacing w:after="0"/>
              <w:rPr>
                <w:sz w:val="13"/>
                <w:szCs w:val="13"/>
                <w:color w:val="auto"/>
              </w:rPr>
            </w:pPr>
          </w:p>
        </w:tc>
      </w:tr>
      <w:tr>
        <w:trPr>
          <w:trHeight w:val="165"/>
        </w:trPr>
        <w:tc>
          <w:tcPr>
            <w:tcW w:w="5740" w:type="dxa"/>
            <w:vAlign w:val="bottom"/>
            <w:tcBorders>
              <w:bottom w:val="single" w:sz="8" w:color="D1EEF5"/>
            </w:tcBorders>
          </w:tcPr>
          <w:p>
            <w:pPr>
              <w:spacing w:after="0" w:line="159" w:lineRule="exact"/>
              <w:rPr>
                <w:sz w:val="20"/>
                <w:szCs w:val="20"/>
                <w:color w:val="auto"/>
              </w:rPr>
            </w:pPr>
            <w:r>
              <w:rPr>
                <w:rFonts w:ascii="Times New Roman" w:cs="Times New Roman" w:eastAsia="Times New Roman" w:hAnsi="Times New Roman"/>
                <w:sz w:val="14"/>
                <w:szCs w:val="14"/>
                <w:color w:val="auto"/>
              </w:rPr>
              <w:t>Beginning cash and restricted cash</w:t>
            </w:r>
          </w:p>
        </w:tc>
        <w:tc>
          <w:tcPr>
            <w:tcW w:w="1020" w:type="dxa"/>
            <w:vAlign w:val="bottom"/>
            <w:tcBorders>
              <w:bottom w:val="single" w:sz="8" w:color="D1EEF5"/>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28,630</w:t>
            </w:r>
          </w:p>
        </w:tc>
        <w:tc>
          <w:tcPr>
            <w:tcW w:w="300" w:type="dxa"/>
            <w:vAlign w:val="bottom"/>
            <w:tcBorders>
              <w:bottom w:val="single" w:sz="8" w:color="D1EEF5"/>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6,206</w:t>
            </w:r>
          </w:p>
        </w:tc>
        <w:tc>
          <w:tcPr>
            <w:tcW w:w="100" w:type="dxa"/>
            <w:vAlign w:val="bottom"/>
            <w:tcBorders>
              <w:bottom w:val="single" w:sz="8" w:color="D1EEF5"/>
            </w:tcBorders>
          </w:tcPr>
          <w:p>
            <w:pPr>
              <w:spacing w:after="0"/>
              <w:rPr>
                <w:sz w:val="14"/>
                <w:szCs w:val="14"/>
                <w:color w:val="auto"/>
              </w:rPr>
            </w:pPr>
          </w:p>
        </w:tc>
      </w:tr>
      <w:tr>
        <w:trPr>
          <w:trHeight w:val="182"/>
        </w:trPr>
        <w:tc>
          <w:tcPr>
            <w:tcW w:w="57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Ending cash and restricted cash</w:t>
            </w:r>
          </w:p>
        </w:tc>
        <w:tc>
          <w:tcPr>
            <w:tcW w:w="1020" w:type="dxa"/>
            <w:vAlign w:val="bottom"/>
            <w:shd w:val="clear" w:color="auto" w:fill="D1EEF5"/>
          </w:tcPr>
          <w:p>
            <w:pPr>
              <w:spacing w:after="0"/>
              <w:rPr>
                <w:sz w:val="15"/>
                <w:szCs w:val="15"/>
                <w:color w:val="auto"/>
              </w:rPr>
            </w:pPr>
          </w:p>
        </w:tc>
        <w:tc>
          <w:tcPr>
            <w:tcW w:w="600" w:type="dxa"/>
            <w:vAlign w:val="bottom"/>
            <w:shd w:val="clear" w:color="auto" w:fill="D1EEF5"/>
          </w:tcPr>
          <w:p>
            <w:pPr>
              <w:jc w:val="right"/>
              <w:ind w:right="4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17,781</w:t>
            </w:r>
          </w:p>
        </w:tc>
        <w:tc>
          <w:tcPr>
            <w:tcW w:w="300" w:type="dxa"/>
            <w:vAlign w:val="bottom"/>
            <w:shd w:val="clear" w:color="auto" w:fill="D1EEF5"/>
          </w:tcPr>
          <w:p>
            <w:pPr>
              <w:spacing w:after="0"/>
              <w:rPr>
                <w:sz w:val="15"/>
                <w:szCs w:val="15"/>
                <w:color w:val="auto"/>
              </w:rPr>
            </w:pPr>
          </w:p>
        </w:tc>
        <w:tc>
          <w:tcPr>
            <w:tcW w:w="620" w:type="dxa"/>
            <w:vAlign w:val="bottom"/>
            <w:shd w:val="clear" w:color="auto" w:fill="D1EEF5"/>
          </w:tcPr>
          <w:p>
            <w:pPr>
              <w:jc w:val="right"/>
              <w:ind w:right="50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28,630</w:t>
            </w:r>
          </w:p>
        </w:tc>
        <w:tc>
          <w:tcPr>
            <w:tcW w:w="100" w:type="dxa"/>
            <w:vAlign w:val="bottom"/>
            <w:shd w:val="clear" w:color="auto" w:fill="D1EEF5"/>
          </w:tcPr>
          <w:p>
            <w:pPr>
              <w:spacing w:after="0"/>
              <w:rPr>
                <w:sz w:val="15"/>
                <w:szCs w:val="15"/>
                <w:color w:val="auto"/>
              </w:rPr>
            </w:pPr>
          </w:p>
        </w:tc>
      </w:tr>
      <w:tr>
        <w:trPr>
          <w:trHeight w:val="173"/>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5740" w:type="dxa"/>
            <w:vAlign w:val="bottom"/>
            <w:shd w:val="clear" w:color="auto" w:fill="D1EEF5"/>
          </w:tcPr>
          <w:p>
            <w:pPr>
              <w:ind w:left="280"/>
              <w:spacing w:after="0" w:line="157" w:lineRule="exact"/>
              <w:rPr>
                <w:sz w:val="20"/>
                <w:szCs w:val="20"/>
                <w:color w:val="auto"/>
              </w:rPr>
            </w:pPr>
            <w:r>
              <w:rPr>
                <w:rFonts w:ascii="Times New Roman" w:cs="Times New Roman" w:eastAsia="Times New Roman" w:hAnsi="Times New Roman"/>
                <w:sz w:val="14"/>
                <w:szCs w:val="14"/>
                <w:color w:val="auto"/>
              </w:rPr>
              <w:t>Cash paid for income taxes</w:t>
            </w:r>
          </w:p>
        </w:tc>
        <w:tc>
          <w:tcPr>
            <w:tcW w:w="1620" w:type="dxa"/>
            <w:vAlign w:val="bottom"/>
            <w:gridSpan w:val="2"/>
            <w:shd w:val="clear" w:color="auto" w:fill="D1EEF5"/>
          </w:tcPr>
          <w:p>
            <w:pPr>
              <w:jc w:val="right"/>
              <w:ind w:right="484"/>
              <w:spacing w:after="0" w:line="157"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773</w:t>
            </w:r>
          </w:p>
        </w:tc>
        <w:tc>
          <w:tcPr>
            <w:tcW w:w="300" w:type="dxa"/>
            <w:vAlign w:val="bottom"/>
            <w:shd w:val="clear" w:color="auto" w:fill="D1EEF5"/>
          </w:tcPr>
          <w:p>
            <w:pPr>
              <w:spacing w:after="0"/>
              <w:rPr>
                <w:sz w:val="13"/>
                <w:szCs w:val="13"/>
                <w:color w:val="auto"/>
              </w:rPr>
            </w:pPr>
          </w:p>
        </w:tc>
        <w:tc>
          <w:tcPr>
            <w:tcW w:w="620" w:type="dxa"/>
            <w:vAlign w:val="bottom"/>
            <w:shd w:val="clear" w:color="auto" w:fill="D1EEF5"/>
          </w:tcPr>
          <w:p>
            <w:pPr>
              <w:jc w:val="right"/>
              <w:ind w:right="50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2,390</w:t>
            </w:r>
          </w:p>
        </w:tc>
        <w:tc>
          <w:tcPr>
            <w:tcW w:w="100" w:type="dxa"/>
            <w:vAlign w:val="bottom"/>
            <w:shd w:val="clear" w:color="auto" w:fill="D1EEF5"/>
          </w:tcPr>
          <w:p>
            <w:pPr>
              <w:spacing w:after="0"/>
              <w:rPr>
                <w:sz w:val="13"/>
                <w:szCs w:val="13"/>
                <w:color w:val="auto"/>
              </w:rPr>
            </w:pPr>
          </w:p>
        </w:tc>
      </w:tr>
      <w:tr>
        <w:trPr>
          <w:trHeight w:val="156"/>
        </w:trPr>
        <w:tc>
          <w:tcPr>
            <w:tcW w:w="5740" w:type="dxa"/>
            <w:vAlign w:val="bottom"/>
          </w:tcPr>
          <w:p>
            <w:pPr>
              <w:ind w:left="280"/>
              <w:spacing w:after="0" w:line="156" w:lineRule="exact"/>
              <w:rPr>
                <w:sz w:val="20"/>
                <w:szCs w:val="20"/>
                <w:color w:val="auto"/>
              </w:rPr>
            </w:pPr>
            <w:r>
              <w:rPr>
                <w:rFonts w:ascii="Times New Roman" w:cs="Times New Roman" w:eastAsia="Times New Roman" w:hAnsi="Times New Roman"/>
                <w:sz w:val="14"/>
                <w:szCs w:val="14"/>
                <w:color w:val="auto"/>
              </w:rPr>
              <w:t>Cash paid for interest</w:t>
            </w:r>
          </w:p>
        </w:tc>
        <w:tc>
          <w:tcPr>
            <w:tcW w:w="1620" w:type="dxa"/>
            <w:vAlign w:val="bottom"/>
            <w:gridSpan w:val="2"/>
          </w:tcPr>
          <w:p>
            <w:pPr>
              <w:jc w:val="right"/>
              <w:ind w:right="484"/>
              <w:spacing w:after="0" w:line="15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2,252</w:t>
            </w:r>
          </w:p>
        </w:tc>
        <w:tc>
          <w:tcPr>
            <w:tcW w:w="300" w:type="dxa"/>
            <w:vAlign w:val="bottom"/>
          </w:tcPr>
          <w:p>
            <w:pPr>
              <w:spacing w:after="0"/>
              <w:rPr>
                <w:sz w:val="13"/>
                <w:szCs w:val="13"/>
                <w:color w:val="auto"/>
              </w:rPr>
            </w:pPr>
          </w:p>
        </w:tc>
        <w:tc>
          <w:tcPr>
            <w:tcW w:w="620" w:type="dxa"/>
            <w:vAlign w:val="bottom"/>
          </w:tcPr>
          <w:p>
            <w:pPr>
              <w:jc w:val="right"/>
              <w:ind w:right="50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3"/>
                <w:szCs w:val="13"/>
                <w:color w:val="auto"/>
              </w:rPr>
            </w:pPr>
          </w:p>
        </w:tc>
      </w:tr>
      <w:tr>
        <w:trPr>
          <w:trHeight w:val="156"/>
        </w:trPr>
        <w:tc>
          <w:tcPr>
            <w:tcW w:w="574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Supplemental Non-Cash Items</w:t>
            </w:r>
          </w:p>
        </w:tc>
        <w:tc>
          <w:tcPr>
            <w:tcW w:w="1020" w:type="dxa"/>
            <w:vAlign w:val="bottom"/>
            <w:shd w:val="clear" w:color="auto" w:fill="D1EEF5"/>
          </w:tcPr>
          <w:p>
            <w:pPr>
              <w:spacing w:after="0"/>
              <w:rPr>
                <w:sz w:val="13"/>
                <w:szCs w:val="13"/>
                <w:color w:val="auto"/>
              </w:rPr>
            </w:pPr>
          </w:p>
        </w:tc>
        <w:tc>
          <w:tcPr>
            <w:tcW w:w="600" w:type="dxa"/>
            <w:vAlign w:val="bottom"/>
            <w:shd w:val="clear" w:color="auto" w:fill="D1EEF5"/>
          </w:tcPr>
          <w:p>
            <w:pPr>
              <w:spacing w:after="0"/>
              <w:rPr>
                <w:sz w:val="13"/>
                <w:szCs w:val="13"/>
                <w:color w:val="auto"/>
              </w:rPr>
            </w:pPr>
          </w:p>
        </w:tc>
        <w:tc>
          <w:tcPr>
            <w:tcW w:w="940" w:type="dxa"/>
            <w:vAlign w:val="bottom"/>
            <w:shd w:val="clear" w:color="auto" w:fill="D1EEF5"/>
          </w:tcPr>
          <w:p>
            <w:pPr>
              <w:spacing w:after="0"/>
              <w:rPr>
                <w:sz w:val="13"/>
                <w:szCs w:val="13"/>
                <w:color w:val="auto"/>
              </w:rPr>
            </w:pPr>
          </w:p>
        </w:tc>
        <w:tc>
          <w:tcPr>
            <w:tcW w:w="300" w:type="dxa"/>
            <w:vAlign w:val="bottom"/>
            <w:shd w:val="clear" w:color="auto" w:fill="D1EEF5"/>
          </w:tcPr>
          <w:p>
            <w:pPr>
              <w:spacing w:after="0"/>
              <w:rPr>
                <w:sz w:val="13"/>
                <w:szCs w:val="13"/>
                <w:color w:val="auto"/>
              </w:rPr>
            </w:pPr>
          </w:p>
        </w:tc>
        <w:tc>
          <w:tcPr>
            <w:tcW w:w="620" w:type="dxa"/>
            <w:vAlign w:val="bottom"/>
            <w:shd w:val="clear" w:color="auto" w:fill="D1EEF5"/>
          </w:tcPr>
          <w:p>
            <w:pPr>
              <w:spacing w:after="0"/>
              <w:rPr>
                <w:sz w:val="13"/>
                <w:szCs w:val="13"/>
                <w:color w:val="auto"/>
              </w:rPr>
            </w:pPr>
          </w:p>
        </w:tc>
        <w:tc>
          <w:tcPr>
            <w:tcW w:w="920" w:type="dxa"/>
            <w:vAlign w:val="bottom"/>
            <w:shd w:val="clear" w:color="auto" w:fill="D1EEF5"/>
          </w:tcPr>
          <w:p>
            <w:pPr>
              <w:spacing w:after="0"/>
              <w:rPr>
                <w:sz w:val="13"/>
                <w:szCs w:val="13"/>
                <w:color w:val="auto"/>
              </w:rPr>
            </w:pPr>
          </w:p>
        </w:tc>
        <w:tc>
          <w:tcPr>
            <w:tcW w:w="100" w:type="dxa"/>
            <w:vAlign w:val="bottom"/>
            <w:shd w:val="clear" w:color="auto" w:fill="D1EEF5"/>
          </w:tcPr>
          <w:p>
            <w:pPr>
              <w:spacing w:after="0"/>
              <w:rPr>
                <w:sz w:val="13"/>
                <w:szCs w:val="13"/>
                <w:color w:val="auto"/>
              </w:rPr>
            </w:pPr>
          </w:p>
        </w:tc>
      </w:tr>
      <w:tr>
        <w:trPr>
          <w:trHeight w:val="157"/>
        </w:trPr>
        <w:tc>
          <w:tcPr>
            <w:tcW w:w="5740" w:type="dxa"/>
            <w:vAlign w:val="bottom"/>
          </w:tcPr>
          <w:p>
            <w:pPr>
              <w:ind w:left="280"/>
              <w:spacing w:after="0" w:line="157" w:lineRule="exact"/>
              <w:rPr>
                <w:sz w:val="20"/>
                <w:szCs w:val="20"/>
                <w:color w:val="auto"/>
              </w:rPr>
            </w:pPr>
            <w:r>
              <w:rPr>
                <w:rFonts w:ascii="Times New Roman" w:cs="Times New Roman" w:eastAsia="Times New Roman" w:hAnsi="Times New Roman"/>
                <w:sz w:val="14"/>
                <w:szCs w:val="14"/>
                <w:color w:val="auto"/>
              </w:rPr>
              <w:t>Receivable of options exercised</w:t>
            </w:r>
          </w:p>
        </w:tc>
        <w:tc>
          <w:tcPr>
            <w:tcW w:w="1620" w:type="dxa"/>
            <w:vAlign w:val="bottom"/>
            <w:gridSpan w:val="2"/>
          </w:tcPr>
          <w:p>
            <w:pPr>
              <w:jc w:val="right"/>
              <w:ind w:right="484"/>
              <w:spacing w:after="0" w:line="157"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620" w:type="dxa"/>
            <w:vAlign w:val="bottom"/>
          </w:tcPr>
          <w:p>
            <w:pPr>
              <w:jc w:val="right"/>
              <w:ind w:right="50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3"/>
                <w:szCs w:val="13"/>
                <w:color w:val="auto"/>
              </w:rPr>
            </w:pPr>
          </w:p>
        </w:tc>
      </w:tr>
      <w:tr>
        <w:trPr>
          <w:trHeight w:val="156"/>
        </w:trPr>
        <w:tc>
          <w:tcPr>
            <w:tcW w:w="5740" w:type="dxa"/>
            <w:vAlign w:val="bottom"/>
            <w:shd w:val="clear" w:color="auto" w:fill="D1EEF5"/>
          </w:tcPr>
          <w:p>
            <w:pPr>
              <w:ind w:left="280"/>
              <w:spacing w:after="0" w:line="156" w:lineRule="exact"/>
              <w:rPr>
                <w:sz w:val="20"/>
                <w:szCs w:val="20"/>
                <w:color w:val="auto"/>
              </w:rPr>
            </w:pPr>
            <w:r>
              <w:rPr>
                <w:rFonts w:ascii="Times New Roman" w:cs="Times New Roman" w:eastAsia="Times New Roman" w:hAnsi="Times New Roman"/>
                <w:sz w:val="14"/>
                <w:szCs w:val="14"/>
                <w:color w:val="auto"/>
              </w:rPr>
              <w:t>Purchases of property and equipment, not yet paid</w:t>
            </w:r>
          </w:p>
        </w:tc>
        <w:tc>
          <w:tcPr>
            <w:tcW w:w="1620" w:type="dxa"/>
            <w:vAlign w:val="bottom"/>
            <w:gridSpan w:val="2"/>
            <w:shd w:val="clear" w:color="auto" w:fill="D1EEF5"/>
          </w:tcPr>
          <w:p>
            <w:pPr>
              <w:jc w:val="right"/>
              <w:ind w:right="484"/>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D1EEF5"/>
          </w:tcPr>
          <w:p>
            <w:pPr>
              <w:jc w:val="right"/>
              <w:ind w:right="300"/>
              <w:spacing w:after="0" w:line="156" w:lineRule="exact"/>
              <w:rPr>
                <w:sz w:val="20"/>
                <w:szCs w:val="20"/>
                <w:color w:val="auto"/>
              </w:rPr>
            </w:pPr>
            <w:r>
              <w:rPr>
                <w:rFonts w:ascii="Times New Roman" w:cs="Times New Roman" w:eastAsia="Times New Roman" w:hAnsi="Times New Roman"/>
                <w:sz w:val="14"/>
                <w:szCs w:val="14"/>
                <w:color w:val="auto"/>
              </w:rPr>
              <w:t>419</w:t>
            </w:r>
          </w:p>
        </w:tc>
        <w:tc>
          <w:tcPr>
            <w:tcW w:w="620" w:type="dxa"/>
            <w:vAlign w:val="bottom"/>
            <w:shd w:val="clear" w:color="auto" w:fill="D1EEF5"/>
          </w:tcPr>
          <w:p>
            <w:pPr>
              <w:jc w:val="right"/>
              <w:ind w:right="480"/>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D1EEF5"/>
          </w:tcPr>
          <w:p>
            <w:pPr>
              <w:spacing w:after="0"/>
              <w:rPr>
                <w:sz w:val="13"/>
                <w:szCs w:val="13"/>
                <w:color w:val="auto"/>
              </w:rPr>
            </w:pPr>
          </w:p>
        </w:tc>
      </w:tr>
      <w:tr>
        <w:trPr>
          <w:trHeight w:val="156"/>
        </w:trPr>
        <w:tc>
          <w:tcPr>
            <w:tcW w:w="5740" w:type="dxa"/>
            <w:vAlign w:val="bottom"/>
          </w:tcPr>
          <w:p>
            <w:pPr>
              <w:ind w:left="280"/>
              <w:spacing w:after="0" w:line="156" w:lineRule="exact"/>
              <w:rPr>
                <w:sz w:val="20"/>
                <w:szCs w:val="20"/>
                <w:color w:val="auto"/>
              </w:rPr>
            </w:pPr>
            <w:r>
              <w:rPr>
                <w:rFonts w:ascii="Times New Roman" w:cs="Times New Roman" w:eastAsia="Times New Roman" w:hAnsi="Times New Roman"/>
                <w:sz w:val="14"/>
                <w:szCs w:val="14"/>
                <w:color w:val="auto"/>
              </w:rPr>
              <w:t>Recognition of right of use asset obtained in exchange for operating lease liability</w:t>
            </w:r>
          </w:p>
        </w:tc>
        <w:tc>
          <w:tcPr>
            <w:tcW w:w="1620" w:type="dxa"/>
            <w:vAlign w:val="bottom"/>
            <w:gridSpan w:val="2"/>
          </w:tcPr>
          <w:p>
            <w:pPr>
              <w:jc w:val="right"/>
              <w:ind w:right="464"/>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0"/>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5,745</w:t>
            </w:r>
          </w:p>
        </w:tc>
        <w:tc>
          <w:tcPr>
            <w:tcW w:w="100" w:type="dxa"/>
            <w:vAlign w:val="bottom"/>
          </w:tcPr>
          <w:p>
            <w:pPr>
              <w:spacing w:after="0"/>
              <w:rPr>
                <w:sz w:val="13"/>
                <w:szCs w:val="13"/>
                <w:color w:val="auto"/>
              </w:rPr>
            </w:pPr>
          </w:p>
        </w:tc>
      </w:tr>
      <w:tr>
        <w:trPr>
          <w:trHeight w:val="156"/>
        </w:trPr>
        <w:tc>
          <w:tcPr>
            <w:tcW w:w="5740" w:type="dxa"/>
            <w:vAlign w:val="bottom"/>
            <w:shd w:val="clear" w:color="auto" w:fill="D1EEF5"/>
          </w:tcPr>
          <w:p>
            <w:pPr>
              <w:ind w:left="280"/>
              <w:spacing w:after="0" w:line="156" w:lineRule="exact"/>
              <w:rPr>
                <w:sz w:val="20"/>
                <w:szCs w:val="20"/>
                <w:color w:val="auto"/>
              </w:rPr>
            </w:pPr>
            <w:r>
              <w:rPr>
                <w:rFonts w:ascii="Times New Roman" w:cs="Times New Roman" w:eastAsia="Times New Roman" w:hAnsi="Times New Roman"/>
                <w:sz w:val="14"/>
                <w:szCs w:val="14"/>
                <w:color w:val="auto"/>
              </w:rPr>
              <w:t>Cashless exercise of liability classified warrants</w:t>
            </w:r>
          </w:p>
        </w:tc>
        <w:tc>
          <w:tcPr>
            <w:tcW w:w="1620" w:type="dxa"/>
            <w:vAlign w:val="bottom"/>
            <w:gridSpan w:val="2"/>
            <w:shd w:val="clear" w:color="auto" w:fill="D1EEF5"/>
          </w:tcPr>
          <w:p>
            <w:pPr>
              <w:jc w:val="right"/>
              <w:ind w:right="484"/>
              <w:spacing w:after="0" w:line="15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16,669</w:t>
            </w:r>
          </w:p>
        </w:tc>
        <w:tc>
          <w:tcPr>
            <w:tcW w:w="300" w:type="dxa"/>
            <w:vAlign w:val="bottom"/>
            <w:shd w:val="clear" w:color="auto" w:fill="D1EEF5"/>
          </w:tcPr>
          <w:p>
            <w:pPr>
              <w:spacing w:after="0"/>
              <w:rPr>
                <w:sz w:val="13"/>
                <w:szCs w:val="13"/>
                <w:color w:val="auto"/>
              </w:rPr>
            </w:pPr>
          </w:p>
        </w:tc>
        <w:tc>
          <w:tcPr>
            <w:tcW w:w="620" w:type="dxa"/>
            <w:vAlign w:val="bottom"/>
            <w:shd w:val="clear" w:color="auto" w:fill="D1EEF5"/>
          </w:tcPr>
          <w:p>
            <w:pPr>
              <w:jc w:val="right"/>
              <w:ind w:right="50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EF5"/>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-827405</wp:posOffset>
            </wp:positionV>
            <wp:extent cx="2171065" cy="495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6">
                      <a:extLst>
                        <a:ext uri="{28A0092B-C50C-407E-A947-70E740481C1C}"/>
                      </a:extLst>
                    </a:blip>
                    <a:srcRect/>
                    <a:stretch>
                      <a:fillRect/>
                    </a:stretch>
                  </pic:blipFill>
                  <pic:spPr bwMode="auto">
                    <a:xfrm>
                      <a:off x="0" y="0"/>
                      <a:ext cx="2171065" cy="49530"/>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financial statements.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11430</wp:posOffset>
                </wp:positionV>
                <wp:extent cx="650938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9pt" to="512.25pt,0.9pt" o:allowincell="f" strokecolor="#000000" strokeweight="1.2599pt"/>
            </w:pict>
          </mc:Fallback>
        </mc:AlternateContent>
      </w:r>
    </w:p>
    <w:p>
      <w:pPr>
        <w:sectPr>
          <w:pgSz w:w="12240" w:h="15840" w:orient="portrait"/>
          <w:cols w:equalWidth="0" w:num="1">
            <w:col w:w="10240"/>
          </w:cols>
          <w:pgMar w:left="1000" w:top="1208" w:right="1000"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28"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b w:val="1"/>
          <w:bCs w:val="1"/>
          <w:color w:val="auto"/>
        </w:rPr>
        <w:t>NOTE 1</w:t>
      </w:r>
      <w:r>
        <w:rPr>
          <w:rFonts w:ascii="Arial Unicode MS" w:cs="Arial Unicode MS" w:eastAsia="Arial Unicode MS" w:hAnsi="Arial Unicode MS"/>
          <w:sz w:val="14"/>
          <w:szCs w:val="14"/>
          <w:b w:val="1"/>
          <w:bCs w:val="1"/>
          <w:color w:val="auto"/>
        </w:rPr>
        <w:t>ௗ</w:t>
      </w:r>
      <w:r>
        <w:rPr>
          <w:rFonts w:ascii="Times New Roman" w:cs="Times New Roman" w:eastAsia="Times New Roman" w:hAnsi="Times New Roman"/>
          <w:sz w:val="14"/>
          <w:szCs w:val="14"/>
          <w:b w:val="1"/>
          <w:bCs w:val="1"/>
          <w:color w:val="auto"/>
        </w:rPr>
        <w:t>—</w:t>
      </w:r>
      <w:r>
        <w:rPr>
          <w:rFonts w:ascii="Arial Unicode MS" w:cs="Arial Unicode MS" w:eastAsia="Arial Unicode MS" w:hAnsi="Arial Unicode MS"/>
          <w:sz w:val="14"/>
          <w:szCs w:val="14"/>
          <w:b w:val="1"/>
          <w:bCs w:val="1"/>
          <w:color w:val="auto"/>
        </w:rPr>
        <w:t>ௗ</w:t>
      </w:r>
      <w:r>
        <w:rPr>
          <w:rFonts w:ascii="Times New Roman" w:cs="Times New Roman" w:eastAsia="Times New Roman" w:hAnsi="Times New Roman"/>
          <w:sz w:val="14"/>
          <w:szCs w:val="14"/>
          <w:b w:val="1"/>
          <w:bCs w:val="1"/>
          <w:color w:val="auto"/>
        </w:rPr>
        <w:t>NATURE OF BUSINESS</w:t>
      </w:r>
    </w:p>
    <w:p>
      <w:pPr>
        <w:spacing w:after="0" w:line="1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Dragonfly Energy Holdings Corp. (“</w:t>
      </w:r>
      <w:r>
        <w:rPr>
          <w:rFonts w:ascii="Times New Roman" w:cs="Times New Roman" w:eastAsia="Times New Roman" w:hAnsi="Times New Roman"/>
          <w:sz w:val="14"/>
          <w:szCs w:val="14"/>
          <w:b w:val="1"/>
          <w:bCs w:val="1"/>
          <w:color w:val="auto"/>
        </w:rPr>
        <w:t>New Dragonfly</w:t>
      </w:r>
      <w:r>
        <w:rPr>
          <w:rFonts w:ascii="Times New Roman" w:cs="Times New Roman" w:eastAsia="Times New Roman" w:hAnsi="Times New Roman"/>
          <w:sz w:val="14"/>
          <w:szCs w:val="14"/>
          <w:color w:val="auto"/>
        </w:rPr>
        <w:t>” or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sells lithium-ion battery packs for use in a wide variety of applications. The Company sells to distributors under the Dragonfly Energy brand name, and sells direct to consumers under the trade name Battleborn Batteries. In addition, the Company develops technology for improved lithium-ion battery manufacturing and assembly methods.</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On October 7, 2022, a merger transaction between Chardan NexTech Acquisition 2 Corporation (“</w:t>
      </w:r>
      <w:r>
        <w:rPr>
          <w:rFonts w:ascii="Times New Roman" w:cs="Times New Roman" w:eastAsia="Times New Roman" w:hAnsi="Times New Roman"/>
          <w:sz w:val="14"/>
          <w:szCs w:val="14"/>
          <w:b w:val="1"/>
          <w:bCs w:val="1"/>
          <w:color w:val="auto"/>
        </w:rPr>
        <w:t>CNTQ</w:t>
      </w:r>
      <w:r>
        <w:rPr>
          <w:rFonts w:ascii="Times New Roman" w:cs="Times New Roman" w:eastAsia="Times New Roman" w:hAnsi="Times New Roman"/>
          <w:sz w:val="14"/>
          <w:szCs w:val="14"/>
          <w:color w:val="auto"/>
        </w:rPr>
        <w:t>”), Dragonfly Energy Corp. (“</w:t>
      </w:r>
      <w:r>
        <w:rPr>
          <w:rFonts w:ascii="Times New Roman" w:cs="Times New Roman" w:eastAsia="Times New Roman" w:hAnsi="Times New Roman"/>
          <w:sz w:val="14"/>
          <w:szCs w:val="14"/>
          <w:b w:val="1"/>
          <w:bCs w:val="1"/>
          <w:color w:val="auto"/>
        </w:rPr>
        <w:t>Legacy Dragonfly</w:t>
      </w:r>
      <w:r>
        <w:rPr>
          <w:rFonts w:ascii="Times New Roman" w:cs="Times New Roman" w:eastAsia="Times New Roman" w:hAnsi="Times New Roman"/>
          <w:sz w:val="14"/>
          <w:szCs w:val="14"/>
          <w:color w:val="auto"/>
        </w:rPr>
        <w:t>”), and Bronco Merger Sub, Inc. (“</w:t>
      </w:r>
      <w:r>
        <w:rPr>
          <w:rFonts w:ascii="Times New Roman" w:cs="Times New Roman" w:eastAsia="Times New Roman" w:hAnsi="Times New Roman"/>
          <w:sz w:val="14"/>
          <w:szCs w:val="14"/>
          <w:b w:val="1"/>
          <w:bCs w:val="1"/>
          <w:color w:val="auto"/>
        </w:rPr>
        <w:t>Merger Sub</w:t>
      </w:r>
      <w:r>
        <w:rPr>
          <w:rFonts w:ascii="Times New Roman" w:cs="Times New Roman" w:eastAsia="Times New Roman" w:hAnsi="Times New Roman"/>
          <w:sz w:val="14"/>
          <w:szCs w:val="14"/>
          <w:color w:val="auto"/>
        </w:rPr>
        <w:t>”) was completed pursuant to which Merger Sub was merged with and into Legacy Dragonfly, with Legacy Dragonfly surviving the merger. As a result of the merger, Legacy Dragonfly became a wholly owned subsidiary of New Dragonfly.</w:t>
      </w:r>
    </w:p>
    <w:p>
      <w:pPr>
        <w:spacing w:after="0" w:line="1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Although New Dragonfly was the legal acquirer of Legacy Dragonfly in the merger, Legacy Dragonfly is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spacing w:after="0" w:line="12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 xml:space="preserve">Furthermore, the historical financial statements of Legacy Dragonfly became the historical financial statements of the Company upon the consummation of the merger. As a result, the financial statements included in this Annual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 See </w:t>
      </w:r>
      <w:r>
        <w:rPr>
          <w:rFonts w:ascii="Times New Roman" w:cs="Times New Roman" w:eastAsia="Times New Roman" w:hAnsi="Times New Roman"/>
          <w:sz w:val="14"/>
          <w:szCs w:val="14"/>
          <w:i w:val="1"/>
          <w:iCs w:val="1"/>
          <w:color w:val="auto"/>
        </w:rPr>
        <w:t>Note 3 – Reverse Capitalization</w:t>
      </w:r>
      <w:r>
        <w:rPr>
          <w:rFonts w:ascii="Times New Roman" w:cs="Times New Roman" w:eastAsia="Times New Roman" w:hAnsi="Times New Roman"/>
          <w:sz w:val="14"/>
          <w:szCs w:val="14"/>
          <w:color w:val="auto"/>
        </w:rPr>
        <w:t xml:space="preserve"> for further details of the merger.</w:t>
      </w:r>
    </w:p>
    <w:p>
      <w:pPr>
        <w:spacing w:after="0" w:line="129"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b w:val="1"/>
          <w:bCs w:val="1"/>
          <w:color w:val="auto"/>
        </w:rPr>
        <w:t>NOTE 2</w:t>
      </w:r>
      <w:r>
        <w:rPr>
          <w:rFonts w:ascii="Arial Unicode MS" w:cs="Arial Unicode MS" w:eastAsia="Arial Unicode MS" w:hAnsi="Arial Unicode MS"/>
          <w:sz w:val="14"/>
          <w:szCs w:val="14"/>
          <w:b w:val="1"/>
          <w:bCs w:val="1"/>
          <w:color w:val="auto"/>
        </w:rPr>
        <w:t>ௗ</w:t>
      </w:r>
      <w:r>
        <w:rPr>
          <w:rFonts w:ascii="Times New Roman" w:cs="Times New Roman" w:eastAsia="Times New Roman" w:hAnsi="Times New Roman"/>
          <w:sz w:val="14"/>
          <w:szCs w:val="14"/>
          <w:b w:val="1"/>
          <w:bCs w:val="1"/>
          <w:color w:val="auto"/>
        </w:rPr>
        <w:t>—</w:t>
      </w:r>
      <w:r>
        <w:rPr>
          <w:rFonts w:ascii="Arial Unicode MS" w:cs="Arial Unicode MS" w:eastAsia="Arial Unicode MS" w:hAnsi="Arial Unicode MS"/>
          <w:sz w:val="14"/>
          <w:szCs w:val="14"/>
          <w:b w:val="1"/>
          <w:bCs w:val="1"/>
          <w:color w:val="auto"/>
        </w:rPr>
        <w:t>ௗ</w:t>
      </w:r>
      <w:r>
        <w:rPr>
          <w:rFonts w:ascii="Times New Roman" w:cs="Times New Roman" w:eastAsia="Times New Roman" w:hAnsi="Times New Roman"/>
          <w:sz w:val="14"/>
          <w:szCs w:val="14"/>
          <w:b w:val="1"/>
          <w:bCs w:val="1"/>
          <w:color w:val="auto"/>
        </w:rPr>
        <w:t>SUMMARY OF SIGNIFICANT ACCOUNTING POLICIES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Basis of Presentation</w:t>
      </w:r>
    </w:p>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accompanying consolidated financial statements and related notes have been prepared pursuant to the rules and regulations of the Securities and Exchange Commission (“</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xml:space="preserve"> ”) and in accordance with generally accepted accounting principles generally accepted in the United States of America (“</w:t>
      </w:r>
      <w:r>
        <w:rPr>
          <w:rFonts w:ascii="Times New Roman" w:cs="Times New Roman" w:eastAsia="Times New Roman" w:hAnsi="Times New Roman"/>
          <w:sz w:val="14"/>
          <w:szCs w:val="14"/>
          <w:b w:val="1"/>
          <w:bCs w:val="1"/>
          <w:color w:val="auto"/>
        </w:rPr>
        <w:t>U.S. GAAP</w:t>
      </w:r>
      <w:r>
        <w:rPr>
          <w:rFonts w:ascii="Times New Roman" w:cs="Times New Roman" w:eastAsia="Times New Roman" w:hAnsi="Times New Roman"/>
          <w:sz w:val="14"/>
          <w:szCs w:val="14"/>
          <w:color w:val="auto"/>
        </w:rPr>
        <w:t>”) and present the consolidated financial statements of the Company and its wholly owned subsidiary.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Going Concern</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on a going concern basis, which contemplates the realization of assets and the satisfaction of liabilities in the normal course of business. The consolidated financial statements do not include any adjustments that might result from the outcome of this uncertainty.</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For the year ended December 31, 2022, the Company incurred losses and had a negative cash flow from operations. As of December 31, 2022, the Company had $17,781 in cash and cash equivalents and working capital of $32,923. The Company’s ability to achieve profitability and positive cash flow depends on its ability to increase revenue, contain its expenses and maintain compliance with the financial covenants in its outstanding indebtedness agreements.</w:t>
      </w:r>
    </w:p>
    <w:p>
      <w:pPr>
        <w:spacing w:after="0" w:line="12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 connection with the Company’s senior secured term loan facility in an aggregate principal amount of $75,000 (the “</w:t>
      </w:r>
      <w:r>
        <w:rPr>
          <w:rFonts w:ascii="Times New Roman" w:cs="Times New Roman" w:eastAsia="Times New Roman" w:hAnsi="Times New Roman"/>
          <w:sz w:val="14"/>
          <w:szCs w:val="14"/>
          <w:b w:val="1"/>
          <w:bCs w:val="1"/>
          <w:color w:val="auto"/>
        </w:rPr>
        <w:t>Term Loan</w:t>
      </w:r>
      <w:r>
        <w:rPr>
          <w:rFonts w:ascii="Times New Roman" w:cs="Times New Roman" w:eastAsia="Times New Roman" w:hAnsi="Times New Roman"/>
          <w:sz w:val="14"/>
          <w:szCs w:val="14"/>
          <w:color w:val="auto"/>
        </w:rPr>
        <w:t>”), the Company is obligated to comply with certain financial covenants, which include maintaining a maximum senior leverage ratio, minimum liquidity, a springing fixed charge coverage ratio, and maximum capital expenditures (See Note 7).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It is probable that the Company will fail to meet these covenants within the next twelve months.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spacing w:after="0" w:line="1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addition, the Company may need to raise additional debt and/or equity financings to fund its operations and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Recently adopted accounting standards</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 May 2021, the Financial Accounting Standards Board (“</w:t>
      </w:r>
      <w:r>
        <w:rPr>
          <w:rFonts w:ascii="Times New Roman" w:cs="Times New Roman" w:eastAsia="Times New Roman" w:hAnsi="Times New Roman"/>
          <w:sz w:val="14"/>
          <w:szCs w:val="14"/>
          <w:b w:val="1"/>
          <w:bCs w:val="1"/>
          <w:color w:val="auto"/>
        </w:rPr>
        <w:t>FASB</w:t>
      </w:r>
      <w:r>
        <w:rPr>
          <w:rFonts w:ascii="Times New Roman" w:cs="Times New Roman" w:eastAsia="Times New Roman" w:hAnsi="Times New Roman"/>
          <w:sz w:val="14"/>
          <w:szCs w:val="14"/>
          <w:color w:val="auto"/>
        </w:rPr>
        <w:t>”) issued Accounting Standards Update (“</w:t>
      </w:r>
      <w:r>
        <w:rPr>
          <w:rFonts w:ascii="Times New Roman" w:cs="Times New Roman" w:eastAsia="Times New Roman" w:hAnsi="Times New Roman"/>
          <w:sz w:val="14"/>
          <w:szCs w:val="14"/>
          <w:b w:val="1"/>
          <w:bCs w:val="1"/>
          <w:color w:val="auto"/>
        </w:rPr>
        <w:t>ASU</w:t>
      </w:r>
      <w:r>
        <w:rPr>
          <w:rFonts w:ascii="Times New Roman" w:cs="Times New Roman" w:eastAsia="Times New Roman" w:hAnsi="Times New Roman"/>
          <w:sz w:val="14"/>
          <w:szCs w:val="14"/>
          <w:color w:val="auto"/>
        </w:rPr>
        <w:t>”) 2021 -04, Earnings Per Share (Topic 260), Debt Modifications and Extinguishments (Subtopic 470 50), Compensation – Stock Based Compensation (Topic 718), and Derivatives and Hedging – Contracts in Entity’s Own Equity (Subtopic 815 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No. 2021-04 are effective January 1, 2022. This ASU shall be applied on a prospective basis. The adoption of this guidance did not have a material impact on the accompanying consolidated financial statements.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17145</wp:posOffset>
                </wp:positionV>
                <wp:extent cx="650938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3">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5pt" to="512.25pt,1.35pt" o:allowincell="f" strokecolor="#000000" strokeweight="1.2601pt"/>
            </w:pict>
          </mc:Fallback>
        </mc:AlternateContent>
      </w:r>
    </w:p>
    <w:p>
      <w:pPr>
        <w:sectPr>
          <w:pgSz w:w="12240" w:h="15840" w:orient="portrait"/>
          <w:cols w:equalWidth="0" w:num="1">
            <w:col w:w="10240"/>
          </w:cols>
          <w:pgMar w:left="1000" w:top="1208" w:right="100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Recently issued accounting pronouncements</w:t>
      </w:r>
    </w:p>
    <w:p>
      <w:pPr>
        <w:spacing w:after="0" w:line="148" w:lineRule="exact"/>
        <w:rPr>
          <w:sz w:val="20"/>
          <w:szCs w:val="20"/>
          <w:color w:val="auto"/>
        </w:rPr>
      </w:pPr>
    </w:p>
    <w:p>
      <w:pPr>
        <w:jc w:val="both"/>
        <w:spacing w:after="0" w:line="163" w:lineRule="exact"/>
        <w:rPr>
          <w:sz w:val="20"/>
          <w:szCs w:val="20"/>
          <w:color w:val="auto"/>
        </w:rPr>
      </w:pPr>
      <w:r>
        <w:rPr>
          <w:rFonts w:ascii="Times New Roman" w:cs="Times New Roman" w:eastAsia="Times New Roman" w:hAnsi="Times New Roman"/>
          <w:sz w:val="14"/>
          <w:szCs w:val="14"/>
          <w:color w:val="auto"/>
        </w:rPr>
        <w:t>In June 2016, the FASB issued ASU 2016-13, Financial Instruments</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Credit Losses (Topic 326): Measurement of Credit Losses on Financial Instruments. The FASB subsequently issued amendments to ASU 2016 -13,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does not have a material impact to the financial statements.</w:t>
      </w: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 xml:space="preserve">In August 2020, the FASB issued ASU 2020-06, </w:t>
      </w:r>
      <w:r>
        <w:rPr>
          <w:rFonts w:ascii="Times New Roman" w:cs="Times New Roman" w:eastAsia="Times New Roman" w:hAnsi="Times New Roman"/>
          <w:sz w:val="14"/>
          <w:szCs w:val="14"/>
          <w:i w:val="1"/>
          <w:iCs w:val="1"/>
          <w:color w:val="auto"/>
        </w:rPr>
        <w:t>Debt—Debt with Conversion and Other Options (Subtopic 470-20) and Derivatives and Hedging—Contracts in Entity’s Own Equity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(Subtopic 815-40)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ASU 2020-06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to simplify accounting for certain financial instruments. ASU 2020 -06 eliminates the current models that require separation of beneficial conversion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and may be early adopted at the beginning of fiscal year 2023. The Company is currently assessing the impact, if any, that ASU 2020-06 would have on its financial position, results of operations or cash flows.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Cash, Restricted Cash, and Cash Equivalents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 considers all short-term debt securities purchased with a maturity of three months or less to be cash equivalents. There were no cash equivalents as of December 31, 2022 or 2021. The Company also maintained a restricted cash balance to satisfy its note payable requirements as of December 31, 2021 (Refer to Note 7). There were no restricted cash balances as of December 31, 2022.</w:t>
      </w:r>
    </w:p>
    <w:p>
      <w:pPr>
        <w:spacing w:after="0" w:line="1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Accounts Receivable</w:t>
      </w:r>
    </w:p>
    <w:p>
      <w:pPr>
        <w:spacing w:after="0" w:line="1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Company’s trade receivables are recorded when billed and represent claims against third parties that will be settled in cash. Generally, payment is due from customers within 30-60 days of the invoice date and the contracts do not have significant financing components. Trade accounts receivables are recorded gross and are net of any applicable allowance. The Company has an allowance for doubtful accounts as of December 31, 2022 and 2021 of $90 and $50,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Inventory</w:t>
      </w:r>
    </w:p>
    <w:p>
      <w:pPr>
        <w:spacing w:after="0" w:line="1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Inventories (Note 5),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December 31, 2022 and 2021, no such reserves were necessary.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wp:posOffset>
                </wp:positionV>
                <wp:extent cx="650938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85pt" to="512.25pt,0.85pt" o:allowincell="f" strokecolor="#000000" strokeweight="1.26pt"/>
            </w:pict>
          </mc:Fallback>
        </mc:AlternateContent>
      </w:r>
    </w:p>
    <w:p>
      <w:pPr>
        <w:sectPr>
          <w:pgSz w:w="12240" w:h="15840" w:orient="portrait"/>
          <w:cols w:equalWidth="0" w:num="1">
            <w:col w:w="10240"/>
          </w:cols>
          <w:pgMar w:left="1000" w:top="1208" w:right="1000"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Property and Equipment</w:t>
      </w:r>
    </w:p>
    <w:p>
      <w:pPr>
        <w:spacing w:after="0" w:line="1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years ended December 31, 2022 and 2021 was $891 and $617, respectively. The various classes of property and equipment and estimated useful lives are as follows:</w:t>
      </w:r>
    </w:p>
    <w:p>
      <w:pPr>
        <w:sectPr>
          <w:pgSz w:w="12240" w:h="15840" w:orient="portrait"/>
          <w:cols w:equalWidth="0" w:num="1">
            <w:col w:w="10240"/>
          </w:cols>
          <w:pgMar w:left="1000" w:top="1208" w:right="1000" w:bottom="1440" w:gutter="0" w:footer="0" w:header="0"/>
        </w:sectPr>
      </w:pP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Office furniture and equipment</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 to 7 years</w:t>
      </w:r>
    </w:p>
    <w:p>
      <w:pPr>
        <w:spacing w:after="0" w:line="174" w:lineRule="exact"/>
        <w:rPr>
          <w:sz w:val="20"/>
          <w:szCs w:val="20"/>
          <w:color w:val="auto"/>
        </w:rPr>
      </w:pPr>
    </w:p>
    <w:p>
      <w:pPr>
        <w:sectPr>
          <w:pgSz w:w="12240" w:h="15840" w:orient="portrait"/>
          <w:cols w:equalWidth="0" w:num="2">
            <w:col w:w="4400" w:space="720"/>
            <w:col w:w="5120"/>
          </w:cols>
          <w:pgMar w:left="1000" w:top="1208" w:right="1000"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Vehicles</w:t>
      </w:r>
    </w:p>
    <w:p>
      <w:pPr>
        <w:spacing w:after="0" w:line="20" w:lineRule="exact"/>
        <w:rPr>
          <w:sz w:val="20"/>
          <w:szCs w:val="20"/>
          <w:color w:val="auto"/>
        </w:rPr>
      </w:pPr>
      <w:r>
        <w:rPr>
          <w:sz w:val="20"/>
          <w:szCs w:val="20"/>
          <w:color w:val="auto"/>
        </w:rPr>
        <w:br w:type="column"/>
      </w:r>
    </w:p>
    <w:p>
      <w:pPr>
        <w:jc w:val="center"/>
        <w:ind w:right="4740"/>
        <w:spacing w:after="0"/>
        <w:rPr>
          <w:sz w:val="20"/>
          <w:szCs w:val="20"/>
          <w:color w:val="auto"/>
        </w:rPr>
      </w:pPr>
      <w:r>
        <w:rPr>
          <w:rFonts w:ascii="Times New Roman" w:cs="Times New Roman" w:eastAsia="Times New Roman" w:hAnsi="Times New Roman"/>
          <w:sz w:val="12"/>
          <w:szCs w:val="12"/>
          <w:color w:val="auto"/>
        </w:rPr>
        <w:t>5 years</w:t>
      </w:r>
    </w:p>
    <w:p>
      <w:pPr>
        <w:spacing w:after="0" w:line="175" w:lineRule="exact"/>
        <w:rPr>
          <w:sz w:val="20"/>
          <w:szCs w:val="20"/>
          <w:color w:val="auto"/>
        </w:rPr>
      </w:pPr>
    </w:p>
    <w:p>
      <w:pPr>
        <w:sectPr>
          <w:pgSz w:w="12240" w:h="15840" w:orient="portrait"/>
          <w:cols w:equalWidth="0" w:num="2">
            <w:col w:w="4400" w:space="720"/>
            <w:col w:w="5120"/>
          </w:cols>
          <w:pgMar w:left="1000" w:top="1208" w:right="1000"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Machinery and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3 to 7 years</w:t>
      </w:r>
    </w:p>
    <w:p>
      <w:pPr>
        <w:spacing w:after="0" w:line="174" w:lineRule="exact"/>
        <w:rPr>
          <w:sz w:val="20"/>
          <w:szCs w:val="20"/>
          <w:color w:val="auto"/>
        </w:rPr>
      </w:pPr>
    </w:p>
    <w:p>
      <w:pPr>
        <w:sectPr>
          <w:pgSz w:w="12240" w:h="15840" w:orient="portrait"/>
          <w:cols w:equalWidth="0" w:num="2">
            <w:col w:w="4400" w:space="720"/>
            <w:col w:w="5120"/>
          </w:cols>
          <w:pgMar w:left="1000" w:top="1208" w:right="1000"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Leasehold improvements</w:t>
      </w:r>
    </w:p>
    <w:p>
      <w:pPr>
        <w:spacing w:after="0" w:line="20" w:lineRule="exact"/>
        <w:rPr>
          <w:sz w:val="20"/>
          <w:szCs w:val="20"/>
          <w:color w:val="auto"/>
        </w:rPr>
      </w:pPr>
      <w:r>
        <w:rPr>
          <w:sz w:val="20"/>
          <w:szCs w:val="20"/>
          <w:color w:val="auto"/>
        </w:rPr>
        <w:br w:type="column"/>
      </w:r>
    </w:p>
    <w:p>
      <w:pPr>
        <w:jc w:val="center"/>
        <w:ind w:right="3700"/>
        <w:spacing w:after="0"/>
        <w:rPr>
          <w:sz w:val="20"/>
          <w:szCs w:val="20"/>
          <w:color w:val="auto"/>
        </w:rPr>
      </w:pPr>
      <w:r>
        <w:rPr>
          <w:rFonts w:ascii="Times New Roman" w:cs="Times New Roman" w:eastAsia="Times New Roman" w:hAnsi="Times New Roman"/>
          <w:sz w:val="12"/>
          <w:szCs w:val="12"/>
          <w:color w:val="auto"/>
        </w:rPr>
        <w:t>Remaining Term of Lease</w:t>
      </w:r>
    </w:p>
    <w:p>
      <w:pPr>
        <w:spacing w:after="0" w:line="179" w:lineRule="exact"/>
        <w:rPr>
          <w:sz w:val="20"/>
          <w:szCs w:val="20"/>
          <w:color w:val="auto"/>
        </w:rPr>
      </w:pPr>
    </w:p>
    <w:p>
      <w:pPr>
        <w:sectPr>
          <w:pgSz w:w="12240" w:h="15840" w:orient="portrait"/>
          <w:cols w:equalWidth="0" w:num="2">
            <w:col w:w="4400" w:space="720"/>
            <w:col w:w="5120"/>
          </w:cols>
          <w:pgMar w:left="1000" w:top="1208" w:right="100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Use of Estimates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Impairment of Long-Lived Assets</w:t>
      </w:r>
    </w:p>
    <w:p>
      <w:pPr>
        <w:spacing w:after="0" w:line="14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Warrants</w:t>
      </w:r>
    </w:p>
    <w:p>
      <w:pPr>
        <w:spacing w:after="0" w:line="1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ASC 480, Distinguishing Liabilities from Equity (“</w:t>
      </w:r>
      <w:r>
        <w:rPr>
          <w:rFonts w:ascii="Times New Roman" w:cs="Times New Roman" w:eastAsia="Times New Roman" w:hAnsi="Times New Roman"/>
          <w:sz w:val="14"/>
          <w:szCs w:val="14"/>
          <w:b w:val="1"/>
          <w:bCs w:val="1"/>
          <w:color w:val="auto"/>
        </w:rPr>
        <w:t>ASC 480</w:t>
      </w:r>
      <w:r>
        <w:rPr>
          <w:rFonts w:ascii="Times New Roman" w:cs="Times New Roman" w:eastAsia="Times New Roman" w:hAnsi="Times New Roman"/>
          <w:sz w:val="14"/>
          <w:szCs w:val="14"/>
          <w:color w:val="auto"/>
        </w:rPr>
        <w:t>”), and ASC 815, Derivatives and Hedging (“</w:t>
      </w:r>
      <w:r>
        <w:rPr>
          <w:rFonts w:ascii="Times New Roman" w:cs="Times New Roman" w:eastAsia="Times New Roman" w:hAnsi="Times New Roman"/>
          <w:sz w:val="14"/>
          <w:szCs w:val="14"/>
          <w:b w:val="1"/>
          <w:bCs w:val="1"/>
          <w:color w:val="auto"/>
        </w:rPr>
        <w:t>ASC 815</w:t>
      </w:r>
      <w:r>
        <w:rPr>
          <w:rFonts w:ascii="Times New Roman" w:cs="Times New Roman" w:eastAsia="Times New Roman" w:hAnsi="Times New Roman"/>
          <w:sz w:val="14"/>
          <w:szCs w:val="14"/>
          <w:color w:val="auto"/>
        </w:rPr>
        <w:t xml:space="preserve"> ”),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require equity classification are measured at fair value upon issuance and are not subsequently remeasured unless they are required to be reclassified.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Commitments and Contingencies</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Revenue Recognition</w:t>
      </w:r>
    </w:p>
    <w:p>
      <w:pPr>
        <w:spacing w:after="0" w:line="14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Consolidated Statements of Operations.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13335</wp:posOffset>
                </wp:positionV>
                <wp:extent cx="650938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05pt" to="512.25pt,1.05pt" o:allowincell="f" strokecolor="#000000" strokeweight="1.2599pt"/>
            </w:pict>
          </mc:Fallback>
        </mc:AlternateContent>
      </w:r>
    </w:p>
    <w:p>
      <w:pPr>
        <w:sectPr>
          <w:pgSz w:w="12240" w:h="15840" w:orient="portrait"/>
          <w:cols w:equalWidth="0" w:num="1">
            <w:col w:w="10240"/>
          </w:cols>
          <w:pgMar w:left="1000" w:top="1208" w:right="1000"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Company may receive payments at the onset of the contract before delivery of goods for customers in the retail channel. Payment terms for distributors and OEMs are due within 30-60 days after shipment. In such instances, the Company records a customer deposit liability. The Company recognizes these contract liabilities as sales after the revenue criteria are met. The company had $1,779 of contract liabilities as of January 1, 2021. As of December 31, 2022 and 2021, the contract liability related to the Company’s customer deposits approximated $238 and $434, respectively. The entire contract liability balance as of December 31, 2021 was recognized as revenue during the year ended December 31, 2022. The entire contract liability balance as of January 1, 2021 was recognized as revenue during the year ended December 31, 2021.</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6"/>
              </w:rPr>
              <w:t>Disaggregation of Revenue:</w:t>
            </w:r>
          </w:p>
        </w:tc>
        <w:tc>
          <w:tcPr>
            <w:tcW w:w="5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19"/>
        </w:trPr>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present our disaggregated revenues by distribution channel:</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2"/>
        </w:trPr>
        <w:tc>
          <w:tcPr>
            <w:tcW w:w="6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20" w:type="dxa"/>
            <w:vAlign w:val="bottom"/>
            <w:tcBorders>
              <w:bottom w:val="single" w:sz="8" w:color="D1EEF5"/>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D1EEF5"/>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D1EEF5"/>
            </w:tcBorders>
          </w:tcPr>
          <w:p>
            <w:pPr>
              <w:spacing w:after="0"/>
              <w:rPr>
                <w:sz w:val="24"/>
                <w:szCs w:val="24"/>
                <w:color w:val="auto"/>
              </w:rPr>
            </w:pPr>
          </w:p>
        </w:tc>
      </w:tr>
      <w:tr>
        <w:trPr>
          <w:trHeight w:val="152"/>
        </w:trPr>
        <w:tc>
          <w:tcPr>
            <w:tcW w:w="6540" w:type="dxa"/>
            <w:vAlign w:val="bottom"/>
            <w:gridSpan w:val="2"/>
            <w:shd w:val="clear" w:color="auto" w:fill="D1EEF5"/>
          </w:tcPr>
          <w:p>
            <w:pPr>
              <w:spacing w:after="0" w:line="153" w:lineRule="exact"/>
              <w:rPr>
                <w:sz w:val="20"/>
                <w:szCs w:val="20"/>
                <w:color w:val="auto"/>
              </w:rPr>
            </w:pPr>
            <w:r>
              <w:rPr>
                <w:rFonts w:ascii="Times New Roman" w:cs="Times New Roman" w:eastAsia="Times New Roman" w:hAnsi="Times New Roman"/>
                <w:sz w:val="14"/>
                <w:szCs w:val="14"/>
                <w:color w:val="auto"/>
              </w:rPr>
              <w:t>Retail</w:t>
            </w:r>
          </w:p>
        </w:tc>
        <w:tc>
          <w:tcPr>
            <w:tcW w:w="220" w:type="dxa"/>
            <w:vAlign w:val="bottom"/>
            <w:shd w:val="clear" w:color="auto" w:fill="D1EEF5"/>
          </w:tcPr>
          <w:p>
            <w:pPr>
              <w:spacing w:after="0"/>
              <w:rPr>
                <w:sz w:val="13"/>
                <w:szCs w:val="13"/>
                <w:color w:val="auto"/>
              </w:rPr>
            </w:pPr>
          </w:p>
        </w:tc>
        <w:tc>
          <w:tcPr>
            <w:tcW w:w="340" w:type="dxa"/>
            <w:vAlign w:val="bottom"/>
            <w:shd w:val="clear" w:color="auto" w:fill="D1EEF5"/>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43,344</w:t>
            </w:r>
          </w:p>
        </w:tc>
        <w:tc>
          <w:tcPr>
            <w:tcW w:w="300" w:type="dxa"/>
            <w:vAlign w:val="bottom"/>
            <w:shd w:val="clear" w:color="auto" w:fill="D1EEF5"/>
          </w:tcPr>
          <w:p>
            <w:pPr>
              <w:spacing w:after="0"/>
              <w:rPr>
                <w:sz w:val="13"/>
                <w:szCs w:val="13"/>
                <w:color w:val="auto"/>
              </w:rPr>
            </w:pPr>
          </w:p>
        </w:tc>
        <w:tc>
          <w:tcPr>
            <w:tcW w:w="360" w:type="dxa"/>
            <w:vAlign w:val="bottom"/>
            <w:shd w:val="clear" w:color="auto" w:fill="D1EEF5"/>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59,042</w:t>
            </w:r>
          </w:p>
        </w:tc>
        <w:tc>
          <w:tcPr>
            <w:tcW w:w="100" w:type="dxa"/>
            <w:vAlign w:val="bottom"/>
            <w:shd w:val="clear" w:color="auto" w:fill="D1EEF5"/>
          </w:tcPr>
          <w:p>
            <w:pPr>
              <w:spacing w:after="0"/>
              <w:rPr>
                <w:sz w:val="13"/>
                <w:szCs w:val="13"/>
                <w:color w:val="auto"/>
              </w:rPr>
            </w:pPr>
          </w:p>
        </w:tc>
      </w:tr>
      <w:tr>
        <w:trPr>
          <w:trHeight w:val="156"/>
        </w:trPr>
        <w:tc>
          <w:tcPr>
            <w:tcW w:w="654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Distributor</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9,102</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10,733</w:t>
            </w:r>
          </w:p>
        </w:tc>
        <w:tc>
          <w:tcPr>
            <w:tcW w:w="100" w:type="dxa"/>
            <w:vAlign w:val="bottom"/>
          </w:tcPr>
          <w:p>
            <w:pPr>
              <w:spacing w:after="0"/>
              <w:rPr>
                <w:sz w:val="13"/>
                <w:szCs w:val="13"/>
                <w:color w:val="auto"/>
              </w:rPr>
            </w:pPr>
          </w:p>
        </w:tc>
      </w:tr>
      <w:tr>
        <w:trPr>
          <w:trHeight w:val="183"/>
        </w:trPr>
        <w:tc>
          <w:tcPr>
            <w:tcW w:w="6540" w:type="dxa"/>
            <w:vAlign w:val="bottom"/>
            <w:tcBorders>
              <w:bottom w:val="single" w:sz="8" w:color="D1EEF5"/>
            </w:tcBorders>
            <w:gridSpan w:val="2"/>
            <w:shd w:val="clear" w:color="auto" w:fill="D1EEF5"/>
          </w:tcPr>
          <w:p>
            <w:pPr>
              <w:spacing w:after="0"/>
              <w:rPr>
                <w:sz w:val="20"/>
                <w:szCs w:val="20"/>
                <w:color w:val="auto"/>
              </w:rPr>
            </w:pPr>
            <w:r>
              <w:rPr>
                <w:rFonts w:ascii="Times New Roman" w:cs="Times New Roman" w:eastAsia="Times New Roman" w:hAnsi="Times New Roman"/>
                <w:sz w:val="14"/>
                <w:szCs w:val="14"/>
                <w:color w:val="auto"/>
              </w:rPr>
              <w:t>Original equipment manufacture</w:t>
            </w:r>
          </w:p>
        </w:tc>
        <w:tc>
          <w:tcPr>
            <w:tcW w:w="220" w:type="dxa"/>
            <w:vAlign w:val="bottom"/>
            <w:tcBorders>
              <w:bottom w:val="single" w:sz="8" w:color="D1EEF5"/>
            </w:tcBorders>
            <w:shd w:val="clear" w:color="auto" w:fill="D1EEF5"/>
          </w:tcPr>
          <w:p>
            <w:pPr>
              <w:spacing w:after="0"/>
              <w:rPr>
                <w:sz w:val="15"/>
                <w:szCs w:val="15"/>
                <w:color w:val="auto"/>
              </w:rPr>
            </w:pPr>
          </w:p>
        </w:tc>
        <w:tc>
          <w:tcPr>
            <w:tcW w:w="340" w:type="dxa"/>
            <w:vAlign w:val="bottom"/>
            <w:tcBorders>
              <w:bottom w:val="single" w:sz="8" w:color="auto"/>
            </w:tcBorders>
            <w:shd w:val="clear" w:color="auto" w:fill="D1EEF5"/>
          </w:tcPr>
          <w:p>
            <w:pPr>
              <w:spacing w:after="0"/>
              <w:rPr>
                <w:sz w:val="15"/>
                <w:szCs w:val="15"/>
                <w:color w:val="auto"/>
              </w:rPr>
            </w:pPr>
          </w:p>
        </w:tc>
        <w:tc>
          <w:tcPr>
            <w:tcW w:w="120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33,805</w:t>
            </w:r>
          </w:p>
        </w:tc>
        <w:tc>
          <w:tcPr>
            <w:tcW w:w="300" w:type="dxa"/>
            <w:vAlign w:val="bottom"/>
            <w:tcBorders>
              <w:bottom w:val="single" w:sz="8" w:color="D1EEF5"/>
            </w:tcBorders>
            <w:shd w:val="clear" w:color="auto" w:fill="D1EEF5"/>
          </w:tcPr>
          <w:p>
            <w:pPr>
              <w:spacing w:after="0"/>
              <w:rPr>
                <w:sz w:val="15"/>
                <w:szCs w:val="15"/>
                <w:color w:val="auto"/>
              </w:rPr>
            </w:pPr>
          </w:p>
        </w:tc>
        <w:tc>
          <w:tcPr>
            <w:tcW w:w="360" w:type="dxa"/>
            <w:vAlign w:val="bottom"/>
            <w:tcBorders>
              <w:bottom w:val="single" w:sz="8" w:color="auto"/>
            </w:tcBorders>
            <w:shd w:val="clear" w:color="auto" w:fill="D1EEF5"/>
          </w:tcPr>
          <w:p>
            <w:pPr>
              <w:spacing w:after="0"/>
              <w:rPr>
                <w:sz w:val="15"/>
                <w:szCs w:val="15"/>
                <w:color w:val="auto"/>
              </w:rPr>
            </w:pPr>
          </w:p>
        </w:tc>
        <w:tc>
          <w:tcPr>
            <w:tcW w:w="118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8,225</w:t>
            </w:r>
          </w:p>
        </w:tc>
        <w:tc>
          <w:tcPr>
            <w:tcW w:w="100" w:type="dxa"/>
            <w:vAlign w:val="bottom"/>
            <w:tcBorders>
              <w:bottom w:val="single" w:sz="8" w:color="D1EEF5"/>
            </w:tcBorders>
            <w:shd w:val="clear" w:color="auto" w:fill="D1EEF5"/>
          </w:tcPr>
          <w:p>
            <w:pPr>
              <w:spacing w:after="0"/>
              <w:rPr>
                <w:sz w:val="15"/>
                <w:szCs w:val="15"/>
                <w:color w:val="auto"/>
              </w:rPr>
            </w:pPr>
          </w:p>
        </w:tc>
      </w:tr>
      <w:tr>
        <w:trPr>
          <w:trHeight w:val="167"/>
        </w:trPr>
        <w:tc>
          <w:tcPr>
            <w:tcW w:w="6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spacing w:after="0"/>
              <w:rPr>
                <w:sz w:val="14"/>
                <w:szCs w:val="14"/>
                <w:color w:val="auto"/>
              </w:rPr>
            </w:pP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86,251</w:t>
            </w:r>
          </w:p>
        </w:tc>
        <w:tc>
          <w:tcPr>
            <w:tcW w:w="300" w:type="dxa"/>
            <w:vAlign w:val="bottom"/>
          </w:tcPr>
          <w:p>
            <w:pPr>
              <w:spacing w:after="0"/>
              <w:rPr>
                <w:sz w:val="14"/>
                <w:szCs w:val="14"/>
                <w:color w:val="auto"/>
              </w:rPr>
            </w:pP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78,000</w:t>
            </w: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-29845</wp:posOffset>
            </wp:positionV>
            <wp:extent cx="2171065" cy="495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7">
                      <a:extLst>
                        <a:ext uri="{28A0092B-C50C-407E-A947-70E740481C1C}"/>
                      </a:extLst>
                    </a:blip>
                    <a:srcRect/>
                    <a:stretch>
                      <a:fillRect/>
                    </a:stretch>
                  </pic:blipFill>
                  <pic:spPr bwMode="auto">
                    <a:xfrm>
                      <a:off x="0" y="0"/>
                      <a:ext cx="2171065" cy="4953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Shipping and Handling</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$5,440 and $5,105 for the years ended December 31, 2022 and 2021,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Product Warranty</w:t>
      </w:r>
    </w:p>
    <w:p>
      <w:pPr>
        <w:spacing w:after="0" w:line="1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Company offers assurance type warranties from 5 to 10 years on its products. The Company estimates the costs associated with the warranty obligation using historical data of warranty claims and costs incurred to satisfy those claims and records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2022 and 2021 to be $328 and $0, respectively.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12700</wp:posOffset>
                </wp:positionV>
                <wp:extent cx="650938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763">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pt" to="512.25pt,1pt" o:allowincell="f" strokecolor="#000000" strokeweight="1.3199pt"/>
            </w:pict>
          </mc:Fallback>
        </mc:AlternateContent>
      </w:r>
    </w:p>
    <w:p>
      <w:pPr>
        <w:sectPr>
          <w:pgSz w:w="12240" w:h="15840" w:orient="portrait"/>
          <w:cols w:equalWidth="0" w:num="1">
            <w:col w:w="10240"/>
          </w:cols>
          <w:pgMar w:left="1000" w:top="1208" w:right="1000"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Concentrations</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Receivables from three customers comprised approximately 18%, 10% and 10%, respectively, of accounts receivable as of December 31, 2022. Receivables from two customers comprised approximately 42% and 16%, respectively, of accounts receivable as of December 31, 2021. There are no other significant accounts receivable concentrations.</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Revenue from one customer accounted for approximately 22% of the Company’s sales for year ended December 31, 2022. There were no significant revenue concentrations for the year ended December 31,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Payables to one vendor comprised approximately 61% of accounts payables as of December 31, 2022. There were no significant payable concentrations as of December 31, 2021.</w:t>
      </w:r>
    </w:p>
    <w:p>
      <w:pPr>
        <w:spacing w:after="0" w:line="1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For the year ended December 31, 2022, one vendor accounted for approximately 28% of the Company’s total purchases, respectively. For the year ended December 31, 2021, three vendors accounted for approximately 27%, 10% and 10% of the Company’s total purchases,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Deferred Financing Costs</w:t>
      </w:r>
    </w:p>
    <w:p>
      <w:pPr>
        <w:spacing w:after="0" w:line="1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Research and Development</w:t>
      </w:r>
    </w:p>
    <w:p>
      <w:pPr>
        <w:spacing w:after="0" w:line="1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Advertising</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Company expenses advertising costs as they are incurred and are included in selling and marketing expenses. Advertising expenses amounted to $2,334 and $1,690 for the years ended December 31, 2022 and 2021,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Stock-Based Compensation</w:t>
      </w:r>
    </w:p>
    <w:p>
      <w:pPr>
        <w:spacing w:after="0" w:line="14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Company accounts for stock based compensation arrangements with employees and non employee consultants using a fair value method which requires the recognition of compensation expense for costs related to all stock based payments, including stock options (Note 14).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 based compensation awards granted to non employees at fair value as the awards vest and recognizes the resulting value as compensation expense at each financial reporting period.</w:t>
      </w:r>
    </w:p>
    <w:p>
      <w:pPr>
        <w:spacing w:after="0" w:line="13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13335</wp:posOffset>
                </wp:positionV>
                <wp:extent cx="650938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05pt" to="512.25pt,1.05pt" o:allowincell="f" strokecolor="#000000" strokeweight="1.32pt"/>
            </w:pict>
          </mc:Fallback>
        </mc:AlternateContent>
      </w:r>
    </w:p>
    <w:p>
      <w:pPr>
        <w:sectPr>
          <w:pgSz w:w="12240" w:h="15840" w:orient="portrait"/>
          <w:cols w:equalWidth="0" w:num="1">
            <w:col w:w="10240"/>
          </w:cols>
          <w:pgMar w:left="1000" w:top="1208" w:right="1000"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Income Taxes</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Deferred income tax assets and liabilities (Note 9)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Company recognizes a tax benefit for an uncertain tax position only if it is more likely than not that the tax position will be sustained on examination by taxing authorities, based on the technical merits of the position. The Company has a liability of $128 and $0 as of December 31, 2022 and 2021, respectively, of uncertain tax positions.</w:t>
      </w:r>
    </w:p>
    <w:p>
      <w:pPr>
        <w:spacing w:after="0" w:line="118" w:lineRule="exact"/>
        <w:rPr>
          <w:sz w:val="20"/>
          <w:szCs w:val="20"/>
          <w:color w:val="auto"/>
        </w:rPr>
      </w:pPr>
    </w:p>
    <w:p>
      <w:pPr>
        <w:jc w:val="both"/>
        <w:spacing w:after="0" w:line="345" w:lineRule="auto"/>
        <w:rPr>
          <w:sz w:val="20"/>
          <w:szCs w:val="20"/>
          <w:color w:val="auto"/>
        </w:rPr>
      </w:pPr>
      <w:r>
        <w:rPr>
          <w:rFonts w:ascii="Times New Roman" w:cs="Times New Roman" w:eastAsia="Times New Roman" w:hAnsi="Times New Roman"/>
          <w:sz w:val="12"/>
          <w:szCs w:val="12"/>
          <w:color w:val="auto"/>
        </w:rPr>
        <w:t>The Company’s accounting policy is to include penalties and interest related to income taxes if any, in selling, general and administrative expenses. We regularly assess the need to record a valuation allowance against net deferred tax assets if, based upon the available evidence, it is more likely than not that some or all of the deferred tax assets will not be realized.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Net (Loss) Earnings per Common Share</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Basic net (loss) earnings per share is calculated by dividing net (loss) earnings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spacing w:after="0" w:line="1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weighted-average number of common shares included in the computation of diluted net (loss) earnings gives effect to all potentially dilutive common equivalent shares, including outstanding stock options and warrants.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Common stock equivalent shares are excluded from the computation of diluted net (loss) earnings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1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 xml:space="preserve">As the Merger has been accounted for as a reverse recapitalization, the consolidated financial statements of the merged entity reflect the continuation of the pre-merger Legacy Dragonfly financial statements; Dragonfly equity has been retroactively adjusted to the earliest period presented to reflect the legal capital of the legal acquirer, CNTQ. As a result, net (loss) earnings per share was also retrospectively adjusted for periods ended prior to the Merger. See </w:t>
      </w:r>
      <w:r>
        <w:rPr>
          <w:rFonts w:ascii="Times New Roman" w:cs="Times New Roman" w:eastAsia="Times New Roman" w:hAnsi="Times New Roman"/>
          <w:sz w:val="14"/>
          <w:szCs w:val="14"/>
          <w:i w:val="1"/>
          <w:iCs w:val="1"/>
          <w:color w:val="auto"/>
        </w:rPr>
        <w:t>Note 3 - Reverse Capitalization</w:t>
      </w:r>
      <w:r>
        <w:rPr>
          <w:rFonts w:ascii="Times New Roman" w:cs="Times New Roman" w:eastAsia="Times New Roman" w:hAnsi="Times New Roman"/>
          <w:sz w:val="14"/>
          <w:szCs w:val="14"/>
          <w:color w:val="auto"/>
        </w:rPr>
        <w:t xml:space="preserve"> for details and discussion of the retrospective adjustment of net loss per share.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Leases</w:t>
      </w:r>
    </w:p>
    <w:p>
      <w:pPr>
        <w:spacing w:after="0" w:line="14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Financial Accounting Standards Board (“FASB”) Accounting Standard Update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Segment Reporting</w:t>
      </w:r>
    </w:p>
    <w:p>
      <w:pPr>
        <w:spacing w:after="0" w:line="147" w:lineRule="exact"/>
        <w:rPr>
          <w:sz w:val="20"/>
          <w:szCs w:val="20"/>
          <w:color w:val="auto"/>
        </w:rPr>
      </w:pPr>
    </w:p>
    <w:p>
      <w:pPr>
        <w:jc w:val="both"/>
        <w:spacing w:after="0" w:line="345" w:lineRule="auto"/>
        <w:rPr>
          <w:sz w:val="20"/>
          <w:szCs w:val="20"/>
          <w:color w:val="auto"/>
        </w:rPr>
      </w:pPr>
      <w:r>
        <w:rPr>
          <w:rFonts w:ascii="Times New Roman" w:cs="Times New Roman" w:eastAsia="Times New Roman" w:hAnsi="Times New Roman"/>
          <w:sz w:val="12"/>
          <w:szCs w:val="12"/>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12700</wp:posOffset>
                </wp:positionV>
                <wp:extent cx="650938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0">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pt" to="512.25pt,1pt" o:allowincell="f" strokecolor="#000000" strokeweight="1.2598pt"/>
            </w:pict>
          </mc:Fallback>
        </mc:AlternateContent>
      </w:r>
    </w:p>
    <w:p>
      <w:pPr>
        <w:sectPr>
          <w:pgSz w:w="12240" w:h="15840" w:orient="portrait"/>
          <w:cols w:equalWidth="0" w:num="1">
            <w:col w:w="10240"/>
          </w:cols>
          <w:pgMar w:left="1000" w:top="1208" w:right="100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REVERSE CAPITALIZATION</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On October 7, 2022, Legacy Dragonfly consummated a merger with CNTQ. Legacy Dragonfly was deemed to be the accounting acquirer in the merger. The determination was primarily based on Legacy Dragonfly’s stockholders having a majority of the voting power in the combined Company, Legacy Dragonfly having the ability to appoint a majority of the Board of Directors of the Company, Legacy Dragonfly’s existing management team comprising the senior management of the combined Company, Legacy Dragonfly comprising the ongoing operations of the combined Company and the combined Company assumed the name “Dragonfly Energy Holdings Corp.”. Accordingly, for accounting purposes, the merger was treated as the equivalent of Legacy Dragonfly issuing stock for the net assets of CNTQ, accompanied by a recapitalization. The net assets of CNTQ are stated at historical cost, with no goodwill or other intangible assets recorded.</w:t>
      </w:r>
    </w:p>
    <w:p>
      <w:pPr>
        <w:spacing w:after="0" w:line="13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accordance with guidance applicable to these circumstances, the equity structure has been restated in all comparable periods up to October 7, 2022, to reflect the number of shares of the Company’s common stock, $0.0001 par value per share, issued to Legacy Dragonfly’s stockholders in connection with the merger. As such, the shares and corresponding capital amounts and earnings per share related to Legacy Dragonfly’s outstanding convertible preferred stock and Legacy Dragonfly’s common stock prior to the merger have been retroactively restated as shares reflecting the exchange ratio of 1.182 established in the merger. Legacy Dragonfly’s convertible preferred stock previously classified as temporary equity was retroactively adjusted, converted into common stock and reclassified to permanent equity as a result of the reverse recapitalization.</w:t>
      </w:r>
    </w:p>
    <w:p>
      <w:pPr>
        <w:spacing w:after="0" w:line="1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Immediately before the closing of the merger, and prior to the PIPE Financing, and the funds remaining after such redemptions, totaling approximately $6,265, became available to finance transaction expenses and the future operations of New Dragonfly. In connection with the merger, CNTQ entered into agreements with new investors and existing Legacy Dragonfly investors to subscribe and purchase an aggregate of approximately 500,000 shares of CNTQ Class A common stock (the “</w:t>
      </w:r>
      <w:r>
        <w:rPr>
          <w:rFonts w:ascii="Times New Roman" w:cs="Times New Roman" w:eastAsia="Times New Roman" w:hAnsi="Times New Roman"/>
          <w:sz w:val="14"/>
          <w:szCs w:val="14"/>
          <w:b w:val="1"/>
          <w:bCs w:val="1"/>
          <w:color w:val="auto"/>
        </w:rPr>
        <w:t>PIPE Financing</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The PIPE Financing was consummated on September 26, 2022 and resulted in gross proceeds of an additional approximately $5,017, prior to payment of the transaction costs. As part of the PIPE Financing, the Company entered an initial Term Loan for an aggregate principal amount of $75,000. The Company incurred debt issuance costs of $1,950 of original issuance discount and additional $2,081 of transaction costs that were allocated to the Term Loan, resulting in net cash proceeds of $70,969. In addition, $52,956 of Term Loan warrants based on their combined relative fair values was recorded as a debt discount resulting in initial carrying amount of debt of $18,013. Pursuant to the terms of the loan agreement, the Term Loan was advanced in one tranche on the closing date and the funds were used to refinance on the closing date prior indebtedness of $42,492 (including payment of make-whole interest related to early extinguishment of debt),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direct and incremental transaction costs of approximately $13,221 were allocated to all instruments assumed and issued in the merger on a relative fair value basis. As such, the Company allocated $2,081 to the Term Loan, $9,633 to equity instruments, which was expensed in general and administrative expenses as the offering costs exceeded the proceeds received, and $1,507 to the warrant liabilities assumed and warrant liabilities issued with the term debt, which was expensed within the general and administrative expenses within the statement of operations.</w:t>
      </w:r>
    </w:p>
    <w:p>
      <w:pPr>
        <w:spacing w:after="0" w:line="1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Additionally, pursuant to the terms of the merger, the Company assumed $18,072 of CNTQ accrued and unpaid transaction expenses, of which all were paid upon consummation of the merger. As detailed below, $10,197 of these costs were expensed as the amount exceeded the proceeds received and such costs were determined not be a return to investors.</w:t>
      </w:r>
    </w:p>
    <w:p>
      <w:pPr>
        <w:spacing w:after="0" w:line="1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Upon the closing of the merger, the Company’s certificate of incorporation was amended and restated to, among other things, increase the total number of authorized shares of all classes of capital stock to 175,000,000 common shares, of which 170,000,000 were designated as common stock and 5,000,000 were designated as preferred stock, both having a par value of $0.0001 per share.</w:t>
      </w:r>
    </w:p>
    <w:p>
      <w:pPr>
        <w:spacing w:after="0" w:line="1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Upon the closing of the merger, holders of Legacy Dragonfly common stock and preferred stock received shares of common stock in an amount determined by application of the Exchange Ratio. For periods prior to the merger, the reported share and per share amounts have been retroactively converted by applying the Exchange Ratio. The consolidated assets, liabilities, and results of operations prior to the merger are those of Legacy Dragonfly.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elements of the merger allocated to the Consolidated Statements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Amounts</w:t>
            </w:r>
          </w:p>
        </w:tc>
        <w:tc>
          <w:tcPr>
            <w:tcW w:w="1020" w:type="dxa"/>
            <w:vAlign w:val="bottom"/>
          </w:tcPr>
          <w:p>
            <w:pPr>
              <w:spacing w:after="0"/>
              <w:rPr>
                <w:sz w:val="15"/>
                <w:szCs w:val="15"/>
                <w:color w:val="auto"/>
              </w:rPr>
            </w:pPr>
          </w:p>
        </w:tc>
      </w:tr>
      <w:tr>
        <w:trPr>
          <w:trHeight w:val="156"/>
        </w:trPr>
        <w:tc>
          <w:tcPr>
            <w:tcW w:w="1020" w:type="dxa"/>
            <w:vAlign w:val="bottom"/>
          </w:tcPr>
          <w:p>
            <w:pPr>
              <w:spacing w:after="0"/>
              <w:rPr>
                <w:sz w:val="13"/>
                <w:szCs w:val="13"/>
                <w:color w:val="auto"/>
              </w:rPr>
            </w:pPr>
          </w:p>
        </w:tc>
        <w:tc>
          <w:tcPr>
            <w:tcW w:w="3200" w:type="dxa"/>
            <w:vAlign w:val="bottom"/>
            <w:tcBorders>
              <w:top w:val="single" w:sz="8" w:color="D1EEF5"/>
            </w:tcBorders>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Cash: CNTQ trust and PIPE Investors</w:t>
            </w:r>
          </w:p>
        </w:tc>
        <w:tc>
          <w:tcPr>
            <w:tcW w:w="3680" w:type="dxa"/>
            <w:vAlign w:val="bottom"/>
            <w:tcBorders>
              <w:top w:val="single" w:sz="8" w:color="D1EEF5"/>
            </w:tcBorders>
            <w:shd w:val="clear" w:color="auto" w:fill="D1EEF5"/>
          </w:tcPr>
          <w:p>
            <w:pPr>
              <w:spacing w:after="0"/>
              <w:rPr>
                <w:sz w:val="13"/>
                <w:szCs w:val="13"/>
                <w:color w:val="auto"/>
              </w:rPr>
            </w:pPr>
          </w:p>
        </w:tc>
        <w:tc>
          <w:tcPr>
            <w:tcW w:w="220" w:type="dxa"/>
            <w:vAlign w:val="bottom"/>
            <w:tcBorders>
              <w:top w:val="single" w:sz="8" w:color="auto"/>
            </w:tcBorders>
            <w:shd w:val="clear" w:color="auto" w:fill="D1EEF5"/>
          </w:tcPr>
          <w:p>
            <w:pPr>
              <w:jc w:val="right"/>
              <w:ind w:right="72"/>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10,979</w:t>
            </w:r>
          </w:p>
        </w:tc>
        <w:tc>
          <w:tcPr>
            <w:tcW w:w="80" w:type="dxa"/>
            <w:vAlign w:val="bottom"/>
            <w:tcBorders>
              <w:top w:val="single" w:sz="8" w:color="D1EEF5"/>
            </w:tcBorders>
            <w:shd w:val="clear" w:color="auto" w:fill="D1EEF5"/>
          </w:tcPr>
          <w:p>
            <w:pPr>
              <w:spacing w:after="0"/>
              <w:rPr>
                <w:sz w:val="13"/>
                <w:szCs w:val="13"/>
                <w:color w:val="auto"/>
              </w:rPr>
            </w:pPr>
          </w:p>
        </w:tc>
        <w:tc>
          <w:tcPr>
            <w:tcW w:w="1020" w:type="dxa"/>
            <w:vAlign w:val="bottom"/>
          </w:tcPr>
          <w:p>
            <w:pPr>
              <w:spacing w:after="0"/>
              <w:rPr>
                <w:sz w:val="13"/>
                <w:szCs w:val="13"/>
                <w:color w:val="auto"/>
              </w:rPr>
            </w:pPr>
          </w:p>
        </w:tc>
      </w:tr>
      <w:tr>
        <w:trPr>
          <w:trHeight w:val="167"/>
        </w:trPr>
        <w:tc>
          <w:tcPr>
            <w:tcW w:w="1020" w:type="dxa"/>
            <w:vAlign w:val="bottom"/>
          </w:tcPr>
          <w:p>
            <w:pPr>
              <w:spacing w:after="0"/>
              <w:rPr>
                <w:sz w:val="14"/>
                <w:szCs w:val="14"/>
                <w:color w:val="auto"/>
              </w:rPr>
            </w:pPr>
          </w:p>
        </w:tc>
        <w:tc>
          <w:tcPr>
            <w:tcW w:w="3200" w:type="dxa"/>
            <w:vAlign w:val="bottom"/>
            <w:tcBorders>
              <w:bottom w:val="single" w:sz="8" w:color="D1EEF5"/>
            </w:tcBorders>
          </w:tcPr>
          <w:p>
            <w:pPr>
              <w:spacing w:after="0"/>
              <w:rPr>
                <w:sz w:val="20"/>
                <w:szCs w:val="20"/>
                <w:color w:val="auto"/>
              </w:rPr>
            </w:pPr>
            <w:r>
              <w:rPr>
                <w:rFonts w:ascii="Times New Roman" w:cs="Times New Roman" w:eastAsia="Times New Roman" w:hAnsi="Times New Roman"/>
                <w:sz w:val="14"/>
                <w:szCs w:val="14"/>
                <w:color w:val="auto"/>
              </w:rPr>
              <w:t>Cash: CNTQ</w:t>
            </w:r>
          </w:p>
        </w:tc>
        <w:tc>
          <w:tcPr>
            <w:tcW w:w="3680" w:type="dxa"/>
            <w:vAlign w:val="bottom"/>
            <w:tcBorders>
              <w:bottom w:val="single" w:sz="8" w:color="D1EEF5"/>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Borders>
              <w:bottom w:val="single" w:sz="8" w:color="D1EEF5"/>
            </w:tcBorders>
          </w:tcPr>
          <w:p>
            <w:pPr>
              <w:spacing w:after="0"/>
              <w:rPr>
                <w:sz w:val="14"/>
                <w:szCs w:val="14"/>
                <w:color w:val="auto"/>
              </w:rPr>
            </w:pPr>
          </w:p>
        </w:tc>
        <w:tc>
          <w:tcPr>
            <w:tcW w:w="1020" w:type="dxa"/>
            <w:vAlign w:val="bottom"/>
          </w:tcPr>
          <w:p>
            <w:pPr>
              <w:spacing w:after="0"/>
              <w:rPr>
                <w:sz w:val="14"/>
                <w:szCs w:val="14"/>
                <w:color w:val="auto"/>
              </w:rPr>
            </w:pPr>
          </w:p>
        </w:tc>
      </w:tr>
      <w:tr>
        <w:trPr>
          <w:trHeight w:val="191"/>
        </w:trPr>
        <w:tc>
          <w:tcPr>
            <w:tcW w:w="1020" w:type="dxa"/>
            <w:vAlign w:val="bottom"/>
          </w:tcPr>
          <w:p>
            <w:pPr>
              <w:spacing w:after="0"/>
              <w:rPr>
                <w:sz w:val="16"/>
                <w:szCs w:val="16"/>
                <w:color w:val="auto"/>
              </w:rPr>
            </w:pPr>
          </w:p>
        </w:tc>
        <w:tc>
          <w:tcPr>
            <w:tcW w:w="32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3680" w:type="dxa"/>
            <w:vAlign w:val="bottom"/>
            <w:shd w:val="clear" w:color="auto" w:fill="D1EEF5"/>
          </w:tcPr>
          <w:p>
            <w:pPr>
              <w:spacing w:after="0"/>
              <w:rPr>
                <w:sz w:val="16"/>
                <w:szCs w:val="16"/>
                <w:color w:val="auto"/>
              </w:rPr>
            </w:pPr>
          </w:p>
        </w:tc>
        <w:tc>
          <w:tcPr>
            <w:tcW w:w="220" w:type="dxa"/>
            <w:vAlign w:val="bottom"/>
            <w:shd w:val="clear" w:color="auto" w:fill="D1EEF5"/>
          </w:tcPr>
          <w:p>
            <w:pPr>
              <w:spacing w:after="0"/>
              <w:rPr>
                <w:sz w:val="16"/>
                <w:szCs w:val="16"/>
                <w:color w:val="auto"/>
              </w:rPr>
            </w:pPr>
          </w:p>
        </w:tc>
        <w:tc>
          <w:tcPr>
            <w:tcW w:w="102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11,282</w:t>
            </w:r>
          </w:p>
        </w:tc>
        <w:tc>
          <w:tcPr>
            <w:tcW w:w="80" w:type="dxa"/>
            <w:vAlign w:val="bottom"/>
            <w:shd w:val="clear" w:color="auto" w:fill="D1EEF5"/>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10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Net liabilities assumed in merger transaction</w:t>
            </w:r>
          </w:p>
        </w:tc>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1020" w:type="dxa"/>
            <w:vAlign w:val="bottom"/>
          </w:tcPr>
          <w:p>
            <w:pPr>
              <w:spacing w:after="0"/>
              <w:rPr>
                <w:sz w:val="16"/>
                <w:szCs w:val="16"/>
                <w:color w:val="auto"/>
              </w:rPr>
            </w:pPr>
          </w:p>
        </w:tc>
      </w:tr>
      <w:tr>
        <w:trPr>
          <w:trHeight w:val="195"/>
        </w:trPr>
        <w:tc>
          <w:tcPr>
            <w:tcW w:w="1020" w:type="dxa"/>
            <w:vAlign w:val="bottom"/>
          </w:tcPr>
          <w:p>
            <w:pPr>
              <w:spacing w:after="0"/>
              <w:rPr>
                <w:sz w:val="16"/>
                <w:szCs w:val="16"/>
                <w:color w:val="auto"/>
              </w:rPr>
            </w:pPr>
          </w:p>
        </w:tc>
        <w:tc>
          <w:tcPr>
            <w:tcW w:w="32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Warrant liability assumed in merger</w:t>
            </w:r>
          </w:p>
        </w:tc>
        <w:tc>
          <w:tcPr>
            <w:tcW w:w="3680" w:type="dxa"/>
            <w:vAlign w:val="bottom"/>
            <w:shd w:val="clear" w:color="auto" w:fill="D1EEF5"/>
          </w:tcPr>
          <w:p>
            <w:pPr>
              <w:spacing w:after="0"/>
              <w:rPr>
                <w:sz w:val="16"/>
                <w:szCs w:val="16"/>
                <w:color w:val="auto"/>
              </w:rPr>
            </w:pPr>
          </w:p>
        </w:tc>
        <w:tc>
          <w:tcPr>
            <w:tcW w:w="220" w:type="dxa"/>
            <w:vAlign w:val="bottom"/>
            <w:shd w:val="clear" w:color="auto" w:fill="D1EEF5"/>
          </w:tcPr>
          <w:p>
            <w:pPr>
              <w:spacing w:after="0"/>
              <w:rPr>
                <w:sz w:val="16"/>
                <w:szCs w:val="16"/>
                <w:color w:val="auto"/>
              </w:rPr>
            </w:pPr>
          </w:p>
        </w:tc>
        <w:tc>
          <w:tcPr>
            <w:tcW w:w="110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1020" w:type="dxa"/>
            <w:vAlign w:val="bottom"/>
          </w:tcPr>
          <w:p>
            <w:pPr>
              <w:spacing w:after="0"/>
              <w:rPr>
                <w:sz w:val="16"/>
                <w:szCs w:val="16"/>
                <w:color w:val="auto"/>
              </w:rPr>
            </w:pPr>
          </w:p>
        </w:tc>
      </w:tr>
      <w:tr>
        <w:trPr>
          <w:trHeight w:val="185"/>
        </w:trPr>
        <w:tc>
          <w:tcPr>
            <w:tcW w:w="10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CNTQ note payable settlement at close</w:t>
            </w:r>
          </w:p>
        </w:tc>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20" w:type="dxa"/>
            <w:vAlign w:val="bottom"/>
          </w:tcPr>
          <w:p>
            <w:pPr>
              <w:spacing w:after="0"/>
              <w:rPr>
                <w:sz w:val="16"/>
                <w:szCs w:val="16"/>
                <w:color w:val="auto"/>
              </w:rPr>
            </w:pPr>
          </w:p>
        </w:tc>
      </w:tr>
      <w:tr>
        <w:trPr>
          <w:trHeight w:val="182"/>
        </w:trPr>
        <w:tc>
          <w:tcPr>
            <w:tcW w:w="1020" w:type="dxa"/>
            <w:vAlign w:val="bottom"/>
          </w:tcPr>
          <w:p>
            <w:pPr>
              <w:spacing w:after="0"/>
              <w:rPr>
                <w:sz w:val="15"/>
                <w:szCs w:val="15"/>
                <w:color w:val="auto"/>
              </w:rPr>
            </w:pPr>
          </w:p>
        </w:tc>
        <w:tc>
          <w:tcPr>
            <w:tcW w:w="32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CNTQ transaction costs paid at close</w:t>
            </w:r>
          </w:p>
        </w:tc>
        <w:tc>
          <w:tcPr>
            <w:tcW w:w="3680" w:type="dxa"/>
            <w:vAlign w:val="bottom"/>
            <w:shd w:val="clear" w:color="auto" w:fill="D1EEF5"/>
          </w:tcPr>
          <w:p>
            <w:pPr>
              <w:spacing w:after="0"/>
              <w:rPr>
                <w:sz w:val="15"/>
                <w:szCs w:val="15"/>
                <w:color w:val="auto"/>
              </w:rPr>
            </w:pPr>
          </w:p>
        </w:tc>
        <w:tc>
          <w:tcPr>
            <w:tcW w:w="220" w:type="dxa"/>
            <w:vAlign w:val="bottom"/>
            <w:shd w:val="clear" w:color="auto" w:fill="D1EEF5"/>
          </w:tcPr>
          <w:p>
            <w:pPr>
              <w:spacing w:after="0"/>
              <w:rPr>
                <w:sz w:val="15"/>
                <w:szCs w:val="15"/>
                <w:color w:val="auto"/>
              </w:rPr>
            </w:pPr>
          </w:p>
        </w:tc>
        <w:tc>
          <w:tcPr>
            <w:tcW w:w="110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(18,072)</w:t>
            </w:r>
          </w:p>
        </w:tc>
        <w:tc>
          <w:tcPr>
            <w:tcW w:w="1020" w:type="dxa"/>
            <w:vAlign w:val="bottom"/>
          </w:tcPr>
          <w:p>
            <w:pPr>
              <w:spacing w:after="0"/>
              <w:rPr>
                <w:sz w:val="15"/>
                <w:szCs w:val="15"/>
                <w:color w:val="auto"/>
              </w:rPr>
            </w:pPr>
          </w:p>
        </w:tc>
      </w:tr>
      <w:tr>
        <w:trPr>
          <w:trHeight w:val="167"/>
        </w:trPr>
        <w:tc>
          <w:tcPr>
            <w:tcW w:w="1020" w:type="dxa"/>
            <w:vAlign w:val="bottom"/>
          </w:tcPr>
          <w:p>
            <w:pPr>
              <w:spacing w:after="0"/>
              <w:rPr>
                <w:sz w:val="14"/>
                <w:szCs w:val="14"/>
                <w:color w:val="auto"/>
              </w:rPr>
            </w:pPr>
          </w:p>
        </w:tc>
        <w:tc>
          <w:tcPr>
            <w:tcW w:w="3200" w:type="dxa"/>
            <w:vAlign w:val="bottom"/>
            <w:tcBorders>
              <w:top w:val="single" w:sz="8" w:color="D1EEF5"/>
            </w:tcBorders>
          </w:tcPr>
          <w:p>
            <w:pPr>
              <w:spacing w:after="0"/>
              <w:rPr>
                <w:sz w:val="20"/>
                <w:szCs w:val="20"/>
                <w:color w:val="auto"/>
              </w:rPr>
            </w:pPr>
            <w:r>
              <w:rPr>
                <w:rFonts w:ascii="Times New Roman" w:cs="Times New Roman" w:eastAsia="Times New Roman" w:hAnsi="Times New Roman"/>
                <w:sz w:val="14"/>
                <w:szCs w:val="14"/>
                <w:color w:val="auto"/>
              </w:rPr>
              <w:t>Net deficit assumed in recapitalization</w:t>
            </w:r>
          </w:p>
        </w:tc>
        <w:tc>
          <w:tcPr>
            <w:tcW w:w="3680" w:type="dxa"/>
            <w:vAlign w:val="bottom"/>
            <w:tcBorders>
              <w:top w:val="single" w:sz="8" w:color="D1EEF5"/>
            </w:tcBorders>
          </w:tcPr>
          <w:p>
            <w:pPr>
              <w:spacing w:after="0"/>
              <w:rPr>
                <w:sz w:val="14"/>
                <w:szCs w:val="14"/>
                <w:color w:val="auto"/>
              </w:rPr>
            </w:pPr>
          </w:p>
        </w:tc>
        <w:tc>
          <w:tcPr>
            <w:tcW w:w="2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(10,197</w:t>
            </w:r>
          </w:p>
        </w:tc>
        <w:tc>
          <w:tcPr>
            <w:tcW w:w="80" w:type="dxa"/>
            <w:vAlign w:val="bottom"/>
            <w:tcBorders>
              <w:top w:val="single" w:sz="8" w:color="D1EEF5"/>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20" w:type="dxa"/>
            <w:vAlign w:val="bottom"/>
          </w:tcPr>
          <w:p>
            <w:pPr>
              <w:spacing w:after="0"/>
              <w:rPr>
                <w:sz w:val="14"/>
                <w:szCs w:val="14"/>
                <w:color w:val="auto"/>
              </w:rPr>
            </w:pPr>
          </w:p>
        </w:tc>
      </w:tr>
      <w:tr>
        <w:trPr>
          <w:trHeight w:val="334"/>
        </w:trPr>
        <w:tc>
          <w:tcPr>
            <w:tcW w:w="10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jc w:val="right"/>
              <w:ind w:right="2812"/>
              <w:spacing w:after="0"/>
              <w:rPr>
                <w:sz w:val="20"/>
                <w:szCs w:val="20"/>
                <w:color w:val="auto"/>
              </w:rPr>
            </w:pPr>
            <w:r>
              <w:rPr>
                <w:rFonts w:ascii="Times New Roman" w:cs="Times New Roman" w:eastAsia="Times New Roman" w:hAnsi="Times New Roman"/>
                <w:sz w:val="14"/>
                <w:szCs w:val="14"/>
                <w:color w:val="auto"/>
              </w:rPr>
              <w:t>F-13</w:t>
            </w: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-247015</wp:posOffset>
            </wp:positionV>
            <wp:extent cx="810260" cy="495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8">
                      <a:extLst>
                        <a:ext uri="{28A0092B-C50C-407E-A947-70E740481C1C}"/>
                      </a:extLst>
                    </a:blip>
                    <a:srcRect/>
                    <a:stretch>
                      <a:fillRect/>
                    </a:stretch>
                  </pic:blipFill>
                  <pic:spPr bwMode="auto">
                    <a:xfrm>
                      <a:off x="0" y="0"/>
                      <a:ext cx="810260" cy="49530"/>
                    </a:xfrm>
                    <a:prstGeom prst="rect">
                      <a:avLst/>
                    </a:prstGeom>
                    <a:noFill/>
                  </pic:spPr>
                </pic:pic>
              </a:graphicData>
            </a:graphic>
          </wp:anchor>
        </w:drawing>
      </w:r>
    </w:p>
    <w:p>
      <w:pPr>
        <w:sectPr>
          <w:pgSz w:w="12240" w:h="15840" w:orient="portrait"/>
          <w:cols w:equalWidth="0" w:num="1">
            <w:col w:w="10240"/>
          </w:cols>
          <w:pgMar w:left="1000" w:top="1208" w:right="1000"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2" w:lineRule="exact"/>
        <w:rPr>
          <w:sz w:val="20"/>
          <w:szCs w:val="20"/>
          <w:color w:val="auto"/>
        </w:rPr>
      </w:pPr>
    </w:p>
    <w:tbl>
      <w:tblPr>
        <w:tblLayout w:type="fixed"/>
        <w:tblInd w:w="102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Number of Shares</w:t>
            </w:r>
          </w:p>
        </w:tc>
      </w:tr>
      <w:tr>
        <w:trPr>
          <w:trHeight w:val="147"/>
        </w:trPr>
        <w:tc>
          <w:tcPr>
            <w:tcW w:w="6880" w:type="dxa"/>
            <w:vAlign w:val="bottom"/>
            <w:tcBorders>
              <w:top w:val="single" w:sz="8" w:color="D1EEF5"/>
            </w:tcBorders>
            <w:shd w:val="clear" w:color="auto" w:fill="D1EEF5"/>
          </w:tcPr>
          <w:p>
            <w:pPr>
              <w:spacing w:after="0" w:line="147" w:lineRule="exact"/>
              <w:rPr>
                <w:sz w:val="20"/>
                <w:szCs w:val="20"/>
                <w:color w:val="auto"/>
              </w:rPr>
            </w:pPr>
            <w:r>
              <w:rPr>
                <w:rFonts w:ascii="Times New Roman" w:cs="Times New Roman" w:eastAsia="Times New Roman" w:hAnsi="Times New Roman"/>
                <w:sz w:val="14"/>
                <w:szCs w:val="14"/>
                <w:color w:val="auto"/>
              </w:rPr>
              <w:t>Common stock, outstanding prior to merger</w:t>
            </w:r>
          </w:p>
        </w:tc>
        <w:tc>
          <w:tcPr>
            <w:tcW w:w="1240" w:type="dxa"/>
            <w:vAlign w:val="bottom"/>
            <w:tcBorders>
              <w:top w:val="single" w:sz="8" w:color="auto"/>
            </w:tcBorders>
            <w:shd w:val="clear" w:color="auto" w:fill="D1EEF5"/>
          </w:tcPr>
          <w:p>
            <w:pPr>
              <w:jc w:val="right"/>
              <w:spacing w:after="0" w:line="147" w:lineRule="exact"/>
              <w:rPr>
                <w:sz w:val="20"/>
                <w:szCs w:val="20"/>
                <w:color w:val="auto"/>
              </w:rPr>
            </w:pPr>
            <w:r>
              <w:rPr>
                <w:rFonts w:ascii="Times New Roman" w:cs="Times New Roman" w:eastAsia="Times New Roman" w:hAnsi="Times New Roman"/>
                <w:sz w:val="14"/>
                <w:szCs w:val="14"/>
                <w:color w:val="auto"/>
              </w:rPr>
              <w:t>3,093,348</w:t>
            </w:r>
          </w:p>
        </w:tc>
        <w:tc>
          <w:tcPr>
            <w:tcW w:w="80" w:type="dxa"/>
            <w:vAlign w:val="bottom"/>
            <w:tcBorders>
              <w:top w:val="single" w:sz="8" w:color="D1EEF5"/>
            </w:tcBorders>
            <w:shd w:val="clear" w:color="auto" w:fill="D1EEF5"/>
          </w:tcPr>
          <w:p>
            <w:pPr>
              <w:spacing w:after="0"/>
              <w:rPr>
                <w:sz w:val="12"/>
                <w:szCs w:val="12"/>
                <w:color w:val="auto"/>
              </w:rPr>
            </w:pPr>
          </w:p>
        </w:tc>
      </w:tr>
      <w:tr>
        <w:trPr>
          <w:trHeight w:val="176"/>
        </w:trPr>
        <w:tc>
          <w:tcPr>
            <w:tcW w:w="68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Less: Redemption of CNTQ shares</w:t>
            </w:r>
          </w:p>
        </w:tc>
        <w:tc>
          <w:tcPr>
            <w:tcW w:w="132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(2,016,912)</w:t>
            </w:r>
          </w:p>
        </w:tc>
      </w:tr>
      <w:tr>
        <w:trPr>
          <w:trHeight w:val="147"/>
        </w:trPr>
        <w:tc>
          <w:tcPr>
            <w:tcW w:w="6880" w:type="dxa"/>
            <w:vAlign w:val="bottom"/>
            <w:tcBorders>
              <w:top w:val="single" w:sz="8" w:color="D1EEF5"/>
            </w:tcBorders>
            <w:shd w:val="clear" w:color="auto" w:fill="D1EEF5"/>
          </w:tcPr>
          <w:p>
            <w:pPr>
              <w:spacing w:after="0" w:line="147" w:lineRule="exact"/>
              <w:rPr>
                <w:sz w:val="20"/>
                <w:szCs w:val="20"/>
                <w:color w:val="auto"/>
              </w:rPr>
            </w:pPr>
            <w:r>
              <w:rPr>
                <w:rFonts w:ascii="Times New Roman" w:cs="Times New Roman" w:eastAsia="Times New Roman" w:hAnsi="Times New Roman"/>
                <w:sz w:val="14"/>
                <w:szCs w:val="14"/>
                <w:color w:val="auto"/>
              </w:rPr>
              <w:t>CNTQ Public Shares</w:t>
            </w:r>
          </w:p>
        </w:tc>
        <w:tc>
          <w:tcPr>
            <w:tcW w:w="1240" w:type="dxa"/>
            <w:vAlign w:val="bottom"/>
            <w:tcBorders>
              <w:top w:val="single" w:sz="8" w:color="auto"/>
            </w:tcBorders>
            <w:shd w:val="clear" w:color="auto" w:fill="D1EEF5"/>
          </w:tcPr>
          <w:p>
            <w:pPr>
              <w:jc w:val="right"/>
              <w:spacing w:after="0" w:line="147" w:lineRule="exact"/>
              <w:rPr>
                <w:sz w:val="20"/>
                <w:szCs w:val="20"/>
                <w:color w:val="auto"/>
              </w:rPr>
            </w:pPr>
            <w:r>
              <w:rPr>
                <w:rFonts w:ascii="Times New Roman" w:cs="Times New Roman" w:eastAsia="Times New Roman" w:hAnsi="Times New Roman"/>
                <w:sz w:val="14"/>
                <w:szCs w:val="14"/>
                <w:color w:val="auto"/>
              </w:rPr>
              <w:t>1,076,436</w:t>
            </w:r>
          </w:p>
        </w:tc>
        <w:tc>
          <w:tcPr>
            <w:tcW w:w="80" w:type="dxa"/>
            <w:vAlign w:val="bottom"/>
            <w:tcBorders>
              <w:top w:val="single" w:sz="8" w:color="D1EEF5"/>
            </w:tcBorders>
            <w:shd w:val="clear" w:color="auto" w:fill="D1EEF5"/>
          </w:tcPr>
          <w:p>
            <w:pPr>
              <w:spacing w:after="0"/>
              <w:rPr>
                <w:sz w:val="12"/>
                <w:szCs w:val="12"/>
                <w:color w:val="auto"/>
              </w:rPr>
            </w:pPr>
          </w:p>
        </w:tc>
      </w:tr>
      <w:tr>
        <w:trPr>
          <w:trHeight w:val="162"/>
        </w:trPr>
        <w:tc>
          <w:tcPr>
            <w:tcW w:w="6880" w:type="dxa"/>
            <w:vAlign w:val="bottom"/>
            <w:tcBorders>
              <w:bottom w:val="single" w:sz="8" w:color="D1EEF5"/>
            </w:tcBorders>
          </w:tcPr>
          <w:p>
            <w:pPr>
              <w:spacing w:after="0" w:line="157" w:lineRule="exact"/>
              <w:rPr>
                <w:sz w:val="20"/>
                <w:szCs w:val="20"/>
                <w:color w:val="auto"/>
              </w:rPr>
            </w:pPr>
            <w:r>
              <w:rPr>
                <w:rFonts w:ascii="Times New Roman" w:cs="Times New Roman" w:eastAsia="Times New Roman" w:hAnsi="Times New Roman"/>
                <w:sz w:val="14"/>
                <w:szCs w:val="14"/>
                <w:color w:val="auto"/>
              </w:rPr>
              <w:t>CNTQ Sponsor Shares</w:t>
            </w:r>
          </w:p>
        </w:tc>
        <w:tc>
          <w:tcPr>
            <w:tcW w:w="12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3,162,500</w:t>
            </w:r>
          </w:p>
        </w:tc>
        <w:tc>
          <w:tcPr>
            <w:tcW w:w="80" w:type="dxa"/>
            <w:vAlign w:val="bottom"/>
            <w:tcBorders>
              <w:bottom w:val="single" w:sz="8" w:color="D1EEF5"/>
            </w:tcBorders>
          </w:tcPr>
          <w:p>
            <w:pPr>
              <w:spacing w:after="0"/>
              <w:rPr>
                <w:sz w:val="14"/>
                <w:szCs w:val="14"/>
                <w:color w:val="auto"/>
              </w:rPr>
            </w:pPr>
          </w:p>
        </w:tc>
      </w:tr>
      <w:tr>
        <w:trPr>
          <w:trHeight w:val="161"/>
        </w:trPr>
        <w:tc>
          <w:tcPr>
            <w:tcW w:w="688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Merger and PIPE financing shares</w:t>
            </w:r>
          </w:p>
        </w:tc>
        <w:tc>
          <w:tcPr>
            <w:tcW w:w="12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4,238,936</w:t>
            </w:r>
          </w:p>
        </w:tc>
        <w:tc>
          <w:tcPr>
            <w:tcW w:w="80" w:type="dxa"/>
            <w:vAlign w:val="bottom"/>
            <w:shd w:val="clear" w:color="auto" w:fill="D1EEF5"/>
          </w:tcPr>
          <w:p>
            <w:pPr>
              <w:spacing w:after="0"/>
              <w:rPr>
                <w:sz w:val="13"/>
                <w:szCs w:val="13"/>
                <w:color w:val="auto"/>
              </w:rPr>
            </w:pPr>
          </w:p>
        </w:tc>
      </w:tr>
      <w:tr>
        <w:trPr>
          <w:trHeight w:val="189"/>
        </w:trPr>
        <w:tc>
          <w:tcPr>
            <w:tcW w:w="6880" w:type="dxa"/>
            <w:vAlign w:val="bottom"/>
            <w:tcBorders>
              <w:bottom w:val="single" w:sz="8" w:color="D1EEF5"/>
            </w:tcBorders>
          </w:tcPr>
          <w:p>
            <w:pPr>
              <w:spacing w:after="0" w:line="183" w:lineRule="exact"/>
              <w:rPr>
                <w:sz w:val="20"/>
                <w:szCs w:val="20"/>
                <w:color w:val="auto"/>
              </w:rPr>
            </w:pPr>
            <w:r>
              <w:rPr>
                <w:rFonts w:ascii="Times New Roman" w:cs="Times New Roman" w:eastAsia="Times New Roman" w:hAnsi="Times New Roman"/>
                <w:sz w:val="14"/>
                <w:szCs w:val="14"/>
                <w:color w:val="auto"/>
              </w:rPr>
              <w:t xml:space="preserve">Legacy Dragonfly shares </w:t>
            </w:r>
            <w:r>
              <w:rPr>
                <w:rFonts w:ascii="Times New Roman" w:cs="Times New Roman" w:eastAsia="Times New Roman" w:hAnsi="Times New Roman"/>
                <w:sz w:val="18"/>
                <w:szCs w:val="18"/>
                <w:color w:val="auto"/>
                <w:vertAlign w:val="superscript"/>
              </w:rPr>
              <w:t>(1)(2)</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38,576,650</w:t>
            </w:r>
          </w:p>
        </w:tc>
        <w:tc>
          <w:tcPr>
            <w:tcW w:w="80" w:type="dxa"/>
            <w:vAlign w:val="bottom"/>
            <w:tcBorders>
              <w:bottom w:val="single" w:sz="8" w:color="D1EEF5"/>
            </w:tcBorders>
          </w:tcPr>
          <w:p>
            <w:pPr>
              <w:spacing w:after="0"/>
              <w:rPr>
                <w:sz w:val="16"/>
                <w:szCs w:val="16"/>
                <w:color w:val="auto"/>
              </w:rPr>
            </w:pPr>
          </w:p>
        </w:tc>
      </w:tr>
      <w:tr>
        <w:trPr>
          <w:trHeight w:val="181"/>
        </w:trPr>
        <w:tc>
          <w:tcPr>
            <w:tcW w:w="688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Total shares of common stock immediately after the merger</w:t>
            </w:r>
          </w:p>
        </w:tc>
        <w:tc>
          <w:tcPr>
            <w:tcW w:w="12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42,815,586</w:t>
            </w:r>
          </w:p>
        </w:tc>
        <w:tc>
          <w:tcPr>
            <w:tcW w:w="80" w:type="dxa"/>
            <w:vAlign w:val="bottom"/>
            <w:shd w:val="clear" w:color="auto" w:fill="D1EEF5"/>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-22225</wp:posOffset>
            </wp:positionV>
            <wp:extent cx="810260" cy="49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9">
                      <a:extLst>
                        <a:ext uri="{28A0092B-C50C-407E-A947-70E740481C1C}"/>
                      </a:extLst>
                    </a:blip>
                    <a:srcRect/>
                    <a:stretch>
                      <a:fillRect/>
                    </a:stretch>
                  </pic:blipFill>
                  <pic:spPr bwMode="auto">
                    <a:xfrm>
                      <a:off x="0" y="0"/>
                      <a:ext cx="810260" cy="49530"/>
                    </a:xfrm>
                    <a:prstGeom prst="rect">
                      <a:avLst/>
                    </a:prstGeom>
                    <a:noFill/>
                  </pic:spPr>
                </pic:pic>
              </a:graphicData>
            </a:graphic>
          </wp:anchor>
        </w:drawing>
      </w:r>
    </w:p>
    <w:p>
      <w:pPr>
        <w:spacing w:after="0" w:line="137" w:lineRule="exact"/>
        <w:rPr>
          <w:sz w:val="20"/>
          <w:szCs w:val="20"/>
          <w:color w:val="auto"/>
        </w:rPr>
      </w:pPr>
    </w:p>
    <w:p>
      <w:pPr>
        <w:ind w:left="200" w:hanging="157"/>
        <w:spacing w:after="0" w:line="256" w:lineRule="auto"/>
        <w:rPr>
          <w:sz w:val="20"/>
          <w:szCs w:val="20"/>
          <w:color w:val="auto"/>
        </w:rPr>
      </w:pPr>
      <w:r>
        <w:rPr>
          <w:rFonts w:ascii="Times New Roman" w:cs="Times New Roman" w:eastAsia="Times New Roman" w:hAnsi="Times New Roman"/>
          <w:sz w:val="14"/>
          <w:szCs w:val="14"/>
          <w:i w:val="1"/>
          <w:iCs w:val="1"/>
          <w:color w:val="auto"/>
        </w:rPr>
        <w:t>(1)-The number of Legacy Dragonfly shares was determined from the shares of Legacy Dragonfly outstanding immediately prior to the closing of the merger converted at the Exchange Ratio. All fractional shares were rounded down.</w:t>
      </w:r>
    </w:p>
    <w:p>
      <w:pPr>
        <w:spacing w:after="0" w:line="203" w:lineRule="exact"/>
        <w:rPr>
          <w:sz w:val="20"/>
          <w:szCs w:val="20"/>
          <w:color w:val="auto"/>
        </w:rPr>
      </w:pPr>
    </w:p>
    <w:p>
      <w:pPr>
        <w:ind w:left="200" w:hanging="157"/>
        <w:spacing w:after="0" w:line="262" w:lineRule="auto"/>
        <w:rPr>
          <w:sz w:val="20"/>
          <w:szCs w:val="20"/>
          <w:color w:val="auto"/>
        </w:rPr>
      </w:pPr>
      <w:r>
        <w:rPr>
          <w:rFonts w:ascii="Times New Roman" w:cs="Times New Roman" w:eastAsia="Times New Roman" w:hAnsi="Times New Roman"/>
          <w:sz w:val="14"/>
          <w:szCs w:val="14"/>
          <w:i w:val="1"/>
          <w:iCs w:val="1"/>
          <w:color w:val="auto"/>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The preferred shares of Legacy Dragonfly were exchanged on a 1 to 1 ratio to common stock and the shares were then exchanged for shares of Dragonfly Energy Holdings Corp. at the Exchange Ratio.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Warrants</w:t>
      </w:r>
    </w:p>
    <w:p>
      <w:pPr>
        <w:spacing w:after="0" w:line="1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As part of the reverse capitalization transaction, the Company issued public warrants, private placement warrants and Term Loan warrants. Refer to Note 12 for a further description of the warrants.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Earnout</w:t>
      </w:r>
    </w:p>
    <w:p>
      <w:pPr>
        <w:spacing w:after="0" w:line="1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former holders of shares of Legacy Dragonfly common stock (including shares received as a result of the conversion of Legacy Dragonfly Preferred Stock into New Dragonfly Common Stock) are entitled to receive their pro rata share of up to 40,000,000 additional shares of common stock (the “</w:t>
      </w:r>
      <w:r>
        <w:rPr>
          <w:rFonts w:ascii="Times New Roman" w:cs="Times New Roman" w:eastAsia="Times New Roman" w:hAnsi="Times New Roman"/>
          <w:sz w:val="14"/>
          <w:szCs w:val="14"/>
          <w:b w:val="1"/>
          <w:bCs w:val="1"/>
          <w:color w:val="auto"/>
        </w:rPr>
        <w:t>Earnout Shares</w:t>
      </w:r>
      <w:r>
        <w:rPr>
          <w:rFonts w:ascii="Times New Roman" w:cs="Times New Roman" w:eastAsia="Times New Roman" w:hAnsi="Times New Roman"/>
          <w:sz w:val="14"/>
          <w:szCs w:val="14"/>
          <w:color w:val="auto"/>
        </w:rPr>
        <w:t>”). The Earnout Shares are issuable in three tranches. The first tranche of 15,000,000 shares is issuable if New Dragonfly’s 2023 total audited revenue is equal to or greater than $250,000 and New Dragonfly’s 2023 audited operating income is equal to or greater than $35,000.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650938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pt" to="512.25pt,1.3pt" o:allowincell="f" strokecolor="#000000" strokeweight="1.2599pt"/>
            </w:pict>
          </mc:Fallback>
        </mc:AlternateContent>
      </w:r>
    </w:p>
    <w:p>
      <w:pPr>
        <w:sectPr>
          <w:pgSz w:w="12240" w:h="15840" w:orient="portrait"/>
          <w:cols w:equalWidth="0" w:num="1">
            <w:col w:w="10240"/>
          </w:cols>
          <w:pgMar w:left="1000" w:top="1208" w:right="1000" w:bottom="1440" w:gutter="0" w:footer="0" w:header="0"/>
        </w:sectPr>
      </w:pPr>
    </w:p>
    <w:bookmarkStart w:id="78" w:name="page79"/>
    <w:bookmarkEnd w:id="78"/>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ind w:right="-1"/>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31" w:lineRule="exact"/>
        <w:rPr>
          <w:sz w:val="20"/>
          <w:szCs w:val="20"/>
          <w:color w:val="auto"/>
        </w:rPr>
      </w:pPr>
    </w:p>
    <w:p>
      <w:pPr>
        <w:jc w:val="both"/>
        <w:ind w:left="2"/>
        <w:spacing w:after="0" w:line="277" w:lineRule="auto"/>
        <w:rPr>
          <w:sz w:val="20"/>
          <w:szCs w:val="20"/>
          <w:color w:val="auto"/>
        </w:rPr>
      </w:pPr>
      <w:r>
        <w:rPr>
          <w:rFonts w:ascii="Times New Roman" w:cs="Times New Roman" w:eastAsia="Times New Roman" w:hAnsi="Times New Roman"/>
          <w:sz w:val="12"/>
          <w:szCs w:val="12"/>
          <w:color w:val="auto"/>
        </w:rPr>
        <w:t>The Company accounts for the Earnout Shares as either equity-classified or liability-classified instruments based on an assessment of the Earnout Shares specific terms and applicable authoritative guidance in ASC 480, Distinguishing Liabilities from Equity (“</w:t>
      </w:r>
      <w:r>
        <w:rPr>
          <w:rFonts w:ascii="Times New Roman" w:cs="Times New Roman" w:eastAsia="Times New Roman" w:hAnsi="Times New Roman"/>
          <w:sz w:val="12"/>
          <w:szCs w:val="12"/>
          <w:b w:val="1"/>
          <w:bCs w:val="1"/>
          <w:color w:val="auto"/>
        </w:rPr>
        <w:t>ASC 480</w:t>
      </w:r>
      <w:r>
        <w:rPr>
          <w:rFonts w:ascii="Times New Roman" w:cs="Times New Roman" w:eastAsia="Times New Roman" w:hAnsi="Times New Roman"/>
          <w:sz w:val="12"/>
          <w:szCs w:val="12"/>
          <w:color w:val="auto"/>
        </w:rPr>
        <w:t>”) and ASC 815, as defined below. The Company has determined that the Earnout Shares are indexed to the Company’s common stock and are therefore not precluded from equity classification. Such accounting determination will be assessed at each financial statement reporting date to determine whether equity classification remains appropriate. If the Earnout Shares are later determined to be liability- classified instruments, the Company would recognize subsequent changes in the fair value of such Earnout Shares within earnings at each reporting period during the earnout period. The value of the Earnout Shares was prepared utilizing a Monte Carlo simulation model. The significant assumptions utilized in determining the fair value of Earnout Shares include the following: (1) a price for our common stock of approximately $14.00;</w:t>
      </w:r>
    </w:p>
    <w:p>
      <w:pPr>
        <w:ind w:left="202" w:hanging="202"/>
        <w:spacing w:after="0" w:line="238" w:lineRule="auto"/>
        <w:tabs>
          <w:tab w:leader="none" w:pos="20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risk-free rate of 4.24%; (3) projected revenue and EBITDA of $255,100 and $41,000, respectively; (4) expected volatility of future annual revenue and future annual EBITDA of</w:t>
      </w:r>
    </w:p>
    <w:p>
      <w:pPr>
        <w:ind w:left="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42.0% and 64.0% respectively; (5) discount rate of 4.24%; and (6) expected probability of change in control of 15.0%.</w:t>
      </w:r>
    </w:p>
    <w:p>
      <w:pPr>
        <w:spacing w:after="0" w:line="131" w:lineRule="exact"/>
        <w:rPr>
          <w:sz w:val="20"/>
          <w:szCs w:val="20"/>
          <w:color w:val="auto"/>
        </w:rPr>
      </w:pPr>
    </w:p>
    <w:p>
      <w:pPr>
        <w:jc w:val="both"/>
        <w:ind w:left="2"/>
        <w:spacing w:after="0" w:line="248" w:lineRule="auto"/>
        <w:rPr>
          <w:sz w:val="20"/>
          <w:szCs w:val="20"/>
          <w:color w:val="auto"/>
        </w:rPr>
      </w:pPr>
      <w:r>
        <w:rPr>
          <w:rFonts w:ascii="Times New Roman" w:cs="Times New Roman" w:eastAsia="Times New Roman" w:hAnsi="Times New Roman"/>
          <w:sz w:val="14"/>
          <w:szCs w:val="14"/>
          <w:color w:val="auto"/>
        </w:rPr>
        <w:t>The accounting treatment of the Earnout Shares have been recognized at fair value upon the closing of the merger and classified in stockholders’ equity. Because the merger is accounted for as a reverse recapitalization, the recognition of the Earnout Shares has been treated as a deemed dividend and has been recorded within additional-paid-in-capital and has no net impact on additional paid-in capital.</w:t>
      </w:r>
    </w:p>
    <w:p>
      <w:pPr>
        <w:spacing w:after="0" w:line="1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b w:val="1"/>
          <w:bCs w:val="1"/>
          <w:color w:val="auto"/>
        </w:rPr>
        <w:t>NOTE 4 - FAIR VALUE MEASUREMENTS</w:t>
      </w:r>
    </w:p>
    <w:p>
      <w:pPr>
        <w:spacing w:after="0" w:line="152" w:lineRule="exact"/>
        <w:rPr>
          <w:sz w:val="20"/>
          <w:szCs w:val="20"/>
          <w:color w:val="auto"/>
        </w:rPr>
      </w:pPr>
    </w:p>
    <w:p>
      <w:pPr>
        <w:jc w:val="both"/>
        <w:ind w:left="2"/>
        <w:spacing w:after="0" w:line="244" w:lineRule="auto"/>
        <w:rPr>
          <w:sz w:val="20"/>
          <w:szCs w:val="20"/>
          <w:color w:val="auto"/>
        </w:rPr>
      </w:pPr>
      <w:r>
        <w:rPr>
          <w:rFonts w:ascii="Times New Roman" w:cs="Times New Roman" w:eastAsia="Times New Roman" w:hAnsi="Times New Roman"/>
          <w:sz w:val="14"/>
          <w:szCs w:val="14"/>
          <w:color w:val="auto"/>
        </w:rPr>
        <w:t>ASC 820, Fair Value Measurements and Disclosures (“</w:t>
      </w:r>
      <w:r>
        <w:rPr>
          <w:rFonts w:ascii="Times New Roman" w:cs="Times New Roman" w:eastAsia="Times New Roman" w:hAnsi="Times New Roman"/>
          <w:sz w:val="14"/>
          <w:szCs w:val="14"/>
          <w:b w:val="1"/>
          <w:bCs w:val="1"/>
          <w:color w:val="auto"/>
        </w:rPr>
        <w:t>ASC 820</w:t>
      </w:r>
      <w:r>
        <w:rPr>
          <w:rFonts w:ascii="Times New Roman" w:cs="Times New Roman" w:eastAsia="Times New Roman" w:hAnsi="Times New Roman"/>
          <w:sz w:val="14"/>
          <w:szCs w:val="14"/>
          <w:color w:val="auto"/>
        </w:rPr>
        <w:t>”),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29" w:lineRule="exact"/>
        <w:rPr>
          <w:sz w:val="20"/>
          <w:szCs w:val="20"/>
          <w:color w:val="auto"/>
        </w:rPr>
      </w:pPr>
    </w:p>
    <w:p>
      <w:pPr>
        <w:jc w:val="both"/>
        <w:ind w:left="2"/>
        <w:spacing w:after="0" w:line="248" w:lineRule="auto"/>
        <w:rPr>
          <w:sz w:val="20"/>
          <w:szCs w:val="20"/>
          <w:color w:val="auto"/>
        </w:rPr>
      </w:pPr>
      <w:r>
        <w:rPr>
          <w:rFonts w:ascii="Times New Roman" w:cs="Times New Roman" w:eastAsia="Times New Roman" w:hAnsi="Times New Roman"/>
          <w:sz w:val="14"/>
          <w:szCs w:val="14"/>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26" w:lineRule="exact"/>
        <w:rPr>
          <w:sz w:val="20"/>
          <w:szCs w:val="20"/>
          <w:color w:val="auto"/>
        </w:rPr>
      </w:pPr>
    </w:p>
    <w:p>
      <w:pPr>
        <w:ind w:left="242" w:hanging="242"/>
        <w:spacing w:after="0"/>
        <w:tabs>
          <w:tab w:leader="none" w:pos="24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inputs are quoted prices (unadjusted) in active markets for identical assets or liabilities.</w:t>
      </w:r>
    </w:p>
    <w:p>
      <w:pPr>
        <w:spacing w:after="0" w:line="16" w:lineRule="exact"/>
        <w:rPr>
          <w:rFonts w:ascii="Times New Roman" w:cs="Times New Roman" w:eastAsia="Times New Roman" w:hAnsi="Times New Roman"/>
          <w:sz w:val="14"/>
          <w:szCs w:val="14"/>
          <w:color w:val="auto"/>
        </w:rPr>
      </w:pPr>
    </w:p>
    <w:p>
      <w:pPr>
        <w:ind w:left="242" w:hanging="242"/>
        <w:spacing w:after="0" w:line="232" w:lineRule="auto"/>
        <w:tabs>
          <w:tab w:leader="none" w:pos="24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inputs are inputs other than quoted prices included within Level 1 that are observable for a similar asset or liability, either directly or indirectly.</w:t>
      </w:r>
    </w:p>
    <w:p>
      <w:pPr>
        <w:ind w:left="242" w:hanging="242"/>
        <w:spacing w:after="0"/>
        <w:tabs>
          <w:tab w:leader="none" w:pos="24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inputs are unobservable inputs that reflect the Company’s own assumptions about the inputs that market participants would use in pricing the asset or liability.</w:t>
      </w:r>
    </w:p>
    <w:p>
      <w:pPr>
        <w:spacing w:after="0" w:line="132" w:lineRule="exact"/>
        <w:rPr>
          <w:sz w:val="20"/>
          <w:szCs w:val="20"/>
          <w:color w:val="auto"/>
        </w:rPr>
      </w:pPr>
    </w:p>
    <w:p>
      <w:pPr>
        <w:jc w:val="both"/>
        <w:ind w:left="2"/>
        <w:spacing w:after="0" w:line="242" w:lineRule="auto"/>
        <w:rPr>
          <w:sz w:val="20"/>
          <w:szCs w:val="20"/>
          <w:color w:val="auto"/>
        </w:rPr>
      </w:pPr>
      <w:r>
        <w:rPr>
          <w:rFonts w:ascii="Times New Roman" w:cs="Times New Roman" w:eastAsia="Times New Roman" w:hAnsi="Times New Roman"/>
          <w:sz w:val="14"/>
          <w:szCs w:val="14"/>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3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11430</wp:posOffset>
                </wp:positionV>
                <wp:extent cx="6508750"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8750"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0.9pt" to="512.3pt,0.9pt" o:allowincell="f" strokecolor="#000000" strokeweight="1.32pt"/>
            </w:pict>
          </mc:Fallback>
        </mc:AlternateContent>
      </w:r>
    </w:p>
    <w:p>
      <w:pPr>
        <w:sectPr>
          <w:pgSz w:w="12240" w:h="15840" w:orient="portrait"/>
          <w:cols w:equalWidth="0" w:num="1">
            <w:col w:w="10242"/>
          </w:cols>
          <w:pgMar w:left="998" w:top="1208" w:right="100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assets and liabilities that were measured at fair value in the Consolidated Balance Sheets on a recurring basis as of December 31,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w w:val="97"/>
              </w:rPr>
              <w:t>As of December 31, 2022</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7"/>
        </w:trPr>
        <w:tc>
          <w:tcPr>
            <w:tcW w:w="5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6"/>
              </w:rPr>
              <w:t>Carrying Amount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Fair Value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6"/>
              </w:rPr>
              <w:t>(Level 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(Level 2)</w:t>
            </w:r>
          </w:p>
        </w:tc>
        <w:tc>
          <w:tcPr>
            <w:tcW w:w="16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(Level 3)</w:t>
            </w:r>
          </w:p>
        </w:tc>
      </w:tr>
      <w:tr>
        <w:trPr>
          <w:trHeight w:val="165"/>
        </w:trPr>
        <w:tc>
          <w:tcPr>
            <w:tcW w:w="560" w:type="dxa"/>
            <w:vAlign w:val="bottom"/>
            <w:tcBorders>
              <w:top w:val="single" w:sz="8" w:color="D1EEF5"/>
              <w:bottom w:val="single" w:sz="8" w:color="auto"/>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w w:val="95"/>
              </w:rPr>
              <w:t>Liabilities</w:t>
            </w:r>
          </w:p>
        </w:tc>
        <w:tc>
          <w:tcPr>
            <w:tcW w:w="2560" w:type="dxa"/>
            <w:vAlign w:val="bottom"/>
            <w:tcBorders>
              <w:top w:val="single" w:sz="8" w:color="D1EEF5"/>
              <w:bottom w:val="single" w:sz="8" w:color="D1EEF5"/>
            </w:tcBorders>
            <w:shd w:val="clear" w:color="auto" w:fill="D1EEF5"/>
          </w:tcPr>
          <w:p>
            <w:pPr>
              <w:spacing w:after="0"/>
              <w:rPr>
                <w:sz w:val="14"/>
                <w:szCs w:val="14"/>
                <w:color w:val="auto"/>
              </w:rPr>
            </w:pPr>
          </w:p>
        </w:tc>
        <w:tc>
          <w:tcPr>
            <w:tcW w:w="680" w:type="dxa"/>
            <w:vAlign w:val="bottom"/>
            <w:tcBorders>
              <w:top w:val="single" w:sz="8" w:color="D1EEF5"/>
              <w:bottom w:val="single" w:sz="8" w:color="D1EEF5"/>
            </w:tcBorders>
            <w:shd w:val="clear" w:color="auto" w:fill="D1EEF5"/>
          </w:tcPr>
          <w:p>
            <w:pPr>
              <w:spacing w:after="0"/>
              <w:rPr>
                <w:sz w:val="14"/>
                <w:szCs w:val="14"/>
                <w:color w:val="auto"/>
              </w:rPr>
            </w:pPr>
          </w:p>
        </w:tc>
        <w:tc>
          <w:tcPr>
            <w:tcW w:w="340" w:type="dxa"/>
            <w:vAlign w:val="bottom"/>
            <w:tcBorders>
              <w:top w:val="single" w:sz="8" w:color="auto"/>
              <w:bottom w:val="single" w:sz="8" w:color="D1EEF5"/>
            </w:tcBorders>
            <w:shd w:val="clear" w:color="auto" w:fill="D1EEF5"/>
          </w:tcPr>
          <w:p>
            <w:pPr>
              <w:spacing w:after="0"/>
              <w:rPr>
                <w:sz w:val="14"/>
                <w:szCs w:val="14"/>
                <w:color w:val="auto"/>
              </w:rPr>
            </w:pPr>
          </w:p>
        </w:tc>
        <w:tc>
          <w:tcPr>
            <w:tcW w:w="680" w:type="dxa"/>
            <w:vAlign w:val="bottom"/>
            <w:tcBorders>
              <w:top w:val="single" w:sz="8" w:color="auto"/>
              <w:bottom w:val="single" w:sz="8" w:color="D1EEF5"/>
            </w:tcBorders>
            <w:shd w:val="clear" w:color="auto" w:fill="D1EEF5"/>
          </w:tcPr>
          <w:p>
            <w:pPr>
              <w:spacing w:after="0"/>
              <w:rPr>
                <w:sz w:val="14"/>
                <w:szCs w:val="14"/>
                <w:color w:val="auto"/>
              </w:rPr>
            </w:pPr>
          </w:p>
        </w:tc>
        <w:tc>
          <w:tcPr>
            <w:tcW w:w="300" w:type="dxa"/>
            <w:vAlign w:val="bottom"/>
            <w:tcBorders>
              <w:top w:val="single" w:sz="8" w:color="D1EEF5"/>
              <w:bottom w:val="single" w:sz="8" w:color="D1EEF5"/>
            </w:tcBorders>
            <w:shd w:val="clear" w:color="auto" w:fill="D1EEF5"/>
          </w:tcPr>
          <w:p>
            <w:pPr>
              <w:spacing w:after="0"/>
              <w:rPr>
                <w:sz w:val="14"/>
                <w:szCs w:val="14"/>
                <w:color w:val="auto"/>
              </w:rPr>
            </w:pPr>
          </w:p>
        </w:tc>
        <w:tc>
          <w:tcPr>
            <w:tcW w:w="140" w:type="dxa"/>
            <w:vAlign w:val="bottom"/>
            <w:tcBorders>
              <w:top w:val="single" w:sz="8" w:color="auto"/>
              <w:bottom w:val="single" w:sz="8" w:color="D1EEF5"/>
            </w:tcBorders>
            <w:shd w:val="clear" w:color="auto" w:fill="D1EEF5"/>
          </w:tcPr>
          <w:p>
            <w:pPr>
              <w:spacing w:after="0"/>
              <w:rPr>
                <w:sz w:val="14"/>
                <w:szCs w:val="14"/>
                <w:color w:val="auto"/>
              </w:rPr>
            </w:pPr>
          </w:p>
        </w:tc>
        <w:tc>
          <w:tcPr>
            <w:tcW w:w="880" w:type="dxa"/>
            <w:vAlign w:val="bottom"/>
            <w:tcBorders>
              <w:top w:val="single" w:sz="8" w:color="auto"/>
              <w:bottom w:val="single" w:sz="8" w:color="D1EEF5"/>
            </w:tcBorders>
            <w:shd w:val="clear" w:color="auto" w:fill="D1EEF5"/>
          </w:tcPr>
          <w:p>
            <w:pPr>
              <w:spacing w:after="0"/>
              <w:rPr>
                <w:sz w:val="14"/>
                <w:szCs w:val="14"/>
                <w:color w:val="auto"/>
              </w:rPr>
            </w:pPr>
          </w:p>
        </w:tc>
        <w:tc>
          <w:tcPr>
            <w:tcW w:w="60" w:type="dxa"/>
            <w:vAlign w:val="bottom"/>
            <w:tcBorders>
              <w:top w:val="single" w:sz="8" w:color="D1EEF5"/>
              <w:bottom w:val="single" w:sz="8" w:color="D1EEF5"/>
            </w:tcBorders>
            <w:shd w:val="clear" w:color="auto" w:fill="D1EEF5"/>
          </w:tcPr>
          <w:p>
            <w:pPr>
              <w:spacing w:after="0"/>
              <w:rPr>
                <w:sz w:val="14"/>
                <w:szCs w:val="14"/>
                <w:color w:val="auto"/>
              </w:rPr>
            </w:pPr>
          </w:p>
        </w:tc>
        <w:tc>
          <w:tcPr>
            <w:tcW w:w="240" w:type="dxa"/>
            <w:vAlign w:val="bottom"/>
            <w:tcBorders>
              <w:top w:val="single" w:sz="8" w:color="D1EEF5"/>
              <w:bottom w:val="single" w:sz="8" w:color="D1EEF5"/>
            </w:tcBorders>
            <w:shd w:val="clear" w:color="auto" w:fill="D1EEF5"/>
          </w:tcPr>
          <w:p>
            <w:pPr>
              <w:spacing w:after="0"/>
              <w:rPr>
                <w:sz w:val="14"/>
                <w:szCs w:val="14"/>
                <w:color w:val="auto"/>
              </w:rPr>
            </w:pPr>
          </w:p>
        </w:tc>
        <w:tc>
          <w:tcPr>
            <w:tcW w:w="180" w:type="dxa"/>
            <w:vAlign w:val="bottom"/>
            <w:tcBorders>
              <w:top w:val="single" w:sz="8" w:color="auto"/>
              <w:bottom w:val="single" w:sz="8" w:color="D1EEF5"/>
            </w:tcBorders>
            <w:shd w:val="clear" w:color="auto" w:fill="D1EEF5"/>
          </w:tcPr>
          <w:p>
            <w:pPr>
              <w:spacing w:after="0"/>
              <w:rPr>
                <w:sz w:val="14"/>
                <w:szCs w:val="14"/>
                <w:color w:val="auto"/>
              </w:rPr>
            </w:pPr>
          </w:p>
        </w:tc>
        <w:tc>
          <w:tcPr>
            <w:tcW w:w="860" w:type="dxa"/>
            <w:vAlign w:val="bottom"/>
            <w:tcBorders>
              <w:top w:val="single" w:sz="8" w:color="auto"/>
              <w:bottom w:val="single" w:sz="8" w:color="D1EEF5"/>
            </w:tcBorders>
            <w:shd w:val="clear" w:color="auto" w:fill="D1EEF5"/>
          </w:tcPr>
          <w:p>
            <w:pPr>
              <w:spacing w:after="0"/>
              <w:rPr>
                <w:sz w:val="14"/>
                <w:szCs w:val="14"/>
                <w:color w:val="auto"/>
              </w:rPr>
            </w:pPr>
          </w:p>
        </w:tc>
        <w:tc>
          <w:tcPr>
            <w:tcW w:w="240" w:type="dxa"/>
            <w:vAlign w:val="bottom"/>
            <w:tcBorders>
              <w:top w:val="single" w:sz="8" w:color="D1EEF5"/>
              <w:bottom w:val="single" w:sz="8" w:color="D1EEF5"/>
            </w:tcBorders>
            <w:shd w:val="clear" w:color="auto" w:fill="D1EEF5"/>
          </w:tcPr>
          <w:p>
            <w:pPr>
              <w:spacing w:after="0"/>
              <w:rPr>
                <w:sz w:val="14"/>
                <w:szCs w:val="14"/>
                <w:color w:val="auto"/>
              </w:rPr>
            </w:pPr>
          </w:p>
        </w:tc>
        <w:tc>
          <w:tcPr>
            <w:tcW w:w="60" w:type="dxa"/>
            <w:vAlign w:val="bottom"/>
            <w:tcBorders>
              <w:top w:val="single" w:sz="8" w:color="D1EEF5"/>
              <w:bottom w:val="single" w:sz="8" w:color="D1EEF5"/>
            </w:tcBorders>
            <w:shd w:val="clear" w:color="auto" w:fill="D1EEF5"/>
          </w:tcPr>
          <w:p>
            <w:pPr>
              <w:spacing w:after="0"/>
              <w:rPr>
                <w:sz w:val="14"/>
                <w:szCs w:val="14"/>
                <w:color w:val="auto"/>
              </w:rPr>
            </w:pPr>
          </w:p>
        </w:tc>
        <w:tc>
          <w:tcPr>
            <w:tcW w:w="160" w:type="dxa"/>
            <w:vAlign w:val="bottom"/>
            <w:tcBorders>
              <w:top w:val="single" w:sz="8" w:color="auto"/>
              <w:bottom w:val="single" w:sz="8" w:color="D1EEF5"/>
            </w:tcBorders>
            <w:shd w:val="clear" w:color="auto" w:fill="D1EEF5"/>
          </w:tcPr>
          <w:p>
            <w:pPr>
              <w:spacing w:after="0"/>
              <w:rPr>
                <w:sz w:val="14"/>
                <w:szCs w:val="14"/>
                <w:color w:val="auto"/>
              </w:rPr>
            </w:pPr>
          </w:p>
        </w:tc>
        <w:tc>
          <w:tcPr>
            <w:tcW w:w="860" w:type="dxa"/>
            <w:vAlign w:val="bottom"/>
            <w:tcBorders>
              <w:top w:val="single" w:sz="8" w:color="auto"/>
              <w:bottom w:val="single" w:sz="8" w:color="D1EEF5"/>
            </w:tcBorders>
            <w:shd w:val="clear" w:color="auto" w:fill="D1EEF5"/>
          </w:tcPr>
          <w:p>
            <w:pPr>
              <w:spacing w:after="0"/>
              <w:rPr>
                <w:sz w:val="14"/>
                <w:szCs w:val="14"/>
                <w:color w:val="auto"/>
              </w:rPr>
            </w:pPr>
          </w:p>
        </w:tc>
        <w:tc>
          <w:tcPr>
            <w:tcW w:w="320" w:type="dxa"/>
            <w:vAlign w:val="bottom"/>
            <w:tcBorders>
              <w:top w:val="single" w:sz="8" w:color="D1EEF5"/>
              <w:bottom w:val="single" w:sz="8" w:color="D1EEF5"/>
            </w:tcBorders>
            <w:shd w:val="clear" w:color="auto" w:fill="D1EEF5"/>
          </w:tcPr>
          <w:p>
            <w:pPr>
              <w:spacing w:after="0"/>
              <w:rPr>
                <w:sz w:val="14"/>
                <w:szCs w:val="14"/>
                <w:color w:val="auto"/>
              </w:rPr>
            </w:pPr>
          </w:p>
        </w:tc>
        <w:tc>
          <w:tcPr>
            <w:tcW w:w="160" w:type="dxa"/>
            <w:vAlign w:val="bottom"/>
            <w:tcBorders>
              <w:top w:val="single" w:sz="8" w:color="auto"/>
              <w:bottom w:val="single" w:sz="8" w:color="D1EEF5"/>
            </w:tcBorders>
            <w:shd w:val="clear" w:color="auto" w:fill="D1EEF5"/>
          </w:tcPr>
          <w:p>
            <w:pPr>
              <w:spacing w:after="0"/>
              <w:rPr>
                <w:sz w:val="14"/>
                <w:szCs w:val="14"/>
                <w:color w:val="auto"/>
              </w:rPr>
            </w:pPr>
          </w:p>
        </w:tc>
        <w:tc>
          <w:tcPr>
            <w:tcW w:w="860" w:type="dxa"/>
            <w:vAlign w:val="bottom"/>
            <w:tcBorders>
              <w:top w:val="single" w:sz="8" w:color="auto"/>
              <w:bottom w:val="single" w:sz="8" w:color="D1EEF5"/>
            </w:tcBorders>
            <w:shd w:val="clear" w:color="auto" w:fill="D1EEF5"/>
          </w:tcPr>
          <w:p>
            <w:pPr>
              <w:spacing w:after="0"/>
              <w:rPr>
                <w:sz w:val="14"/>
                <w:szCs w:val="14"/>
                <w:color w:val="auto"/>
              </w:rPr>
            </w:pPr>
          </w:p>
        </w:tc>
        <w:tc>
          <w:tcPr>
            <w:tcW w:w="100" w:type="dxa"/>
            <w:vAlign w:val="bottom"/>
            <w:tcBorders>
              <w:top w:val="single" w:sz="8" w:color="D1EEF5"/>
              <w:bottom w:val="single" w:sz="8" w:color="D1EEF5"/>
            </w:tcBorders>
            <w:shd w:val="clear" w:color="auto" w:fill="D1EEF5"/>
          </w:tcPr>
          <w:p>
            <w:pPr>
              <w:spacing w:after="0"/>
              <w:rPr>
                <w:sz w:val="14"/>
                <w:szCs w:val="14"/>
                <w:color w:val="auto"/>
              </w:rPr>
            </w:pPr>
          </w:p>
        </w:tc>
      </w:tr>
      <w:tr>
        <w:trPr>
          <w:trHeight w:val="165"/>
        </w:trPr>
        <w:tc>
          <w:tcPr>
            <w:tcW w:w="31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Warrant liability-Term Loan</w:t>
            </w:r>
          </w:p>
        </w:tc>
        <w:tc>
          <w:tcPr>
            <w:tcW w:w="1020" w:type="dxa"/>
            <w:vAlign w:val="bottom"/>
            <w:gridSpan w:val="2"/>
          </w:tcPr>
          <w:p>
            <w:pPr>
              <w:jc w:val="right"/>
              <w:ind w:right="218"/>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30,841</w:t>
            </w:r>
          </w:p>
        </w:tc>
        <w:tc>
          <w:tcPr>
            <w:tcW w:w="440" w:type="dxa"/>
            <w:vAlign w:val="bottom"/>
            <w:gridSpan w:val="2"/>
          </w:tcPr>
          <w:p>
            <w:pPr>
              <w:jc w:val="right"/>
              <w:ind w:right="24"/>
              <w:spacing w:after="0" w:line="15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30,841</w:t>
            </w:r>
          </w:p>
        </w:tc>
        <w:tc>
          <w:tcPr>
            <w:tcW w:w="420" w:type="dxa"/>
            <w:vAlign w:val="bottom"/>
            <w:gridSpan w:val="2"/>
          </w:tcPr>
          <w:p>
            <w:pPr>
              <w:jc w:val="right"/>
              <w:ind w:right="32"/>
              <w:spacing w:after="0" w:line="15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20" w:type="dxa"/>
            <w:vAlign w:val="bottom"/>
            <w:gridSpan w:val="2"/>
          </w:tcPr>
          <w:p>
            <w:pPr>
              <w:jc w:val="right"/>
              <w:ind w:right="44"/>
              <w:spacing w:after="0" w:line="15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3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30,841</w:t>
            </w:r>
          </w:p>
        </w:tc>
        <w:tc>
          <w:tcPr>
            <w:tcW w:w="100" w:type="dxa"/>
            <w:vAlign w:val="bottom"/>
          </w:tcPr>
          <w:p>
            <w:pPr>
              <w:spacing w:after="0"/>
              <w:rPr>
                <w:sz w:val="14"/>
                <w:szCs w:val="14"/>
                <w:color w:val="auto"/>
              </w:rPr>
            </w:pPr>
          </w:p>
        </w:tc>
      </w:tr>
      <w:tr>
        <w:trPr>
          <w:trHeight w:val="172"/>
        </w:trPr>
        <w:tc>
          <w:tcPr>
            <w:tcW w:w="3120" w:type="dxa"/>
            <w:vAlign w:val="bottom"/>
            <w:tcBorders>
              <w:top w:val="single" w:sz="8" w:color="D1EEF5"/>
              <w:bottom w:val="single" w:sz="8" w:color="D1EEF5"/>
            </w:tcBorders>
            <w:gridSpan w:val="2"/>
            <w:shd w:val="clear" w:color="auto" w:fill="D1EEF5"/>
          </w:tcPr>
          <w:p>
            <w:pPr>
              <w:spacing w:after="0" w:line="153" w:lineRule="exact"/>
              <w:rPr>
                <w:sz w:val="20"/>
                <w:szCs w:val="20"/>
                <w:color w:val="auto"/>
              </w:rPr>
            </w:pPr>
            <w:r>
              <w:rPr>
                <w:rFonts w:ascii="Times New Roman" w:cs="Times New Roman" w:eastAsia="Times New Roman" w:hAnsi="Times New Roman"/>
                <w:sz w:val="14"/>
                <w:szCs w:val="14"/>
                <w:color w:val="auto"/>
              </w:rPr>
              <w:t>Warrant liability-Private Placement Warrants</w:t>
            </w:r>
          </w:p>
        </w:tc>
        <w:tc>
          <w:tcPr>
            <w:tcW w:w="680" w:type="dxa"/>
            <w:vAlign w:val="bottom"/>
            <w:tcBorders>
              <w:top w:val="single" w:sz="8" w:color="D1EEF5"/>
              <w:bottom w:val="single" w:sz="8" w:color="D1EEF5"/>
            </w:tcBorders>
            <w:shd w:val="clear" w:color="auto" w:fill="D1EEF5"/>
          </w:tcPr>
          <w:p>
            <w:pPr>
              <w:spacing w:after="0"/>
              <w:rPr>
                <w:sz w:val="14"/>
                <w:szCs w:val="14"/>
                <w:color w:val="auto"/>
              </w:rPr>
            </w:pPr>
          </w:p>
        </w:tc>
        <w:tc>
          <w:tcPr>
            <w:tcW w:w="340" w:type="dxa"/>
            <w:vAlign w:val="bottom"/>
            <w:tcBorders>
              <w:top w:val="single" w:sz="8" w:color="auto"/>
              <w:bottom w:val="single" w:sz="8" w:color="auto"/>
            </w:tcBorders>
            <w:shd w:val="clear" w:color="auto" w:fill="D1EEF5"/>
          </w:tcPr>
          <w:p>
            <w:pPr>
              <w:spacing w:after="0"/>
              <w:rPr>
                <w:sz w:val="14"/>
                <w:szCs w:val="14"/>
                <w:color w:val="auto"/>
              </w:rPr>
            </w:pPr>
          </w:p>
        </w:tc>
        <w:tc>
          <w:tcPr>
            <w:tcW w:w="680" w:type="dxa"/>
            <w:vAlign w:val="bottom"/>
            <w:tcBorders>
              <w:top w:val="single" w:sz="8" w:color="auto"/>
              <w:bottom w:val="single" w:sz="8" w:color="auto"/>
            </w:tcBorders>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1,990</w:t>
            </w:r>
          </w:p>
        </w:tc>
        <w:tc>
          <w:tcPr>
            <w:tcW w:w="300" w:type="dxa"/>
            <w:vAlign w:val="bottom"/>
            <w:tcBorders>
              <w:top w:val="single" w:sz="8" w:color="D1EEF5"/>
              <w:bottom w:val="single" w:sz="8" w:color="D1EEF5"/>
            </w:tcBorders>
            <w:shd w:val="clear" w:color="auto" w:fill="D1EEF5"/>
          </w:tcPr>
          <w:p>
            <w:pPr>
              <w:spacing w:after="0"/>
              <w:rPr>
                <w:sz w:val="14"/>
                <w:szCs w:val="14"/>
                <w:color w:val="auto"/>
              </w:rPr>
            </w:pPr>
          </w:p>
        </w:tc>
        <w:tc>
          <w:tcPr>
            <w:tcW w:w="140" w:type="dxa"/>
            <w:vAlign w:val="bottom"/>
            <w:tcBorders>
              <w:top w:val="single" w:sz="8" w:color="auto"/>
              <w:bottom w:val="single" w:sz="8" w:color="auto"/>
            </w:tcBorders>
            <w:shd w:val="clear" w:color="auto" w:fill="D1EEF5"/>
          </w:tcPr>
          <w:p>
            <w:pPr>
              <w:spacing w:after="0"/>
              <w:rPr>
                <w:sz w:val="14"/>
                <w:szCs w:val="14"/>
                <w:color w:val="auto"/>
              </w:rPr>
            </w:pPr>
          </w:p>
        </w:tc>
        <w:tc>
          <w:tcPr>
            <w:tcW w:w="880" w:type="dxa"/>
            <w:vAlign w:val="bottom"/>
            <w:tcBorders>
              <w:top w:val="single" w:sz="8" w:color="auto"/>
              <w:bottom w:val="single" w:sz="8" w:color="auto"/>
            </w:tcBorders>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1,990</w:t>
            </w:r>
          </w:p>
        </w:tc>
        <w:tc>
          <w:tcPr>
            <w:tcW w:w="60" w:type="dxa"/>
            <w:vAlign w:val="bottom"/>
            <w:tcBorders>
              <w:top w:val="single" w:sz="8" w:color="D1EEF5"/>
              <w:bottom w:val="single" w:sz="8" w:color="D1EEF5"/>
            </w:tcBorders>
            <w:shd w:val="clear" w:color="auto" w:fill="D1EEF5"/>
          </w:tcPr>
          <w:p>
            <w:pPr>
              <w:spacing w:after="0"/>
              <w:rPr>
                <w:sz w:val="14"/>
                <w:szCs w:val="14"/>
                <w:color w:val="auto"/>
              </w:rPr>
            </w:pPr>
          </w:p>
        </w:tc>
        <w:tc>
          <w:tcPr>
            <w:tcW w:w="240" w:type="dxa"/>
            <w:vAlign w:val="bottom"/>
            <w:tcBorders>
              <w:top w:val="single" w:sz="8" w:color="D1EEF5"/>
              <w:bottom w:val="single" w:sz="8" w:color="D1EEF5"/>
            </w:tcBorders>
            <w:shd w:val="clear" w:color="auto" w:fill="D1EEF5"/>
          </w:tcPr>
          <w:p>
            <w:pPr>
              <w:spacing w:after="0"/>
              <w:rPr>
                <w:sz w:val="14"/>
                <w:szCs w:val="14"/>
                <w:color w:val="auto"/>
              </w:rPr>
            </w:pPr>
          </w:p>
        </w:tc>
        <w:tc>
          <w:tcPr>
            <w:tcW w:w="180" w:type="dxa"/>
            <w:vAlign w:val="bottom"/>
            <w:tcBorders>
              <w:top w:val="single" w:sz="8" w:color="auto"/>
              <w:bottom w:val="single" w:sz="8" w:color="auto"/>
            </w:tcBorders>
            <w:shd w:val="clear" w:color="auto" w:fill="D1EEF5"/>
          </w:tcPr>
          <w:p>
            <w:pPr>
              <w:spacing w:after="0"/>
              <w:rPr>
                <w:sz w:val="14"/>
                <w:szCs w:val="14"/>
                <w:color w:val="auto"/>
              </w:rPr>
            </w:pPr>
          </w:p>
        </w:tc>
        <w:tc>
          <w:tcPr>
            <w:tcW w:w="860" w:type="dxa"/>
            <w:vAlign w:val="bottom"/>
            <w:tcBorders>
              <w:top w:val="single" w:sz="8" w:color="auto"/>
              <w:bottom w:val="single" w:sz="8" w:color="auto"/>
            </w:tcBorders>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D1EEF5"/>
              <w:bottom w:val="single" w:sz="8" w:color="D1EEF5"/>
            </w:tcBorders>
            <w:shd w:val="clear" w:color="auto" w:fill="D1EEF5"/>
          </w:tcPr>
          <w:p>
            <w:pPr>
              <w:spacing w:after="0"/>
              <w:rPr>
                <w:sz w:val="14"/>
                <w:szCs w:val="14"/>
                <w:color w:val="auto"/>
              </w:rPr>
            </w:pPr>
          </w:p>
        </w:tc>
        <w:tc>
          <w:tcPr>
            <w:tcW w:w="60" w:type="dxa"/>
            <w:vAlign w:val="bottom"/>
            <w:tcBorders>
              <w:top w:val="single" w:sz="8" w:color="D1EEF5"/>
              <w:bottom w:val="single" w:sz="8" w:color="D1EEF5"/>
            </w:tcBorders>
            <w:shd w:val="clear" w:color="auto" w:fill="D1EEF5"/>
          </w:tcPr>
          <w:p>
            <w:pPr>
              <w:spacing w:after="0"/>
              <w:rPr>
                <w:sz w:val="14"/>
                <w:szCs w:val="14"/>
                <w:color w:val="auto"/>
              </w:rPr>
            </w:pPr>
          </w:p>
        </w:tc>
        <w:tc>
          <w:tcPr>
            <w:tcW w:w="160" w:type="dxa"/>
            <w:vAlign w:val="bottom"/>
            <w:tcBorders>
              <w:top w:val="single" w:sz="8" w:color="auto"/>
              <w:bottom w:val="single" w:sz="8" w:color="auto"/>
            </w:tcBorders>
            <w:shd w:val="clear" w:color="auto" w:fill="D1EEF5"/>
          </w:tcPr>
          <w:p>
            <w:pPr>
              <w:spacing w:after="0"/>
              <w:rPr>
                <w:sz w:val="14"/>
                <w:szCs w:val="14"/>
                <w:color w:val="auto"/>
              </w:rPr>
            </w:pPr>
          </w:p>
        </w:tc>
        <w:tc>
          <w:tcPr>
            <w:tcW w:w="860" w:type="dxa"/>
            <w:vAlign w:val="bottom"/>
            <w:tcBorders>
              <w:top w:val="single" w:sz="8" w:color="auto"/>
              <w:bottom w:val="single" w:sz="8" w:color="auto"/>
            </w:tcBorders>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1,990</w:t>
            </w:r>
          </w:p>
        </w:tc>
        <w:tc>
          <w:tcPr>
            <w:tcW w:w="320" w:type="dxa"/>
            <w:vAlign w:val="bottom"/>
            <w:tcBorders>
              <w:top w:val="single" w:sz="8" w:color="D1EEF5"/>
              <w:bottom w:val="single" w:sz="8" w:color="D1EEF5"/>
            </w:tcBorders>
            <w:shd w:val="clear" w:color="auto" w:fill="D1EEF5"/>
          </w:tcPr>
          <w:p>
            <w:pPr>
              <w:spacing w:after="0"/>
              <w:rPr>
                <w:sz w:val="14"/>
                <w:szCs w:val="14"/>
                <w:color w:val="auto"/>
              </w:rPr>
            </w:pPr>
          </w:p>
        </w:tc>
        <w:tc>
          <w:tcPr>
            <w:tcW w:w="160" w:type="dxa"/>
            <w:vAlign w:val="bottom"/>
            <w:tcBorders>
              <w:top w:val="single" w:sz="8" w:color="auto"/>
              <w:bottom w:val="single" w:sz="8" w:color="auto"/>
            </w:tcBorders>
            <w:shd w:val="clear" w:color="auto" w:fill="D1EEF5"/>
          </w:tcPr>
          <w:p>
            <w:pPr>
              <w:spacing w:after="0"/>
              <w:rPr>
                <w:sz w:val="14"/>
                <w:szCs w:val="14"/>
                <w:color w:val="auto"/>
              </w:rPr>
            </w:pPr>
          </w:p>
        </w:tc>
        <w:tc>
          <w:tcPr>
            <w:tcW w:w="860" w:type="dxa"/>
            <w:vAlign w:val="bottom"/>
            <w:tcBorders>
              <w:top w:val="single" w:sz="8" w:color="auto"/>
              <w:bottom w:val="single" w:sz="8" w:color="auto"/>
            </w:tcBorders>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D1EEF5"/>
              <w:bottom w:val="single" w:sz="8" w:color="D1EEF5"/>
            </w:tcBorders>
            <w:shd w:val="clear" w:color="auto" w:fill="D1EEF5"/>
          </w:tcPr>
          <w:p>
            <w:pPr>
              <w:spacing w:after="0"/>
              <w:rPr>
                <w:sz w:val="14"/>
                <w:szCs w:val="14"/>
                <w:color w:val="auto"/>
              </w:rPr>
            </w:pPr>
          </w:p>
        </w:tc>
      </w:tr>
      <w:tr>
        <w:trPr>
          <w:trHeight w:val="166"/>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680" w:type="dxa"/>
            <w:vAlign w:val="bottom"/>
          </w:tcPr>
          <w:p>
            <w:pPr>
              <w:spacing w:after="0"/>
              <w:rPr>
                <w:sz w:val="14"/>
                <w:szCs w:val="14"/>
                <w:color w:val="auto"/>
              </w:rPr>
            </w:pPr>
          </w:p>
        </w:tc>
        <w:tc>
          <w:tcPr>
            <w:tcW w:w="340" w:type="dxa"/>
            <w:vAlign w:val="bottom"/>
          </w:tcPr>
          <w:p>
            <w:pPr>
              <w:jc w:val="right"/>
              <w:ind w:right="21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32,831</w:t>
            </w:r>
          </w:p>
        </w:tc>
        <w:tc>
          <w:tcPr>
            <w:tcW w:w="30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32,831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320" w:type="dxa"/>
            <w:vAlign w:val="bottom"/>
          </w:tcPr>
          <w:p>
            <w:pPr>
              <w:spacing w:after="0"/>
              <w:rPr>
                <w:sz w:val="14"/>
                <w:szCs w:val="14"/>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30,841</w:t>
            </w: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-29210</wp:posOffset>
            </wp:positionV>
            <wp:extent cx="4057015" cy="49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30">
                      <a:extLst>
                        <a:ext uri="{28A0092B-C50C-407E-A947-70E740481C1C}"/>
                      </a:extLst>
                    </a:blip>
                    <a:srcRect/>
                    <a:stretch>
                      <a:fillRect/>
                    </a:stretch>
                  </pic:blipFill>
                  <pic:spPr bwMode="auto">
                    <a:xfrm>
                      <a:off x="0" y="0"/>
                      <a:ext cx="4057015" cy="4953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assets or liabilities that were measured at fair value as of December 31, 2021.</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carrying amounts of accounts receivable and accounts payable are considered level 1 and approximate fair value as of December 31, 2022 and 2021 because of the relatively short maturity of these instruments.</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carrying value of the term loan and fixed rate senior notes as of December 31, 2022 and 2021, respectively, are considered level 2 and approximates their fair value as the interest rate does not differ significantly from the current market rates available to the Company for similar debt.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60" w:type="dxa"/>
            <w:vAlign w:val="bottom"/>
          </w:tcPr>
          <w:p>
            <w:pPr>
              <w:spacing w:after="0" w:line="188" w:lineRule="exact"/>
              <w:rPr>
                <w:sz w:val="20"/>
                <w:szCs w:val="20"/>
                <w:color w:val="auto"/>
              </w:rPr>
            </w:pPr>
            <w:r>
              <w:rPr>
                <w:rFonts w:ascii="Times New Roman" w:cs="Times New Roman" w:eastAsia="Times New Roman" w:hAnsi="Times New Roman"/>
                <w:sz w:val="14"/>
                <w:szCs w:val="14"/>
                <w:b w:val="1"/>
                <w:bCs w:val="1"/>
                <w:color w:val="auto"/>
              </w:rPr>
              <w:t>NOTE 5</w:t>
            </w:r>
            <w:r>
              <w:rPr>
                <w:rFonts w:ascii="Arial Unicode MS" w:cs="Arial Unicode MS" w:eastAsia="Arial Unicode MS" w:hAnsi="Arial Unicode MS"/>
                <w:sz w:val="14"/>
                <w:szCs w:val="14"/>
                <w:b w:val="1"/>
                <w:bCs w:val="1"/>
                <w:color w:val="auto"/>
              </w:rPr>
              <w:t>ௗ</w:t>
            </w:r>
            <w:r>
              <w:rPr>
                <w:rFonts w:ascii="Times New Roman" w:cs="Times New Roman" w:eastAsia="Times New Roman" w:hAnsi="Times New Roman"/>
                <w:sz w:val="14"/>
                <w:szCs w:val="14"/>
                <w:b w:val="1"/>
                <w:bCs w:val="1"/>
                <w:color w:val="auto"/>
              </w:rPr>
              <w:t>—</w:t>
            </w:r>
            <w:r>
              <w:rPr>
                <w:rFonts w:ascii="Arial Unicode MS" w:cs="Arial Unicode MS" w:eastAsia="Arial Unicode MS" w:hAnsi="Arial Unicode MS"/>
                <w:sz w:val="14"/>
                <w:szCs w:val="14"/>
                <w:b w:val="1"/>
                <w:bCs w:val="1"/>
                <w:color w:val="auto"/>
              </w:rPr>
              <w:t>ௗ</w:t>
            </w:r>
            <w:r>
              <w:rPr>
                <w:rFonts w:ascii="Times New Roman" w:cs="Times New Roman" w:eastAsia="Times New Roman" w:hAnsi="Times New Roman"/>
                <w:sz w:val="14"/>
                <w:szCs w:val="14"/>
                <w:b w:val="1"/>
                <w:bCs w:val="1"/>
                <w:color w:val="auto"/>
              </w:rPr>
              <w:t>INVENTORY</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9"/>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Inventory consists of the following:</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6"/>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8"/>
        </w:trPr>
        <w:tc>
          <w:tcPr>
            <w:tcW w:w="6760" w:type="dxa"/>
            <w:vAlign w:val="bottom"/>
            <w:tcBorders>
              <w:bottom w:val="single" w:sz="8" w:color="D1EEF5"/>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D1EEF5"/>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D1EEF5"/>
            </w:tcBorders>
          </w:tcPr>
          <w:p>
            <w:pPr>
              <w:spacing w:after="0"/>
              <w:rPr>
                <w:sz w:val="15"/>
                <w:szCs w:val="15"/>
                <w:color w:val="auto"/>
              </w:rPr>
            </w:pPr>
          </w:p>
        </w:tc>
      </w:tr>
      <w:tr>
        <w:trPr>
          <w:trHeight w:val="156"/>
        </w:trPr>
        <w:tc>
          <w:tcPr>
            <w:tcW w:w="67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Raw material</w:t>
            </w:r>
          </w:p>
        </w:tc>
        <w:tc>
          <w:tcPr>
            <w:tcW w:w="220" w:type="dxa"/>
            <w:vAlign w:val="bottom"/>
            <w:shd w:val="clear" w:color="auto" w:fill="D1EEF5"/>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42,586</w:t>
            </w:r>
          </w:p>
        </w:tc>
        <w:tc>
          <w:tcPr>
            <w:tcW w:w="300" w:type="dxa"/>
            <w:vAlign w:val="bottom"/>
            <w:shd w:val="clear" w:color="auto" w:fill="D1EEF5"/>
          </w:tcPr>
          <w:p>
            <w:pPr>
              <w:spacing w:after="0"/>
              <w:rPr>
                <w:sz w:val="13"/>
                <w:szCs w:val="13"/>
                <w:color w:val="auto"/>
              </w:rPr>
            </w:pPr>
          </w:p>
        </w:tc>
        <w:tc>
          <w:tcPr>
            <w:tcW w:w="220" w:type="dxa"/>
            <w:vAlign w:val="bottom"/>
            <w:shd w:val="clear" w:color="auto" w:fill="D1EEF5"/>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22,885</w:t>
            </w:r>
          </w:p>
        </w:tc>
        <w:tc>
          <w:tcPr>
            <w:tcW w:w="100" w:type="dxa"/>
            <w:vAlign w:val="bottom"/>
            <w:shd w:val="clear" w:color="auto" w:fill="D1EEF5"/>
          </w:tcPr>
          <w:p>
            <w:pPr>
              <w:spacing w:after="0"/>
              <w:rPr>
                <w:sz w:val="13"/>
                <w:szCs w:val="13"/>
                <w:color w:val="auto"/>
              </w:rPr>
            </w:pPr>
          </w:p>
        </w:tc>
      </w:tr>
      <w:tr>
        <w:trPr>
          <w:trHeight w:val="168"/>
        </w:trPr>
        <w:tc>
          <w:tcPr>
            <w:tcW w:w="6760" w:type="dxa"/>
            <w:vAlign w:val="bottom"/>
            <w:tcBorders>
              <w:bottom w:val="single" w:sz="8" w:color="D1EEF5"/>
            </w:tcBorders>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7,260</w:t>
            </w:r>
          </w:p>
        </w:tc>
        <w:tc>
          <w:tcPr>
            <w:tcW w:w="300" w:type="dxa"/>
            <w:vAlign w:val="bottom"/>
            <w:tcBorders>
              <w:bottom w:val="single" w:sz="8" w:color="D1EEF5"/>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4,242</w:t>
            </w:r>
          </w:p>
        </w:tc>
        <w:tc>
          <w:tcPr>
            <w:tcW w:w="100" w:type="dxa"/>
            <w:vAlign w:val="bottom"/>
            <w:tcBorders>
              <w:bottom w:val="single" w:sz="8" w:color="D1EEF5"/>
            </w:tcBorders>
          </w:tcPr>
          <w:p>
            <w:pPr>
              <w:spacing w:after="0"/>
              <w:rPr>
                <w:sz w:val="14"/>
                <w:szCs w:val="14"/>
                <w:color w:val="auto"/>
              </w:rPr>
            </w:pPr>
          </w:p>
        </w:tc>
      </w:tr>
      <w:tr>
        <w:trPr>
          <w:trHeight w:val="179"/>
        </w:trPr>
        <w:tc>
          <w:tcPr>
            <w:tcW w:w="67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Total inventory</w:t>
            </w:r>
          </w:p>
        </w:tc>
        <w:tc>
          <w:tcPr>
            <w:tcW w:w="220" w:type="dxa"/>
            <w:vAlign w:val="bottom"/>
            <w:shd w:val="clear" w:color="auto" w:fill="D1EEF5"/>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49,846</w:t>
            </w:r>
          </w:p>
        </w:tc>
        <w:tc>
          <w:tcPr>
            <w:tcW w:w="300" w:type="dxa"/>
            <w:vAlign w:val="bottom"/>
            <w:shd w:val="clear" w:color="auto" w:fill="D1EEF5"/>
          </w:tcPr>
          <w:p>
            <w:pPr>
              <w:spacing w:after="0"/>
              <w:rPr>
                <w:sz w:val="15"/>
                <w:szCs w:val="15"/>
                <w:color w:val="auto"/>
              </w:rPr>
            </w:pPr>
          </w:p>
        </w:tc>
        <w:tc>
          <w:tcPr>
            <w:tcW w:w="220" w:type="dxa"/>
            <w:vAlign w:val="bottom"/>
            <w:shd w:val="clear" w:color="auto" w:fill="D1EEF5"/>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27,127</w:t>
            </w:r>
          </w:p>
        </w:tc>
        <w:tc>
          <w:tcPr>
            <w:tcW w:w="100" w:type="dxa"/>
            <w:vAlign w:val="bottom"/>
            <w:shd w:val="clear" w:color="auto" w:fill="D1EEF5"/>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-28575</wp:posOffset>
            </wp:positionV>
            <wp:extent cx="2171065" cy="495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1">
                      <a:extLst>
                        <a:ext uri="{28A0092B-C50C-407E-A947-70E740481C1C}"/>
                      </a:extLst>
                    </a:blip>
                    <a:srcRect/>
                    <a:stretch>
                      <a:fillRect/>
                    </a:stretch>
                  </pic:blipFill>
                  <pic:spPr bwMode="auto">
                    <a:xfrm>
                      <a:off x="0" y="0"/>
                      <a:ext cx="2171065" cy="49530"/>
                    </a:xfrm>
                    <a:prstGeom prst="rect">
                      <a:avLst/>
                    </a:prstGeom>
                    <a:noFill/>
                  </pic:spPr>
                </pic:pic>
              </a:graphicData>
            </a:graphic>
          </wp:anchor>
        </w:drawing>
      </w:r>
    </w:p>
    <w:p>
      <w:pPr>
        <w:spacing w:after="0" w:line="132"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b w:val="1"/>
          <w:bCs w:val="1"/>
          <w:color w:val="auto"/>
        </w:rPr>
        <w:t>NOTE 6</w:t>
      </w:r>
      <w:r>
        <w:rPr>
          <w:rFonts w:ascii="Arial Unicode MS" w:cs="Arial Unicode MS" w:eastAsia="Arial Unicode MS" w:hAnsi="Arial Unicode MS"/>
          <w:sz w:val="14"/>
          <w:szCs w:val="14"/>
          <w:b w:val="1"/>
          <w:bCs w:val="1"/>
          <w:color w:val="auto"/>
        </w:rPr>
        <w:t>ௗ</w:t>
      </w:r>
      <w:r>
        <w:rPr>
          <w:rFonts w:ascii="Times New Roman" w:cs="Times New Roman" w:eastAsia="Times New Roman" w:hAnsi="Times New Roman"/>
          <w:sz w:val="14"/>
          <w:szCs w:val="14"/>
          <w:b w:val="1"/>
          <w:bCs w:val="1"/>
          <w:color w:val="auto"/>
        </w:rPr>
        <w:t>—</w:t>
      </w:r>
      <w:r>
        <w:rPr>
          <w:rFonts w:ascii="Arial Unicode MS" w:cs="Arial Unicode MS" w:eastAsia="Arial Unicode MS" w:hAnsi="Arial Unicode MS"/>
          <w:sz w:val="14"/>
          <w:szCs w:val="14"/>
          <w:b w:val="1"/>
          <w:bCs w:val="1"/>
          <w:color w:val="auto"/>
        </w:rPr>
        <w:t>ௗ</w:t>
      </w:r>
      <w:r>
        <w:rPr>
          <w:rFonts w:ascii="Times New Roman" w:cs="Times New Roman" w:eastAsia="Times New Roman" w:hAnsi="Times New Roman"/>
          <w:sz w:val="14"/>
          <w:szCs w:val="14"/>
          <w:b w:val="1"/>
          <w:bCs w:val="1"/>
          <w:color w:val="auto"/>
        </w:rPr>
        <w:t>COMMITMENTS AND CONTINGENCIES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Litigation</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17145</wp:posOffset>
                </wp:positionV>
                <wp:extent cx="650938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5pt" to="512.25pt,1.35pt" o:allowincell="f" strokecolor="#000000" strokeweight="1.2599pt"/>
            </w:pict>
          </mc:Fallback>
        </mc:AlternateContent>
      </w:r>
    </w:p>
    <w:p>
      <w:pPr>
        <w:sectPr>
          <w:pgSz w:w="12240" w:h="15840" w:orient="portrait"/>
          <w:cols w:equalWidth="0" w:num="1">
            <w:col w:w="10240"/>
          </w:cols>
          <w:pgMar w:left="1000" w:top="1208" w:right="1000"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Leases</w:t>
      </w:r>
    </w:p>
    <w:p>
      <w:pPr>
        <w:spacing w:after="0" w:line="1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Company has leases related to the main office, warehouse space, research and development lab, and engineering office, all located in Reno, Nevada. The leases require annual escalating monthly payments ranging from $60 to $74. In December of 2021, the Company entered into another lease for additional warehouse space located in Reno, Nevada that requires annual escalating monthly payments ranging from $47 to $55.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 As of December 31, 2022, the lease has not commenced as the Company does not have control over the asset.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breakout of the operating leases as of:</w:t>
            </w: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86"/>
        </w:trPr>
        <w:tc>
          <w:tcPr>
            <w:tcW w:w="5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0"/>
        </w:trPr>
        <w:tc>
          <w:tcPr>
            <w:tcW w:w="5300" w:type="dxa"/>
            <w:vAlign w:val="bottom"/>
            <w:tcBorders>
              <w:bottom w:val="single" w:sz="8" w:color="D1EEF5"/>
            </w:tcBorders>
          </w:tcPr>
          <w:p>
            <w:pPr>
              <w:spacing w:after="0"/>
              <w:rPr>
                <w:sz w:val="15"/>
                <w:szCs w:val="15"/>
                <w:color w:val="auto"/>
              </w:rPr>
            </w:pPr>
          </w:p>
        </w:tc>
        <w:tc>
          <w:tcPr>
            <w:tcW w:w="1460" w:type="dxa"/>
            <w:vAlign w:val="bottom"/>
            <w:tcBorders>
              <w:bottom w:val="single" w:sz="8" w:color="D1EEF5"/>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D1EEF5"/>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D1EEF5"/>
            </w:tcBorders>
          </w:tcPr>
          <w:p>
            <w:pPr>
              <w:spacing w:after="0"/>
              <w:rPr>
                <w:sz w:val="15"/>
                <w:szCs w:val="15"/>
                <w:color w:val="auto"/>
              </w:rPr>
            </w:pPr>
          </w:p>
        </w:tc>
      </w:tr>
      <w:tr>
        <w:trPr>
          <w:trHeight w:val="172"/>
        </w:trPr>
        <w:tc>
          <w:tcPr>
            <w:tcW w:w="5300" w:type="dxa"/>
            <w:vAlign w:val="bottom"/>
            <w:tcBorders>
              <w:bottom w:val="single" w:sz="8" w:color="D1EEF5"/>
            </w:tcBorders>
            <w:shd w:val="clear" w:color="auto" w:fill="D1EEF5"/>
          </w:tcPr>
          <w:p>
            <w:pPr>
              <w:spacing w:after="0" w:line="153"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460" w:type="dxa"/>
            <w:vAlign w:val="bottom"/>
            <w:tcBorders>
              <w:bottom w:val="single" w:sz="8" w:color="D1EEF5"/>
            </w:tcBorders>
            <w:shd w:val="clear" w:color="auto" w:fill="D1EEF5"/>
          </w:tcPr>
          <w:p>
            <w:pPr>
              <w:spacing w:after="0"/>
              <w:rPr>
                <w:sz w:val="14"/>
                <w:szCs w:val="14"/>
                <w:color w:val="auto"/>
              </w:rPr>
            </w:pPr>
          </w:p>
        </w:tc>
        <w:tc>
          <w:tcPr>
            <w:tcW w:w="220" w:type="dxa"/>
            <w:vAlign w:val="bottom"/>
            <w:tcBorders>
              <w:bottom w:val="single" w:sz="8" w:color="auto"/>
            </w:tcBorders>
            <w:shd w:val="clear" w:color="auto" w:fill="D1EEF5"/>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4,513</w:t>
            </w:r>
          </w:p>
        </w:tc>
        <w:tc>
          <w:tcPr>
            <w:tcW w:w="300" w:type="dxa"/>
            <w:vAlign w:val="bottom"/>
            <w:tcBorders>
              <w:bottom w:val="single" w:sz="8" w:color="D1EEF5"/>
            </w:tcBorders>
            <w:shd w:val="clear" w:color="auto" w:fill="D1EEF5"/>
          </w:tcPr>
          <w:p>
            <w:pPr>
              <w:spacing w:after="0"/>
              <w:rPr>
                <w:sz w:val="14"/>
                <w:szCs w:val="14"/>
                <w:color w:val="auto"/>
              </w:rPr>
            </w:pPr>
          </w:p>
        </w:tc>
        <w:tc>
          <w:tcPr>
            <w:tcW w:w="220" w:type="dxa"/>
            <w:vAlign w:val="bottom"/>
            <w:tcBorders>
              <w:bottom w:val="single" w:sz="8" w:color="auto"/>
            </w:tcBorders>
            <w:shd w:val="clear" w:color="auto" w:fill="D1EEF5"/>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5,709</w:t>
            </w:r>
          </w:p>
        </w:tc>
        <w:tc>
          <w:tcPr>
            <w:tcW w:w="100" w:type="dxa"/>
            <w:vAlign w:val="bottom"/>
            <w:tcBorders>
              <w:bottom w:val="single" w:sz="8" w:color="D1EEF5"/>
            </w:tcBorders>
            <w:shd w:val="clear" w:color="auto" w:fill="D1EEF5"/>
          </w:tcPr>
          <w:p>
            <w:pPr>
              <w:spacing w:after="0"/>
              <w:rPr>
                <w:sz w:val="14"/>
                <w:szCs w:val="14"/>
                <w:color w:val="auto"/>
              </w:rPr>
            </w:pPr>
          </w:p>
        </w:tc>
      </w:tr>
      <w:tr>
        <w:trPr>
          <w:trHeight w:val="139"/>
        </w:trPr>
        <w:tc>
          <w:tcPr>
            <w:tcW w:w="53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Short-term operating lease liabilities</w:t>
            </w: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1,188</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1,082</w:t>
            </w:r>
          </w:p>
        </w:tc>
        <w:tc>
          <w:tcPr>
            <w:tcW w:w="100" w:type="dxa"/>
            <w:vAlign w:val="bottom"/>
          </w:tcPr>
          <w:p>
            <w:pPr>
              <w:spacing w:after="0"/>
              <w:rPr>
                <w:sz w:val="12"/>
                <w:szCs w:val="12"/>
                <w:color w:val="auto"/>
              </w:rPr>
            </w:pPr>
          </w:p>
        </w:tc>
      </w:tr>
      <w:tr>
        <w:trPr>
          <w:trHeight w:val="186"/>
        </w:trPr>
        <w:tc>
          <w:tcPr>
            <w:tcW w:w="5300" w:type="dxa"/>
            <w:vAlign w:val="bottom"/>
            <w:tcBorders>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1460" w:type="dxa"/>
            <w:vAlign w:val="bottom"/>
            <w:tcBorders>
              <w:bottom w:val="single" w:sz="8" w:color="D1EEF5"/>
            </w:tcBorders>
            <w:shd w:val="clear" w:color="auto" w:fill="D1EEF5"/>
          </w:tcPr>
          <w:p>
            <w:pPr>
              <w:spacing w:after="0"/>
              <w:rPr>
                <w:sz w:val="16"/>
                <w:szCs w:val="16"/>
                <w:color w:val="auto"/>
              </w:rPr>
            </w:pPr>
          </w:p>
        </w:tc>
        <w:tc>
          <w:tcPr>
            <w:tcW w:w="220" w:type="dxa"/>
            <w:vAlign w:val="bottom"/>
            <w:tcBorders>
              <w:bottom w:val="single" w:sz="8" w:color="auto"/>
            </w:tcBorders>
            <w:shd w:val="clear" w:color="auto" w:fill="D1EEF5"/>
          </w:tcPr>
          <w:p>
            <w:pPr>
              <w:spacing w:after="0"/>
              <w:rPr>
                <w:sz w:val="16"/>
                <w:szCs w:val="16"/>
                <w:color w:val="auto"/>
              </w:rPr>
            </w:pPr>
          </w:p>
        </w:tc>
        <w:tc>
          <w:tcPr>
            <w:tcW w:w="132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3,541</w:t>
            </w:r>
          </w:p>
        </w:tc>
        <w:tc>
          <w:tcPr>
            <w:tcW w:w="300" w:type="dxa"/>
            <w:vAlign w:val="bottom"/>
            <w:tcBorders>
              <w:bottom w:val="single" w:sz="8" w:color="D1EEF5"/>
            </w:tcBorders>
            <w:shd w:val="clear" w:color="auto" w:fill="D1EEF5"/>
          </w:tcPr>
          <w:p>
            <w:pPr>
              <w:spacing w:after="0"/>
              <w:rPr>
                <w:sz w:val="16"/>
                <w:szCs w:val="16"/>
                <w:color w:val="auto"/>
              </w:rPr>
            </w:pPr>
          </w:p>
        </w:tc>
        <w:tc>
          <w:tcPr>
            <w:tcW w:w="220" w:type="dxa"/>
            <w:vAlign w:val="bottom"/>
            <w:tcBorders>
              <w:bottom w:val="single" w:sz="8" w:color="auto"/>
            </w:tcBorders>
            <w:shd w:val="clear" w:color="auto" w:fill="D1EEF5"/>
          </w:tcPr>
          <w:p>
            <w:pPr>
              <w:spacing w:after="0"/>
              <w:rPr>
                <w:sz w:val="16"/>
                <w:szCs w:val="16"/>
                <w:color w:val="auto"/>
              </w:rPr>
            </w:pPr>
          </w:p>
        </w:tc>
        <w:tc>
          <w:tcPr>
            <w:tcW w:w="132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4,694</w:t>
            </w:r>
          </w:p>
        </w:tc>
        <w:tc>
          <w:tcPr>
            <w:tcW w:w="100" w:type="dxa"/>
            <w:vAlign w:val="bottom"/>
            <w:tcBorders>
              <w:bottom w:val="single" w:sz="8" w:color="D1EEF5"/>
            </w:tcBorders>
            <w:shd w:val="clear" w:color="auto" w:fill="D1EEF5"/>
          </w:tcPr>
          <w:p>
            <w:pPr>
              <w:spacing w:after="0"/>
              <w:rPr>
                <w:sz w:val="16"/>
                <w:szCs w:val="16"/>
                <w:color w:val="auto"/>
              </w:rPr>
            </w:pPr>
          </w:p>
        </w:tc>
      </w:tr>
      <w:tr>
        <w:trPr>
          <w:trHeight w:val="162"/>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1460" w:type="dxa"/>
            <w:vAlign w:val="bottom"/>
          </w:tcPr>
          <w:p>
            <w:pPr>
              <w:spacing w:after="0"/>
              <w:rPr>
                <w:sz w:val="14"/>
                <w:szCs w:val="14"/>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4,729</w:t>
            </w:r>
          </w:p>
        </w:tc>
        <w:tc>
          <w:tcPr>
            <w:tcW w:w="300" w:type="dxa"/>
            <w:vAlign w:val="bottom"/>
          </w:tcPr>
          <w:p>
            <w:pPr>
              <w:spacing w:after="0"/>
              <w:rPr>
                <w:sz w:val="14"/>
                <w:szCs w:val="14"/>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5,776</w:t>
            </w:r>
          </w:p>
        </w:tc>
        <w:tc>
          <w:tcPr>
            <w:tcW w:w="100" w:type="dxa"/>
            <w:vAlign w:val="bottom"/>
          </w:tcPr>
          <w:p>
            <w:pPr>
              <w:spacing w:after="0"/>
              <w:rPr>
                <w:sz w:val="14"/>
                <w:szCs w:val="14"/>
                <w:color w:val="auto"/>
              </w:rPr>
            </w:pPr>
          </w:p>
        </w:tc>
      </w:tr>
      <w:tr>
        <w:trPr>
          <w:trHeight w:val="173"/>
        </w:trPr>
        <w:tc>
          <w:tcPr>
            <w:tcW w:w="53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1460" w:type="dxa"/>
            <w:vAlign w:val="bottom"/>
            <w:shd w:val="clear" w:color="auto" w:fill="D1EEF5"/>
          </w:tcPr>
          <w:p>
            <w:pPr>
              <w:spacing w:after="0"/>
              <w:rPr>
                <w:sz w:val="15"/>
                <w:szCs w:val="15"/>
                <w:color w:val="auto"/>
              </w:rPr>
            </w:pPr>
          </w:p>
        </w:tc>
        <w:tc>
          <w:tcPr>
            <w:tcW w:w="220" w:type="dxa"/>
            <w:vAlign w:val="bottom"/>
            <w:shd w:val="clear" w:color="auto" w:fill="D1EEF5"/>
          </w:tcPr>
          <w:p>
            <w:pPr>
              <w:spacing w:after="0"/>
              <w:rPr>
                <w:sz w:val="15"/>
                <w:szCs w:val="15"/>
                <w:color w:val="auto"/>
              </w:rPr>
            </w:pPr>
          </w:p>
        </w:tc>
        <w:tc>
          <w:tcPr>
            <w:tcW w:w="1620" w:type="dxa"/>
            <w:vAlign w:val="bottom"/>
            <w:gridSpan w:val="2"/>
            <w:shd w:val="clear" w:color="auto" w:fill="D1EEF5"/>
          </w:tcPr>
          <w:p>
            <w:pPr>
              <w:ind w:left="820"/>
              <w:spacing w:after="0"/>
              <w:rPr>
                <w:sz w:val="20"/>
                <w:szCs w:val="20"/>
                <w:color w:val="auto"/>
              </w:rPr>
            </w:pPr>
            <w:r>
              <w:rPr>
                <w:rFonts w:ascii="Times New Roman" w:cs="Times New Roman" w:eastAsia="Times New Roman" w:hAnsi="Times New Roman"/>
                <w:sz w:val="14"/>
                <w:szCs w:val="14"/>
                <w:color w:val="auto"/>
              </w:rPr>
              <w:t>3.6 years</w:t>
            </w:r>
          </w:p>
        </w:tc>
        <w:tc>
          <w:tcPr>
            <w:tcW w:w="220" w:type="dxa"/>
            <w:vAlign w:val="bottom"/>
            <w:shd w:val="clear" w:color="auto" w:fill="D1EEF5"/>
          </w:tcPr>
          <w:p>
            <w:pPr>
              <w:spacing w:after="0"/>
              <w:rPr>
                <w:sz w:val="15"/>
                <w:szCs w:val="15"/>
                <w:color w:val="auto"/>
              </w:rPr>
            </w:pPr>
          </w:p>
        </w:tc>
        <w:tc>
          <w:tcPr>
            <w:tcW w:w="1420" w:type="dxa"/>
            <w:vAlign w:val="bottom"/>
            <w:gridSpan w:val="2"/>
            <w:shd w:val="clear" w:color="auto" w:fill="D1EEF5"/>
          </w:tcPr>
          <w:p>
            <w:pPr>
              <w:ind w:left="820"/>
              <w:spacing w:after="0"/>
              <w:rPr>
                <w:sz w:val="20"/>
                <w:szCs w:val="20"/>
                <w:color w:val="auto"/>
              </w:rPr>
            </w:pPr>
            <w:r>
              <w:rPr>
                <w:rFonts w:ascii="Times New Roman" w:cs="Times New Roman" w:eastAsia="Times New Roman" w:hAnsi="Times New Roman"/>
                <w:sz w:val="14"/>
                <w:szCs w:val="14"/>
                <w:color w:val="auto"/>
              </w:rPr>
              <w:t>4.6 years</w:t>
            </w:r>
          </w:p>
        </w:tc>
      </w:tr>
      <w:tr>
        <w:trPr>
          <w:trHeight w:val="181"/>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-250825</wp:posOffset>
            </wp:positionV>
            <wp:extent cx="2171065" cy="495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2">
                      <a:extLst>
                        <a:ext uri="{28A0092B-C50C-407E-A947-70E740481C1C}"/>
                      </a:extLst>
                    </a:blip>
                    <a:srcRect/>
                    <a:stretch>
                      <a:fillRect/>
                    </a:stretch>
                  </pic:blipFill>
                  <pic:spPr bwMode="auto">
                    <a:xfrm>
                      <a:off x="0" y="0"/>
                      <a:ext cx="2171065" cy="4953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Assumptions used in determining our incremental borrowing rate include our implied credit rating and an estimate of secured borrowing rates based on comparable market data.</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2022, the future minimum lease payments under these operating leases are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shd w:val="clear" w:color="auto" w:fill="D1EEF5"/>
          </w:tcPr>
          <w:p>
            <w:pPr>
              <w:spacing w:after="0"/>
              <w:rPr>
                <w:sz w:val="13"/>
                <w:szCs w:val="13"/>
                <w:color w:val="auto"/>
              </w:rPr>
            </w:pPr>
          </w:p>
        </w:tc>
        <w:tc>
          <w:tcPr>
            <w:tcW w:w="3160" w:type="dxa"/>
            <w:vAlign w:val="bottom"/>
            <w:shd w:val="clear" w:color="auto" w:fill="D1EEF5"/>
          </w:tcPr>
          <w:p>
            <w:pPr>
              <w:spacing w:after="0"/>
              <w:rPr>
                <w:sz w:val="13"/>
                <w:szCs w:val="13"/>
                <w:color w:val="auto"/>
              </w:rPr>
            </w:pPr>
          </w:p>
        </w:tc>
        <w:tc>
          <w:tcPr>
            <w:tcW w:w="220" w:type="dxa"/>
            <w:vAlign w:val="bottom"/>
            <w:shd w:val="clear" w:color="auto" w:fill="D1EEF5"/>
          </w:tcPr>
          <w:p>
            <w:pPr>
              <w:spacing w:after="0"/>
              <w:rPr>
                <w:sz w:val="13"/>
                <w:szCs w:val="13"/>
                <w:color w:val="auto"/>
              </w:rPr>
            </w:pPr>
          </w:p>
        </w:tc>
        <w:tc>
          <w:tcPr>
            <w:tcW w:w="1340" w:type="dxa"/>
            <w:vAlign w:val="bottom"/>
            <w:shd w:val="clear" w:color="auto" w:fill="D1EEF5"/>
          </w:tcPr>
          <w:p>
            <w:pPr>
              <w:spacing w:after="0"/>
              <w:rPr>
                <w:sz w:val="13"/>
                <w:szCs w:val="13"/>
                <w:color w:val="auto"/>
              </w:rPr>
            </w:pPr>
          </w:p>
        </w:tc>
        <w:tc>
          <w:tcPr>
            <w:tcW w:w="380" w:type="dxa"/>
            <w:vAlign w:val="bottom"/>
            <w:shd w:val="clear" w:color="auto" w:fill="D1EEF5"/>
          </w:tcPr>
          <w:p>
            <w:pPr>
              <w:spacing w:after="0"/>
              <w:rPr>
                <w:sz w:val="13"/>
                <w:szCs w:val="13"/>
                <w:color w:val="auto"/>
              </w:rPr>
            </w:pPr>
          </w:p>
        </w:tc>
        <w:tc>
          <w:tcPr>
            <w:tcW w:w="300" w:type="dxa"/>
            <w:vAlign w:val="bottom"/>
            <w:shd w:val="clear" w:color="auto" w:fill="D1EEF5"/>
          </w:tcPr>
          <w:p>
            <w:pPr>
              <w:spacing w:after="0"/>
              <w:rPr>
                <w:sz w:val="13"/>
                <w:szCs w:val="13"/>
                <w:color w:val="auto"/>
              </w:rPr>
            </w:pPr>
          </w:p>
        </w:tc>
        <w:tc>
          <w:tcPr>
            <w:tcW w:w="300" w:type="dxa"/>
            <w:vAlign w:val="bottom"/>
            <w:gridSpan w:val="2"/>
            <w:shd w:val="clear" w:color="auto" w:fill="D1EEF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100" w:type="dxa"/>
            <w:vAlign w:val="bottom"/>
            <w:shd w:val="clear" w:color="auto" w:fill="D1EEF5"/>
          </w:tcPr>
          <w:p>
            <w:pPr>
              <w:spacing w:after="0"/>
              <w:rPr>
                <w:sz w:val="13"/>
                <w:szCs w:val="13"/>
                <w:color w:val="auto"/>
              </w:rPr>
            </w:pPr>
          </w:p>
        </w:tc>
      </w:tr>
      <w:tr>
        <w:trPr>
          <w:trHeight w:val="157"/>
        </w:trPr>
        <w:tc>
          <w:tcPr>
            <w:tcW w:w="27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1,435</w:t>
            </w:r>
          </w:p>
        </w:tc>
        <w:tc>
          <w:tcPr>
            <w:tcW w:w="100" w:type="dxa"/>
            <w:vAlign w:val="bottom"/>
          </w:tcPr>
          <w:p>
            <w:pPr>
              <w:spacing w:after="0"/>
              <w:rPr>
                <w:sz w:val="13"/>
                <w:szCs w:val="13"/>
                <w:color w:val="auto"/>
              </w:rPr>
            </w:pPr>
          </w:p>
        </w:tc>
      </w:tr>
      <w:tr>
        <w:trPr>
          <w:trHeight w:val="156"/>
        </w:trPr>
        <w:tc>
          <w:tcPr>
            <w:tcW w:w="27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shd w:val="clear" w:color="auto" w:fill="D1EEF5"/>
          </w:tcPr>
          <w:p>
            <w:pPr>
              <w:spacing w:after="0"/>
              <w:rPr>
                <w:sz w:val="13"/>
                <w:szCs w:val="13"/>
                <w:color w:val="auto"/>
              </w:rPr>
            </w:pPr>
          </w:p>
        </w:tc>
        <w:tc>
          <w:tcPr>
            <w:tcW w:w="3160" w:type="dxa"/>
            <w:vAlign w:val="bottom"/>
            <w:shd w:val="clear" w:color="auto" w:fill="D1EEF5"/>
          </w:tcPr>
          <w:p>
            <w:pPr>
              <w:spacing w:after="0"/>
              <w:rPr>
                <w:sz w:val="13"/>
                <w:szCs w:val="13"/>
                <w:color w:val="auto"/>
              </w:rPr>
            </w:pPr>
          </w:p>
        </w:tc>
        <w:tc>
          <w:tcPr>
            <w:tcW w:w="220" w:type="dxa"/>
            <w:vAlign w:val="bottom"/>
            <w:shd w:val="clear" w:color="auto" w:fill="D1EEF5"/>
          </w:tcPr>
          <w:p>
            <w:pPr>
              <w:spacing w:after="0"/>
              <w:rPr>
                <w:sz w:val="13"/>
                <w:szCs w:val="13"/>
                <w:color w:val="auto"/>
              </w:rPr>
            </w:pPr>
          </w:p>
        </w:tc>
        <w:tc>
          <w:tcPr>
            <w:tcW w:w="1340" w:type="dxa"/>
            <w:vAlign w:val="bottom"/>
            <w:shd w:val="clear" w:color="auto" w:fill="D1EEF5"/>
          </w:tcPr>
          <w:p>
            <w:pPr>
              <w:spacing w:after="0"/>
              <w:rPr>
                <w:sz w:val="13"/>
                <w:szCs w:val="13"/>
                <w:color w:val="auto"/>
              </w:rPr>
            </w:pPr>
          </w:p>
        </w:tc>
        <w:tc>
          <w:tcPr>
            <w:tcW w:w="380" w:type="dxa"/>
            <w:vAlign w:val="bottom"/>
            <w:shd w:val="clear" w:color="auto" w:fill="D1EEF5"/>
          </w:tcPr>
          <w:p>
            <w:pPr>
              <w:spacing w:after="0"/>
              <w:rPr>
                <w:sz w:val="13"/>
                <w:szCs w:val="13"/>
                <w:color w:val="auto"/>
              </w:rPr>
            </w:pPr>
          </w:p>
        </w:tc>
        <w:tc>
          <w:tcPr>
            <w:tcW w:w="300" w:type="dxa"/>
            <w:vAlign w:val="bottom"/>
            <w:shd w:val="clear" w:color="auto" w:fill="D1EEF5"/>
          </w:tcPr>
          <w:p>
            <w:pPr>
              <w:spacing w:after="0"/>
              <w:rPr>
                <w:sz w:val="13"/>
                <w:szCs w:val="13"/>
                <w:color w:val="auto"/>
              </w:rPr>
            </w:pPr>
          </w:p>
        </w:tc>
        <w:tc>
          <w:tcPr>
            <w:tcW w:w="40" w:type="dxa"/>
            <w:vAlign w:val="bottom"/>
            <w:shd w:val="clear" w:color="auto" w:fill="D1EEF5"/>
          </w:tcPr>
          <w:p>
            <w:pPr>
              <w:spacing w:after="0"/>
              <w:rPr>
                <w:sz w:val="13"/>
                <w:szCs w:val="13"/>
                <w:color w:val="auto"/>
              </w:rPr>
            </w:pPr>
          </w:p>
        </w:tc>
        <w:tc>
          <w:tcPr>
            <w:tcW w:w="260" w:type="dxa"/>
            <w:vAlign w:val="bottom"/>
            <w:shd w:val="clear" w:color="auto" w:fill="D1EEF5"/>
          </w:tcPr>
          <w:p>
            <w:pPr>
              <w:spacing w:after="0"/>
              <w:rPr>
                <w:sz w:val="13"/>
                <w:szCs w:val="13"/>
                <w:color w:val="auto"/>
              </w:rPr>
            </w:pPr>
          </w:p>
        </w:tc>
        <w:tc>
          <w:tcPr>
            <w:tcW w:w="14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1,440</w:t>
            </w:r>
          </w:p>
        </w:tc>
        <w:tc>
          <w:tcPr>
            <w:tcW w:w="100" w:type="dxa"/>
            <w:vAlign w:val="bottom"/>
            <w:shd w:val="clear" w:color="auto" w:fill="D1EEF5"/>
          </w:tcPr>
          <w:p>
            <w:pPr>
              <w:spacing w:after="0"/>
              <w:rPr>
                <w:sz w:val="13"/>
                <w:szCs w:val="13"/>
                <w:color w:val="auto"/>
              </w:rPr>
            </w:pPr>
          </w:p>
        </w:tc>
      </w:tr>
      <w:tr>
        <w:trPr>
          <w:trHeight w:val="172"/>
        </w:trPr>
        <w:tc>
          <w:tcPr>
            <w:tcW w:w="2760" w:type="dxa"/>
            <w:vAlign w:val="bottom"/>
            <w:tcBorders>
              <w:bottom w:val="single" w:sz="8" w:color="D1EEF5"/>
            </w:tcBorders>
          </w:tcPr>
          <w:p>
            <w:pPr>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tcBorders>
              <w:bottom w:val="single" w:sz="8" w:color="D1EEF5"/>
            </w:tcBorders>
          </w:tcPr>
          <w:p>
            <w:pPr>
              <w:spacing w:after="0"/>
              <w:rPr>
                <w:sz w:val="14"/>
                <w:szCs w:val="14"/>
                <w:color w:val="auto"/>
              </w:rPr>
            </w:pPr>
          </w:p>
        </w:tc>
        <w:tc>
          <w:tcPr>
            <w:tcW w:w="3160" w:type="dxa"/>
            <w:vAlign w:val="bottom"/>
            <w:tcBorders>
              <w:bottom w:val="single" w:sz="8" w:color="D1EEF5"/>
            </w:tcBorders>
          </w:tcPr>
          <w:p>
            <w:pPr>
              <w:spacing w:after="0"/>
              <w:rPr>
                <w:sz w:val="14"/>
                <w:szCs w:val="14"/>
                <w:color w:val="auto"/>
              </w:rPr>
            </w:pPr>
          </w:p>
        </w:tc>
        <w:tc>
          <w:tcPr>
            <w:tcW w:w="220" w:type="dxa"/>
            <w:vAlign w:val="bottom"/>
            <w:tcBorders>
              <w:bottom w:val="single" w:sz="8" w:color="D1EEF5"/>
            </w:tcBorders>
          </w:tcPr>
          <w:p>
            <w:pPr>
              <w:spacing w:after="0"/>
              <w:rPr>
                <w:sz w:val="14"/>
                <w:szCs w:val="14"/>
                <w:color w:val="auto"/>
              </w:rPr>
            </w:pPr>
          </w:p>
        </w:tc>
        <w:tc>
          <w:tcPr>
            <w:tcW w:w="1340" w:type="dxa"/>
            <w:vAlign w:val="bottom"/>
            <w:tcBorders>
              <w:bottom w:val="single" w:sz="8" w:color="D1EEF5"/>
            </w:tcBorders>
          </w:tcPr>
          <w:p>
            <w:pPr>
              <w:spacing w:after="0"/>
              <w:rPr>
                <w:sz w:val="14"/>
                <w:szCs w:val="14"/>
                <w:color w:val="auto"/>
              </w:rPr>
            </w:pPr>
          </w:p>
        </w:tc>
        <w:tc>
          <w:tcPr>
            <w:tcW w:w="380" w:type="dxa"/>
            <w:vAlign w:val="bottom"/>
            <w:tcBorders>
              <w:bottom w:val="single" w:sz="8" w:color="D1EEF5"/>
            </w:tcBorders>
          </w:tcPr>
          <w:p>
            <w:pPr>
              <w:spacing w:after="0"/>
              <w:rPr>
                <w:sz w:val="14"/>
                <w:szCs w:val="14"/>
                <w:color w:val="auto"/>
              </w:rPr>
            </w:pPr>
          </w:p>
        </w:tc>
        <w:tc>
          <w:tcPr>
            <w:tcW w:w="300" w:type="dxa"/>
            <w:vAlign w:val="bottom"/>
            <w:tcBorders>
              <w:bottom w:val="single" w:sz="8" w:color="D1EEF5"/>
            </w:tcBorders>
          </w:tcPr>
          <w:p>
            <w:pPr>
              <w:spacing w:after="0"/>
              <w:rPr>
                <w:sz w:val="14"/>
                <w:szCs w:val="14"/>
                <w:color w:val="auto"/>
              </w:rPr>
            </w:pPr>
          </w:p>
        </w:tc>
        <w:tc>
          <w:tcPr>
            <w:tcW w:w="40" w:type="dxa"/>
            <w:vAlign w:val="bottom"/>
            <w:tcBorders>
              <w:bottom w:val="single" w:sz="8" w:color="D1EEF5"/>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tcBorders>
              <w:bottom w:val="single" w:sz="8" w:color="D1EEF5"/>
            </w:tcBorders>
          </w:tcPr>
          <w:p>
            <w:pPr>
              <w:spacing w:after="0"/>
              <w:rPr>
                <w:sz w:val="14"/>
                <w:szCs w:val="14"/>
                <w:color w:val="auto"/>
              </w:rPr>
            </w:pPr>
          </w:p>
        </w:tc>
      </w:tr>
      <w:tr>
        <w:trPr>
          <w:trHeight w:val="175"/>
        </w:trPr>
        <w:tc>
          <w:tcPr>
            <w:tcW w:w="27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200" w:type="dxa"/>
            <w:vAlign w:val="bottom"/>
            <w:shd w:val="clear" w:color="auto" w:fill="D1EEF5"/>
          </w:tcPr>
          <w:p>
            <w:pPr>
              <w:spacing w:after="0"/>
              <w:rPr>
                <w:sz w:val="15"/>
                <w:szCs w:val="15"/>
                <w:color w:val="auto"/>
              </w:rPr>
            </w:pPr>
          </w:p>
        </w:tc>
        <w:tc>
          <w:tcPr>
            <w:tcW w:w="3160" w:type="dxa"/>
            <w:vAlign w:val="bottom"/>
            <w:shd w:val="clear" w:color="auto" w:fill="D1EEF5"/>
          </w:tcPr>
          <w:p>
            <w:pPr>
              <w:spacing w:after="0"/>
              <w:rPr>
                <w:sz w:val="15"/>
                <w:szCs w:val="15"/>
                <w:color w:val="auto"/>
              </w:rPr>
            </w:pPr>
          </w:p>
        </w:tc>
        <w:tc>
          <w:tcPr>
            <w:tcW w:w="220" w:type="dxa"/>
            <w:vAlign w:val="bottom"/>
            <w:shd w:val="clear" w:color="auto" w:fill="D1EEF5"/>
          </w:tcPr>
          <w:p>
            <w:pPr>
              <w:spacing w:after="0"/>
              <w:rPr>
                <w:sz w:val="15"/>
                <w:szCs w:val="15"/>
                <w:color w:val="auto"/>
              </w:rPr>
            </w:pPr>
          </w:p>
        </w:tc>
        <w:tc>
          <w:tcPr>
            <w:tcW w:w="1340" w:type="dxa"/>
            <w:vAlign w:val="bottom"/>
            <w:shd w:val="clear" w:color="auto" w:fill="D1EEF5"/>
          </w:tcPr>
          <w:p>
            <w:pPr>
              <w:spacing w:after="0"/>
              <w:rPr>
                <w:sz w:val="15"/>
                <w:szCs w:val="15"/>
                <w:color w:val="auto"/>
              </w:rPr>
            </w:pPr>
          </w:p>
        </w:tc>
        <w:tc>
          <w:tcPr>
            <w:tcW w:w="380" w:type="dxa"/>
            <w:vAlign w:val="bottom"/>
            <w:shd w:val="clear" w:color="auto" w:fill="D1EEF5"/>
          </w:tcPr>
          <w:p>
            <w:pPr>
              <w:spacing w:after="0"/>
              <w:rPr>
                <w:sz w:val="15"/>
                <w:szCs w:val="15"/>
                <w:color w:val="auto"/>
              </w:rPr>
            </w:pPr>
          </w:p>
        </w:tc>
        <w:tc>
          <w:tcPr>
            <w:tcW w:w="300" w:type="dxa"/>
            <w:vAlign w:val="bottom"/>
            <w:shd w:val="clear" w:color="auto" w:fill="D1EEF5"/>
          </w:tcPr>
          <w:p>
            <w:pPr>
              <w:spacing w:after="0"/>
              <w:rPr>
                <w:sz w:val="15"/>
                <w:szCs w:val="15"/>
                <w:color w:val="auto"/>
              </w:rPr>
            </w:pPr>
          </w:p>
        </w:tc>
        <w:tc>
          <w:tcPr>
            <w:tcW w:w="40" w:type="dxa"/>
            <w:vAlign w:val="bottom"/>
            <w:shd w:val="clear" w:color="auto" w:fill="D1EEF5"/>
          </w:tcPr>
          <w:p>
            <w:pPr>
              <w:spacing w:after="0"/>
              <w:rPr>
                <w:sz w:val="15"/>
                <w:szCs w:val="15"/>
                <w:color w:val="auto"/>
              </w:rPr>
            </w:pPr>
          </w:p>
        </w:tc>
        <w:tc>
          <w:tcPr>
            <w:tcW w:w="260" w:type="dxa"/>
            <w:vAlign w:val="bottom"/>
            <w:shd w:val="clear" w:color="auto" w:fill="D1EEF5"/>
          </w:tcPr>
          <w:p>
            <w:pPr>
              <w:spacing w:after="0"/>
              <w:rPr>
                <w:sz w:val="15"/>
                <w:szCs w:val="15"/>
                <w:color w:val="auto"/>
              </w:rPr>
            </w:pPr>
          </w:p>
        </w:tc>
        <w:tc>
          <w:tcPr>
            <w:tcW w:w="14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5,167</w:t>
            </w:r>
          </w:p>
        </w:tc>
        <w:tc>
          <w:tcPr>
            <w:tcW w:w="100" w:type="dxa"/>
            <w:vAlign w:val="bottom"/>
            <w:shd w:val="clear" w:color="auto" w:fill="D1EEF5"/>
          </w:tcPr>
          <w:p>
            <w:pPr>
              <w:spacing w:after="0"/>
              <w:rPr>
                <w:sz w:val="15"/>
                <w:szCs w:val="15"/>
                <w:color w:val="auto"/>
              </w:rPr>
            </w:pPr>
          </w:p>
        </w:tc>
      </w:tr>
      <w:tr>
        <w:trPr>
          <w:trHeight w:val="185"/>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6"/>
                <w:szCs w:val="16"/>
                <w:color w:val="auto"/>
              </w:rPr>
            </w:pPr>
          </w:p>
        </w:tc>
      </w:tr>
      <w:tr>
        <w:trPr>
          <w:trHeight w:val="195"/>
        </w:trPr>
        <w:tc>
          <w:tcPr>
            <w:tcW w:w="27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200" w:type="dxa"/>
            <w:vAlign w:val="bottom"/>
            <w:shd w:val="clear" w:color="auto" w:fill="D1EEF5"/>
          </w:tcPr>
          <w:p>
            <w:pPr>
              <w:spacing w:after="0"/>
              <w:rPr>
                <w:sz w:val="16"/>
                <w:szCs w:val="16"/>
                <w:color w:val="auto"/>
              </w:rPr>
            </w:pPr>
          </w:p>
        </w:tc>
        <w:tc>
          <w:tcPr>
            <w:tcW w:w="3160" w:type="dxa"/>
            <w:vAlign w:val="bottom"/>
            <w:shd w:val="clear" w:color="auto" w:fill="D1EEF5"/>
          </w:tcPr>
          <w:p>
            <w:pPr>
              <w:spacing w:after="0"/>
              <w:rPr>
                <w:sz w:val="16"/>
                <w:szCs w:val="16"/>
                <w:color w:val="auto"/>
              </w:rPr>
            </w:pPr>
          </w:p>
        </w:tc>
        <w:tc>
          <w:tcPr>
            <w:tcW w:w="220" w:type="dxa"/>
            <w:vAlign w:val="bottom"/>
            <w:shd w:val="clear" w:color="auto" w:fill="D1EEF5"/>
          </w:tcPr>
          <w:p>
            <w:pPr>
              <w:spacing w:after="0"/>
              <w:rPr>
                <w:sz w:val="16"/>
                <w:szCs w:val="16"/>
                <w:color w:val="auto"/>
              </w:rPr>
            </w:pPr>
          </w:p>
        </w:tc>
        <w:tc>
          <w:tcPr>
            <w:tcW w:w="1340" w:type="dxa"/>
            <w:vAlign w:val="bottom"/>
            <w:shd w:val="clear" w:color="auto" w:fill="D1EEF5"/>
          </w:tcPr>
          <w:p>
            <w:pPr>
              <w:spacing w:after="0"/>
              <w:rPr>
                <w:sz w:val="16"/>
                <w:szCs w:val="16"/>
                <w:color w:val="auto"/>
              </w:rPr>
            </w:pPr>
          </w:p>
        </w:tc>
        <w:tc>
          <w:tcPr>
            <w:tcW w:w="380" w:type="dxa"/>
            <w:vAlign w:val="bottom"/>
            <w:shd w:val="clear" w:color="auto" w:fill="D1EEF5"/>
          </w:tcPr>
          <w:p>
            <w:pPr>
              <w:spacing w:after="0"/>
              <w:rPr>
                <w:sz w:val="16"/>
                <w:szCs w:val="16"/>
                <w:color w:val="auto"/>
              </w:rPr>
            </w:pPr>
          </w:p>
        </w:tc>
        <w:tc>
          <w:tcPr>
            <w:tcW w:w="300" w:type="dxa"/>
            <w:vAlign w:val="bottom"/>
            <w:shd w:val="clear" w:color="auto" w:fill="D1EEF5"/>
          </w:tcPr>
          <w:p>
            <w:pPr>
              <w:spacing w:after="0"/>
              <w:rPr>
                <w:sz w:val="16"/>
                <w:szCs w:val="16"/>
                <w:color w:val="auto"/>
              </w:rPr>
            </w:pPr>
          </w:p>
        </w:tc>
        <w:tc>
          <w:tcPr>
            <w:tcW w:w="300" w:type="dxa"/>
            <w:vAlign w:val="bottom"/>
            <w:gridSpan w:val="2"/>
            <w:shd w:val="clear" w:color="auto" w:fill="D1EEF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4,729</w:t>
            </w:r>
          </w:p>
        </w:tc>
        <w:tc>
          <w:tcPr>
            <w:tcW w:w="100" w:type="dxa"/>
            <w:vAlign w:val="bottom"/>
            <w:shd w:val="clear" w:color="auto" w:fill="D1EEF5"/>
          </w:tcPr>
          <w:p>
            <w:pPr>
              <w:spacing w:after="0"/>
              <w:rPr>
                <w:sz w:val="16"/>
                <w:szCs w:val="16"/>
                <w:color w:val="auto"/>
              </w:rPr>
            </w:pPr>
          </w:p>
        </w:tc>
      </w:tr>
      <w:tr>
        <w:trPr>
          <w:trHeight w:val="318"/>
        </w:trPr>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7"/>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20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58"/>
        </w:trPr>
        <w:tc>
          <w:tcPr>
            <w:tcW w:w="2760" w:type="dxa"/>
            <w:vAlign w:val="bottom"/>
            <w:tcBorders>
              <w:top w:val="single" w:sz="8" w:color="auto"/>
            </w:tcBorders>
            <w:shd w:val="clear" w:color="auto" w:fill="D1EEF5"/>
          </w:tcPr>
          <w:p>
            <w:pPr>
              <w:spacing w:after="0" w:line="159" w:lineRule="exact"/>
              <w:rPr>
                <w:sz w:val="20"/>
                <w:szCs w:val="20"/>
                <w:color w:val="auto"/>
              </w:rPr>
            </w:pPr>
            <w:r>
              <w:rPr>
                <w:rFonts w:ascii="Times New Roman" w:cs="Times New Roman" w:eastAsia="Times New Roman" w:hAnsi="Times New Roman"/>
                <w:sz w:val="14"/>
                <w:szCs w:val="14"/>
                <w:color w:val="auto"/>
              </w:rPr>
              <w:t>Operating lease cost</w:t>
            </w:r>
          </w:p>
        </w:tc>
        <w:tc>
          <w:tcPr>
            <w:tcW w:w="200" w:type="dxa"/>
            <w:vAlign w:val="bottom"/>
            <w:tcBorders>
              <w:top w:val="single" w:sz="8" w:color="D1EEF5"/>
            </w:tcBorders>
            <w:shd w:val="clear" w:color="auto" w:fill="D1EEF5"/>
          </w:tcPr>
          <w:p>
            <w:pPr>
              <w:spacing w:after="0"/>
              <w:rPr>
                <w:sz w:val="13"/>
                <w:szCs w:val="13"/>
                <w:color w:val="auto"/>
              </w:rPr>
            </w:pPr>
          </w:p>
        </w:tc>
        <w:tc>
          <w:tcPr>
            <w:tcW w:w="3160" w:type="dxa"/>
            <w:vAlign w:val="bottom"/>
            <w:tcBorders>
              <w:top w:val="single" w:sz="8" w:color="auto"/>
            </w:tcBorders>
            <w:shd w:val="clear" w:color="auto" w:fill="D1EEF5"/>
          </w:tcPr>
          <w:p>
            <w:pPr>
              <w:spacing w:after="0" w:line="159" w:lineRule="exact"/>
              <w:rPr>
                <w:sz w:val="20"/>
                <w:szCs w:val="20"/>
                <w:color w:val="auto"/>
              </w:rPr>
            </w:pPr>
            <w:r>
              <w:rPr>
                <w:rFonts w:ascii="Times New Roman" w:cs="Times New Roman" w:eastAsia="Times New Roman" w:hAnsi="Times New Roman"/>
                <w:sz w:val="14"/>
                <w:szCs w:val="14"/>
                <w:color w:val="auto"/>
              </w:rPr>
              <w:t>Cost of goods sold</w:t>
            </w:r>
          </w:p>
        </w:tc>
        <w:tc>
          <w:tcPr>
            <w:tcW w:w="220" w:type="dxa"/>
            <w:vAlign w:val="bottom"/>
            <w:tcBorders>
              <w:top w:val="single" w:sz="8" w:color="D1EEF5"/>
            </w:tcBorders>
            <w:shd w:val="clear" w:color="auto" w:fill="D1EEF5"/>
          </w:tcPr>
          <w:p>
            <w:pPr>
              <w:spacing w:after="0"/>
              <w:rPr>
                <w:sz w:val="13"/>
                <w:szCs w:val="13"/>
                <w:color w:val="auto"/>
              </w:rPr>
            </w:pPr>
          </w:p>
        </w:tc>
        <w:tc>
          <w:tcPr>
            <w:tcW w:w="1340" w:type="dxa"/>
            <w:vAlign w:val="bottom"/>
            <w:tcBorders>
              <w:top w:val="single" w:sz="8" w:color="auto"/>
            </w:tcBorders>
            <w:shd w:val="clear" w:color="auto" w:fill="D1EEF5"/>
          </w:tcPr>
          <w:p>
            <w:pPr>
              <w:jc w:val="right"/>
              <w:ind w:right="12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D1EEF5"/>
          </w:tcPr>
          <w:p>
            <w:pPr>
              <w:jc w:val="right"/>
              <w:spacing w:after="0" w:line="159" w:lineRule="exact"/>
              <w:rPr>
                <w:sz w:val="20"/>
                <w:szCs w:val="20"/>
                <w:color w:val="auto"/>
              </w:rPr>
            </w:pPr>
            <w:r>
              <w:rPr>
                <w:rFonts w:ascii="Times New Roman" w:cs="Times New Roman" w:eastAsia="Times New Roman" w:hAnsi="Times New Roman"/>
                <w:sz w:val="14"/>
                <w:szCs w:val="14"/>
                <w:color w:val="auto"/>
              </w:rPr>
              <w:t>1,476</w:t>
            </w:r>
          </w:p>
        </w:tc>
        <w:tc>
          <w:tcPr>
            <w:tcW w:w="300" w:type="dxa"/>
            <w:vAlign w:val="bottom"/>
            <w:tcBorders>
              <w:top w:val="single" w:sz="8" w:color="D1EEF5"/>
            </w:tcBorders>
            <w:shd w:val="clear" w:color="auto" w:fill="D1EEF5"/>
          </w:tcPr>
          <w:p>
            <w:pPr>
              <w:spacing w:after="0"/>
              <w:rPr>
                <w:sz w:val="13"/>
                <w:szCs w:val="13"/>
                <w:color w:val="auto"/>
              </w:rPr>
            </w:pPr>
          </w:p>
        </w:tc>
        <w:tc>
          <w:tcPr>
            <w:tcW w:w="300" w:type="dxa"/>
            <w:vAlign w:val="bottom"/>
            <w:tcBorders>
              <w:top w:val="single" w:sz="8" w:color="auto"/>
            </w:tcBorders>
            <w:gridSpan w:val="2"/>
            <w:shd w:val="clear" w:color="auto" w:fill="D1EEF5"/>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D1EEF5"/>
          </w:tcPr>
          <w:p>
            <w:pPr>
              <w:jc w:val="right"/>
              <w:spacing w:after="0" w:line="159" w:lineRule="exact"/>
              <w:rPr>
                <w:sz w:val="20"/>
                <w:szCs w:val="20"/>
                <w:color w:val="auto"/>
              </w:rPr>
            </w:pPr>
            <w:r>
              <w:rPr>
                <w:rFonts w:ascii="Times New Roman" w:cs="Times New Roman" w:eastAsia="Times New Roman" w:hAnsi="Times New Roman"/>
                <w:sz w:val="14"/>
                <w:szCs w:val="14"/>
                <w:color w:val="auto"/>
              </w:rPr>
              <w:t>633</w:t>
            </w:r>
          </w:p>
        </w:tc>
        <w:tc>
          <w:tcPr>
            <w:tcW w:w="100" w:type="dxa"/>
            <w:vAlign w:val="bottom"/>
            <w:tcBorders>
              <w:top w:val="single" w:sz="8" w:color="D1EEF5"/>
            </w:tcBorders>
            <w:shd w:val="clear" w:color="auto" w:fill="D1EEF5"/>
          </w:tcPr>
          <w:p>
            <w:pPr>
              <w:spacing w:after="0"/>
              <w:rPr>
                <w:sz w:val="13"/>
                <w:szCs w:val="13"/>
                <w:color w:val="auto"/>
              </w:rPr>
            </w:pPr>
          </w:p>
        </w:tc>
      </w:tr>
      <w:tr>
        <w:trPr>
          <w:trHeight w:val="156"/>
        </w:trPr>
        <w:tc>
          <w:tcPr>
            <w:tcW w:w="27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Operating lease cost</w:t>
            </w:r>
          </w:p>
        </w:tc>
        <w:tc>
          <w:tcPr>
            <w:tcW w:w="200" w:type="dxa"/>
            <w:vAlign w:val="bottom"/>
          </w:tcPr>
          <w:p>
            <w:pPr>
              <w:spacing w:after="0"/>
              <w:rPr>
                <w:sz w:val="13"/>
                <w:szCs w:val="13"/>
                <w:color w:val="auto"/>
              </w:rPr>
            </w:pPr>
          </w:p>
        </w:tc>
        <w:tc>
          <w:tcPr>
            <w:tcW w:w="31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4"/>
                <w:szCs w:val="14"/>
                <w:color w:val="auto"/>
              </w:rPr>
              <w:t>95</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103</w:t>
            </w:r>
          </w:p>
        </w:tc>
      </w:tr>
      <w:tr>
        <w:trPr>
          <w:trHeight w:val="156"/>
        </w:trPr>
        <w:tc>
          <w:tcPr>
            <w:tcW w:w="27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Operating lease cost</w:t>
            </w:r>
          </w:p>
        </w:tc>
        <w:tc>
          <w:tcPr>
            <w:tcW w:w="200" w:type="dxa"/>
            <w:vAlign w:val="bottom"/>
            <w:shd w:val="clear" w:color="auto" w:fill="D1EEF5"/>
          </w:tcPr>
          <w:p>
            <w:pPr>
              <w:spacing w:after="0"/>
              <w:rPr>
                <w:sz w:val="13"/>
                <w:szCs w:val="13"/>
                <w:color w:val="auto"/>
              </w:rPr>
            </w:pPr>
          </w:p>
        </w:tc>
        <w:tc>
          <w:tcPr>
            <w:tcW w:w="31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General and administration</w:t>
            </w:r>
          </w:p>
        </w:tc>
        <w:tc>
          <w:tcPr>
            <w:tcW w:w="220" w:type="dxa"/>
            <w:vAlign w:val="bottom"/>
            <w:shd w:val="clear" w:color="auto" w:fill="D1EEF5"/>
          </w:tcPr>
          <w:p>
            <w:pPr>
              <w:spacing w:after="0"/>
              <w:rPr>
                <w:sz w:val="13"/>
                <w:szCs w:val="13"/>
                <w:color w:val="auto"/>
              </w:rPr>
            </w:pPr>
          </w:p>
        </w:tc>
        <w:tc>
          <w:tcPr>
            <w:tcW w:w="1340" w:type="dxa"/>
            <w:vAlign w:val="bottom"/>
            <w:shd w:val="clear" w:color="auto" w:fill="D1EEF5"/>
          </w:tcPr>
          <w:p>
            <w:pPr>
              <w:spacing w:after="0"/>
              <w:rPr>
                <w:sz w:val="13"/>
                <w:szCs w:val="13"/>
                <w:color w:val="auto"/>
              </w:rPr>
            </w:pPr>
          </w:p>
        </w:tc>
        <w:tc>
          <w:tcPr>
            <w:tcW w:w="680" w:type="dxa"/>
            <w:vAlign w:val="bottom"/>
            <w:gridSpan w:val="2"/>
            <w:shd w:val="clear" w:color="auto" w:fill="D1EEF5"/>
          </w:tcPr>
          <w:p>
            <w:pPr>
              <w:jc w:val="right"/>
              <w:ind w:right="300"/>
              <w:spacing w:after="0" w:line="156" w:lineRule="exact"/>
              <w:rPr>
                <w:sz w:val="20"/>
                <w:szCs w:val="20"/>
                <w:color w:val="auto"/>
              </w:rPr>
            </w:pPr>
            <w:r>
              <w:rPr>
                <w:rFonts w:ascii="Times New Roman" w:cs="Times New Roman" w:eastAsia="Times New Roman" w:hAnsi="Times New Roman"/>
                <w:sz w:val="14"/>
                <w:szCs w:val="14"/>
                <w:color w:val="auto"/>
              </w:rPr>
              <w:t>50</w:t>
            </w:r>
          </w:p>
        </w:tc>
        <w:tc>
          <w:tcPr>
            <w:tcW w:w="40" w:type="dxa"/>
            <w:vAlign w:val="bottom"/>
            <w:shd w:val="clear" w:color="auto" w:fill="D1EEF5"/>
          </w:tcPr>
          <w:p>
            <w:pPr>
              <w:spacing w:after="0"/>
              <w:rPr>
                <w:sz w:val="13"/>
                <w:szCs w:val="13"/>
                <w:color w:val="auto"/>
              </w:rPr>
            </w:pPr>
          </w:p>
        </w:tc>
        <w:tc>
          <w:tcPr>
            <w:tcW w:w="260" w:type="dxa"/>
            <w:vAlign w:val="bottom"/>
            <w:shd w:val="clear" w:color="auto" w:fill="D1EEF5"/>
          </w:tcPr>
          <w:p>
            <w:pPr>
              <w:spacing w:after="0"/>
              <w:rPr>
                <w:sz w:val="13"/>
                <w:szCs w:val="13"/>
                <w:color w:val="auto"/>
              </w:rPr>
            </w:pPr>
          </w:p>
        </w:tc>
        <w:tc>
          <w:tcPr>
            <w:tcW w:w="1580" w:type="dxa"/>
            <w:vAlign w:val="bottom"/>
            <w:gridSpan w:val="2"/>
            <w:shd w:val="clear" w:color="auto" w:fill="D1EEF5"/>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42</w:t>
            </w:r>
          </w:p>
        </w:tc>
      </w:tr>
      <w:tr>
        <w:trPr>
          <w:trHeight w:val="173"/>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20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Selling and marketing</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r>
      <w:tr>
        <w:trPr>
          <w:trHeight w:val="174"/>
        </w:trPr>
        <w:tc>
          <w:tcPr>
            <w:tcW w:w="276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Total lease cost</w:t>
            </w:r>
          </w:p>
        </w:tc>
        <w:tc>
          <w:tcPr>
            <w:tcW w:w="200" w:type="dxa"/>
            <w:vAlign w:val="bottom"/>
            <w:tcBorders>
              <w:top w:val="single" w:sz="8" w:color="D1EEF5"/>
            </w:tcBorders>
            <w:shd w:val="clear" w:color="auto" w:fill="D1EEF5"/>
          </w:tcPr>
          <w:p>
            <w:pPr>
              <w:spacing w:after="0"/>
              <w:rPr>
                <w:sz w:val="15"/>
                <w:szCs w:val="15"/>
                <w:color w:val="auto"/>
              </w:rPr>
            </w:pPr>
          </w:p>
        </w:tc>
        <w:tc>
          <w:tcPr>
            <w:tcW w:w="3160" w:type="dxa"/>
            <w:vAlign w:val="bottom"/>
            <w:tcBorders>
              <w:top w:val="single" w:sz="8" w:color="D1EEF5"/>
            </w:tcBorders>
            <w:shd w:val="clear" w:color="auto" w:fill="D1EEF5"/>
          </w:tcPr>
          <w:p>
            <w:pPr>
              <w:spacing w:after="0"/>
              <w:rPr>
                <w:sz w:val="15"/>
                <w:szCs w:val="15"/>
                <w:color w:val="auto"/>
              </w:rPr>
            </w:pPr>
          </w:p>
        </w:tc>
        <w:tc>
          <w:tcPr>
            <w:tcW w:w="220" w:type="dxa"/>
            <w:vAlign w:val="bottom"/>
            <w:tcBorders>
              <w:top w:val="single" w:sz="8" w:color="D1EEF5"/>
            </w:tcBorders>
            <w:shd w:val="clear" w:color="auto" w:fill="D1EEF5"/>
          </w:tcPr>
          <w:p>
            <w:pPr>
              <w:spacing w:after="0"/>
              <w:rPr>
                <w:sz w:val="15"/>
                <w:szCs w:val="15"/>
                <w:color w:val="auto"/>
              </w:rPr>
            </w:pPr>
          </w:p>
        </w:tc>
        <w:tc>
          <w:tcPr>
            <w:tcW w:w="1340" w:type="dxa"/>
            <w:vAlign w:val="bottom"/>
            <w:tcBorders>
              <w:top w:val="single" w:sz="8" w:color="auto"/>
            </w:tcBorders>
            <w:shd w:val="clear" w:color="auto" w:fill="D1EEF5"/>
          </w:tcPr>
          <w:p>
            <w:pPr>
              <w:jc w:val="right"/>
              <w:ind w:right="12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300" w:type="dxa"/>
            <w:vAlign w:val="bottom"/>
            <w:tcBorders>
              <w:top w:val="single" w:sz="8" w:color="D1EEF5"/>
            </w:tcBorders>
            <w:shd w:val="clear" w:color="auto" w:fill="D1EEF5"/>
          </w:tcPr>
          <w:p>
            <w:pPr>
              <w:spacing w:after="0"/>
              <w:rPr>
                <w:sz w:val="15"/>
                <w:szCs w:val="15"/>
                <w:color w:val="auto"/>
              </w:rPr>
            </w:pPr>
          </w:p>
        </w:tc>
        <w:tc>
          <w:tcPr>
            <w:tcW w:w="300" w:type="dxa"/>
            <w:vAlign w:val="bottom"/>
            <w:tcBorders>
              <w:top w:val="single" w:sz="8" w:color="auto"/>
            </w:tcBorders>
            <w:gridSpan w:val="2"/>
            <w:shd w:val="clear" w:color="auto" w:fill="D1EEF5"/>
          </w:tcPr>
          <w:p>
            <w:pPr>
              <w:jc w:val="right"/>
              <w:ind w:right="22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Borders>
              <w:top w:val="single" w:sz="8" w:color="D1EEF5"/>
            </w:tcBorders>
            <w:shd w:val="clear" w:color="auto" w:fill="D1EEF5"/>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5318760</wp:posOffset>
            </wp:positionH>
            <wp:positionV relativeFrom="paragraph">
              <wp:posOffset>-1127125</wp:posOffset>
            </wp:positionV>
            <wp:extent cx="1134745" cy="495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33">
                      <a:extLst>
                        <a:ext uri="{28A0092B-C50C-407E-A947-70E740481C1C}"/>
                      </a:extLst>
                    </a:blip>
                    <a:srcRect/>
                    <a:stretch>
                      <a:fillRect/>
                    </a:stretch>
                  </pic:blipFill>
                  <pic:spPr bwMode="auto">
                    <a:xfrm>
                      <a:off x="0" y="0"/>
                      <a:ext cx="1134745" cy="49530"/>
                    </a:xfrm>
                    <a:prstGeom prst="rect">
                      <a:avLst/>
                    </a:prstGeom>
                    <a:noFill/>
                  </pic:spPr>
                </pic:pic>
              </a:graphicData>
            </a:graphic>
          </wp:anchor>
        </w:drawing>
        <w:drawing>
          <wp:anchor simplePos="0" relativeHeight="251657728" behindDoc="1" locked="0" layoutInCell="0" allowOverlap="1">
            <wp:simplePos x="0" y="0"/>
            <wp:positionH relativeFrom="column">
              <wp:posOffset>5318760</wp:posOffset>
            </wp:positionH>
            <wp:positionV relativeFrom="paragraph">
              <wp:posOffset>-1005205</wp:posOffset>
            </wp:positionV>
            <wp:extent cx="1134745" cy="488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34">
                      <a:extLst>
                        <a:ext uri="{28A0092B-C50C-407E-A947-70E740481C1C}"/>
                      </a:extLst>
                    </a:blip>
                    <a:srcRect/>
                    <a:stretch>
                      <a:fillRect/>
                    </a:stretch>
                  </pic:blipFill>
                  <pic:spPr bwMode="auto">
                    <a:xfrm>
                      <a:off x="0" y="0"/>
                      <a:ext cx="1134745" cy="48895"/>
                    </a:xfrm>
                    <a:prstGeom prst="rect">
                      <a:avLst/>
                    </a:prstGeom>
                    <a:noFill/>
                  </pic:spPr>
                </pic:pic>
              </a:graphicData>
            </a:graphic>
          </wp:anchor>
        </w:drawing>
        <w:drawing>
          <wp:anchor simplePos="0" relativeHeight="251657728" behindDoc="1" locked="0" layoutInCell="0" allowOverlap="1">
            <wp:simplePos x="0" y="0"/>
            <wp:positionH relativeFrom="column">
              <wp:posOffset>5318760</wp:posOffset>
            </wp:positionH>
            <wp:positionV relativeFrom="paragraph">
              <wp:posOffset>-883920</wp:posOffset>
            </wp:positionV>
            <wp:extent cx="1134745" cy="49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35">
                      <a:extLst>
                        <a:ext uri="{28A0092B-C50C-407E-A947-70E740481C1C}"/>
                      </a:extLst>
                    </a:blip>
                    <a:srcRect/>
                    <a:stretch>
                      <a:fillRect/>
                    </a:stretch>
                  </pic:blipFill>
                  <pic:spPr bwMode="auto">
                    <a:xfrm>
                      <a:off x="0" y="0"/>
                      <a:ext cx="1134745" cy="4953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-26035</wp:posOffset>
            </wp:positionV>
            <wp:extent cx="2446020" cy="495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36">
                      <a:extLst>
                        <a:ext uri="{28A0092B-C50C-407E-A947-70E740481C1C}"/>
                      </a:extLst>
                    </a:blip>
                    <a:srcRect/>
                    <a:stretch>
                      <a:fillRect/>
                    </a:stretch>
                  </pic:blipFill>
                  <pic:spPr bwMode="auto">
                    <a:xfrm>
                      <a:off x="0" y="0"/>
                      <a:ext cx="2446020" cy="4953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lease costs included in the schedule above are fixed.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17145</wp:posOffset>
                </wp:positionV>
                <wp:extent cx="650938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5pt" to="512.25pt,1.35pt" o:allowincell="f" strokecolor="#000000" strokeweight="1.2599pt"/>
            </w:pict>
          </mc:Fallback>
        </mc:AlternateContent>
      </w:r>
    </w:p>
    <w:p>
      <w:pPr>
        <w:sectPr>
          <w:pgSz w:w="12240" w:h="15840" w:orient="portrait"/>
          <w:cols w:equalWidth="0" w:num="1">
            <w:col w:w="10240"/>
          </w:cols>
          <w:pgMar w:left="1000" w:top="1208" w:right="1000"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Contingencies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10 for further discussion regarding contingent consideration arising from the April 2022 Asset Purchase agreement with Thomason Jones Company, LLC.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3 for further discussion regarding the earnout related to the reverse capitalization transaction.</w:t>
      </w:r>
    </w:p>
    <w:p>
      <w:pPr>
        <w:spacing w:after="0" w:line="148"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b w:val="1"/>
          <w:bCs w:val="1"/>
          <w:color w:val="auto"/>
        </w:rPr>
        <w:t>NOTE 7</w:t>
      </w:r>
      <w:r>
        <w:rPr>
          <w:rFonts w:ascii="Arial Unicode MS" w:cs="Arial Unicode MS" w:eastAsia="Arial Unicode MS" w:hAnsi="Arial Unicode MS"/>
          <w:sz w:val="14"/>
          <w:szCs w:val="14"/>
          <w:b w:val="1"/>
          <w:bCs w:val="1"/>
          <w:color w:val="auto"/>
        </w:rPr>
        <w:t>ௗ</w:t>
      </w:r>
      <w:r>
        <w:rPr>
          <w:rFonts w:ascii="Times New Roman" w:cs="Times New Roman" w:eastAsia="Times New Roman" w:hAnsi="Times New Roman"/>
          <w:sz w:val="14"/>
          <w:szCs w:val="14"/>
          <w:b w:val="1"/>
          <w:bCs w:val="1"/>
          <w:color w:val="auto"/>
        </w:rPr>
        <w:t>—</w:t>
      </w:r>
      <w:r>
        <w:rPr>
          <w:rFonts w:ascii="Arial Unicode MS" w:cs="Arial Unicode MS" w:eastAsia="Arial Unicode MS" w:hAnsi="Arial Unicode MS"/>
          <w:sz w:val="14"/>
          <w:szCs w:val="14"/>
          <w:b w:val="1"/>
          <w:bCs w:val="1"/>
          <w:color w:val="auto"/>
        </w:rPr>
        <w:t>ௗ</w:t>
      </w:r>
      <w:r>
        <w:rPr>
          <w:rFonts w:ascii="Times New Roman" w:cs="Times New Roman" w:eastAsia="Times New Roman" w:hAnsi="Times New Roman"/>
          <w:sz w:val="14"/>
          <w:szCs w:val="14"/>
          <w:b w:val="1"/>
          <w:bCs w:val="1"/>
          <w:color w:val="auto"/>
        </w:rPr>
        <w:t>LONG-TERM DEBT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Financing — Trust Indenture</w:t>
      </w:r>
    </w:p>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On November 24, 2021, the Company entered into agreements to issue $45,000 in fixed rate senior notes (the “</w:t>
      </w:r>
      <w:r>
        <w:rPr>
          <w:rFonts w:ascii="Times New Roman" w:cs="Times New Roman" w:eastAsia="Times New Roman" w:hAnsi="Times New Roman"/>
          <w:sz w:val="14"/>
          <w:szCs w:val="14"/>
          <w:b w:val="1"/>
          <w:bCs w:val="1"/>
          <w:color w:val="auto"/>
        </w:rPr>
        <w:t>Series 2021-6 Notes</w:t>
      </w:r>
      <w:r>
        <w:rPr>
          <w:rFonts w:ascii="Times New Roman" w:cs="Times New Roman" w:eastAsia="Times New Roman" w:hAnsi="Times New Roman"/>
          <w:sz w:val="14"/>
          <w:szCs w:val="14"/>
          <w:color w:val="auto"/>
        </w:rPr>
        <w:t>”) pursuant to a Trust Indenture held by UMB Bank, as trustee and disbursing agent, and NewLight Capital, LLC as servicer (the “</w:t>
      </w:r>
      <w:r>
        <w:rPr>
          <w:rFonts w:ascii="Times New Roman" w:cs="Times New Roman" w:eastAsia="Times New Roman" w:hAnsi="Times New Roman"/>
          <w:sz w:val="14"/>
          <w:szCs w:val="14"/>
          <w:b w:val="1"/>
          <w:bCs w:val="1"/>
          <w:color w:val="auto"/>
        </w:rPr>
        <w:t>Servicer</w:t>
      </w:r>
      <w:r>
        <w:rPr>
          <w:rFonts w:ascii="Times New Roman" w:cs="Times New Roman" w:eastAsia="Times New Roman" w:hAnsi="Times New Roman"/>
          <w:sz w:val="14"/>
          <w:szCs w:val="14"/>
          <w:color w:val="auto"/>
        </w:rPr>
        <w:t>”). The trust and debt documents also required the entry into a Lender Collateral Residual Value Insurance Policy (the “</w:t>
      </w:r>
      <w:r>
        <w:rPr>
          <w:rFonts w:ascii="Times New Roman" w:cs="Times New Roman" w:eastAsia="Times New Roman" w:hAnsi="Times New Roman"/>
          <w:sz w:val="14"/>
          <w:szCs w:val="14"/>
          <w:b w:val="1"/>
          <w:bCs w:val="1"/>
          <w:color w:val="auto"/>
        </w:rPr>
        <w:t>Insurance Policy</w:t>
      </w:r>
      <w:r>
        <w:rPr>
          <w:rFonts w:ascii="Times New Roman" w:cs="Times New Roman" w:eastAsia="Times New Roman" w:hAnsi="Times New Roman"/>
          <w:sz w:val="14"/>
          <w:szCs w:val="14"/>
          <w:color w:val="auto"/>
        </w:rPr>
        <w:t>”), with UMB Bank as named insured for $45,000, and engagement of a placement agent, Tribe Capital Markets, LLC.</w:t>
      </w:r>
    </w:p>
    <w:p>
      <w:pPr>
        <w:spacing w:after="0" w:line="1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 xml:space="preserve">Upon closing date of the financing the Company received a wire for $35,474, which is comprised of the gross proceeds of $45,000 less $3,188 in deposits to certain reserve accounts (see subsection labeled </w:t>
      </w:r>
      <w:r>
        <w:rPr>
          <w:rFonts w:ascii="Times New Roman" w:cs="Times New Roman" w:eastAsia="Times New Roman" w:hAnsi="Times New Roman"/>
          <w:sz w:val="14"/>
          <w:szCs w:val="14"/>
          <w:i w:val="1"/>
          <w:iCs w:val="1"/>
          <w:color w:val="auto"/>
        </w:rPr>
        <w:t>Reserve Accounts</w:t>
      </w:r>
      <w:r>
        <w:rPr>
          <w:rFonts w:ascii="Times New Roman" w:cs="Times New Roman" w:eastAsia="Times New Roman" w:hAnsi="Times New Roman"/>
          <w:sz w:val="14"/>
          <w:szCs w:val="14"/>
          <w:color w:val="auto"/>
        </w:rPr>
        <w:t xml:space="preserve"> below), and $6,338 in expenses withdrawn from the gross proceeds, which included $4,725 in prepaid policy premiums and related costs underlying the Insurance Policy (see subsection labelled </w:t>
      </w:r>
      <w:r>
        <w:rPr>
          <w:rFonts w:ascii="Times New Roman" w:cs="Times New Roman" w:eastAsia="Times New Roman" w:hAnsi="Times New Roman"/>
          <w:sz w:val="14"/>
          <w:szCs w:val="14"/>
          <w:i w:val="1"/>
          <w:iCs w:val="1"/>
          <w:color w:val="auto"/>
        </w:rPr>
        <w:t>Collateral</w:t>
      </w:r>
      <w:r>
        <w:rPr>
          <w:rFonts w:ascii="Times New Roman" w:cs="Times New Roman" w:eastAsia="Times New Roman" w:hAnsi="Times New Roman"/>
          <w:sz w:val="14"/>
          <w:szCs w:val="14"/>
          <w:color w:val="auto"/>
        </w:rPr>
        <w:t xml:space="preserve"> below), a prepaid loan monitoring fee of $60 and $1,553 in debt issuance costs.</w:t>
      </w:r>
    </w:p>
    <w:p>
      <w:pPr>
        <w:spacing w:after="0" w:line="12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2"/>
          <w:szCs w:val="12"/>
          <w:color w:val="auto"/>
        </w:rPr>
        <w:t>The obligation for the Series 2021-6 Notes underlying the Trust Indenture is $45,000 in principal on the date of the closing of the financing. The debt bears interest at 5.50% per annum accruing monthly on a 360 day basis. Late payments will be subject to a $50 late fee and default interest based on a rate 5 percentage points above the applicable interest immediately prior to such default. The Company was making interest only payments on the unpaid principal amount in arrears, commencing December 1, 2021 and ending on November 1, 2022 (for interest accruing from the Financing Closing Date through October 31, 2022). Beginning on December 1, 2022, the Company was obligated to repay the debt in twenty four equal installments of principal in the amount of $1,875, plus accrued interest on the unpaid principal amount. Any remaining obligations were due and payable on November 1, 2024 (the “</w:t>
      </w:r>
      <w:r>
        <w:rPr>
          <w:rFonts w:ascii="Times New Roman" w:cs="Times New Roman" w:eastAsia="Times New Roman" w:hAnsi="Times New Roman"/>
          <w:sz w:val="12"/>
          <w:szCs w:val="12"/>
          <w:b w:val="1"/>
          <w:bCs w:val="1"/>
          <w:color w:val="auto"/>
        </w:rPr>
        <w:t>Maturity Date</w:t>
      </w:r>
      <w:r>
        <w:rPr>
          <w:rFonts w:ascii="Times New Roman" w:cs="Times New Roman" w:eastAsia="Times New Roman" w:hAnsi="Times New Roman"/>
          <w:sz w:val="12"/>
          <w:szCs w:val="12"/>
          <w:color w:val="auto"/>
        </w:rPr>
        <w:t>”).</w:t>
      </w:r>
    </w:p>
    <w:p>
      <w:pPr>
        <w:spacing w:after="0" w:line="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The obligations under the Trust Indenture will be deemed to be repaid or prepaid to the same extent, in the same amounts and at the same times, as the Series 2021-6 Notes are redeemed with funds provided except for payments made from the proceeds of the Insurance Policy (see subsection labelled </w:t>
      </w:r>
      <w:r>
        <w:rPr>
          <w:rFonts w:ascii="Times New Roman" w:cs="Times New Roman" w:eastAsia="Times New Roman" w:hAnsi="Times New Roman"/>
          <w:sz w:val="14"/>
          <w:szCs w:val="14"/>
          <w:i w:val="1"/>
          <w:iCs w:val="1"/>
          <w:color w:val="auto"/>
        </w:rPr>
        <w:t>Collateral</w:t>
      </w:r>
      <w:r>
        <w:rPr>
          <w:rFonts w:ascii="Times New Roman" w:cs="Times New Roman" w:eastAsia="Times New Roman" w:hAnsi="Times New Roman"/>
          <w:sz w:val="14"/>
          <w:szCs w:val="14"/>
          <w:color w:val="auto"/>
        </w:rPr>
        <w:t xml:space="preserve"> below) as such funds must be reimbursed by the Company to the insurer.</w:t>
      </w:r>
    </w:p>
    <w:p>
      <w:pPr>
        <w:spacing w:after="0" w:line="1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 xml:space="preserve">During the year ended December 31, 2022, a total of $1,873 of interest expense was incurred under the debt. Amortization of the debt issuance costs amounted to $1,783 during the year ended December 31, 2022. In connection with the merger on October 7, 2022, the Company entered into a Term Loan, Guarantee and Security Agreement (see subsection labeled </w:t>
      </w:r>
      <w:r>
        <w:rPr>
          <w:rFonts w:ascii="Times New Roman" w:cs="Times New Roman" w:eastAsia="Times New Roman" w:hAnsi="Times New Roman"/>
          <w:sz w:val="14"/>
          <w:szCs w:val="14"/>
          <w:i w:val="1"/>
          <w:iCs w:val="1"/>
          <w:color w:val="auto"/>
        </w:rPr>
        <w:t>Term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Loan Agreement </w:t>
      </w:r>
      <w:r>
        <w:rPr>
          <w:rFonts w:ascii="Times New Roman" w:cs="Times New Roman" w:eastAsia="Times New Roman" w:hAnsi="Times New Roman"/>
          <w:sz w:val="14"/>
          <w:szCs w:val="14"/>
          <w:color w:val="auto"/>
        </w:rPr>
        <w:t>below) and the outstanding principal balance for the Series 2021-6 Notes underlying the Trust Indenture was paid in full. A loss on extinguishment of $4,824 was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recognized upon settlement. The net balance of $40,712 on the date of the merger consisted of $45,000 in principal less $4,288 in unamortized debt discount related to the debt issuance costs and Insurance Policy.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17145</wp:posOffset>
                </wp:positionV>
                <wp:extent cx="650938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5pt" to="512.25pt,1.35pt" o:allowincell="f" strokecolor="#000000" strokeweight="1.32pt"/>
            </w:pict>
          </mc:Fallback>
        </mc:AlternateContent>
      </w:r>
    </w:p>
    <w:p>
      <w:pPr>
        <w:sectPr>
          <w:pgSz w:w="12240" w:h="15840" w:orient="portrait"/>
          <w:cols w:equalWidth="0" w:num="1">
            <w:col w:w="10240"/>
          </w:cols>
          <w:pgMar w:left="1000" w:top="1208" w:right="100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6740" w:type="dxa"/>
            <w:vAlign w:val="bottom"/>
          </w:tcPr>
          <w:p>
            <w:pPr>
              <w:jc w:val="center"/>
              <w:ind w:left="1512"/>
              <w:spacing w:after="0"/>
              <w:rPr>
                <w:sz w:val="20"/>
                <w:szCs w:val="20"/>
                <w:color w:val="auto"/>
              </w:rPr>
            </w:pPr>
            <w:r>
              <w:rPr>
                <w:rFonts w:ascii="Times New Roman" w:cs="Times New Roman" w:eastAsia="Times New Roman" w:hAnsi="Times New Roman"/>
                <w:sz w:val="14"/>
                <w:szCs w:val="14"/>
                <w:b w:val="1"/>
                <w:bCs w:val="1"/>
                <w:color w:val="auto"/>
                <w:w w:val="97"/>
              </w:rPr>
              <w:t>DRAGONFLY ENERGY HOLDINGS CORP.</w:t>
            </w: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960" w:type="dxa"/>
            <w:vAlign w:val="bottom"/>
          </w:tcPr>
          <w:p>
            <w:pPr>
              <w:spacing w:after="0"/>
              <w:rPr>
                <w:sz w:val="13"/>
                <w:szCs w:val="13"/>
                <w:color w:val="auto"/>
              </w:rPr>
            </w:pPr>
          </w:p>
        </w:tc>
        <w:tc>
          <w:tcPr>
            <w:tcW w:w="6740" w:type="dxa"/>
            <w:vAlign w:val="bottom"/>
          </w:tcPr>
          <w:p>
            <w:pPr>
              <w:jc w:val="center"/>
              <w:ind w:left="1512"/>
              <w:spacing w:after="0" w:line="157" w:lineRule="exact"/>
              <w:rPr>
                <w:sz w:val="20"/>
                <w:szCs w:val="20"/>
                <w:color w:val="auto"/>
              </w:rPr>
            </w:pPr>
            <w:r>
              <w:rPr>
                <w:rFonts w:ascii="Times New Roman" w:cs="Times New Roman" w:eastAsia="Times New Roman" w:hAnsi="Times New Roman"/>
                <w:sz w:val="14"/>
                <w:szCs w:val="14"/>
                <w:b w:val="1"/>
                <w:bCs w:val="1"/>
                <w:color w:val="auto"/>
                <w:w w:val="97"/>
              </w:rPr>
              <w:t>NOTES TO CONSOLIDATED FINANCIAL STATEMENTS</w:t>
            </w: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6740" w:type="dxa"/>
            <w:vAlign w:val="bottom"/>
          </w:tcPr>
          <w:p>
            <w:pPr>
              <w:jc w:val="center"/>
              <w:ind w:left="1512"/>
              <w:spacing w:after="0" w:line="156" w:lineRule="exact"/>
              <w:rPr>
                <w:sz w:val="20"/>
                <w:szCs w:val="20"/>
                <w:color w:val="auto"/>
              </w:rPr>
            </w:pPr>
            <w:r>
              <w:rPr>
                <w:rFonts w:ascii="Times New Roman" w:cs="Times New Roman" w:eastAsia="Times New Roman" w:hAnsi="Times New Roman"/>
                <w:sz w:val="14"/>
                <w:szCs w:val="14"/>
                <w:b w:val="1"/>
                <w:bCs w:val="1"/>
                <w:color w:val="auto"/>
                <w:w w:val="96"/>
              </w:rPr>
              <w:t>DECEMBER 31, 2022 AND 2021</w:t>
            </w: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960" w:type="dxa"/>
            <w:vAlign w:val="bottom"/>
          </w:tcPr>
          <w:p>
            <w:pPr>
              <w:spacing w:after="0"/>
              <w:rPr>
                <w:sz w:val="16"/>
                <w:szCs w:val="16"/>
                <w:color w:val="auto"/>
              </w:rPr>
            </w:pPr>
          </w:p>
        </w:tc>
        <w:tc>
          <w:tcPr>
            <w:tcW w:w="6740" w:type="dxa"/>
            <w:vAlign w:val="bottom"/>
          </w:tcPr>
          <w:p>
            <w:pPr>
              <w:jc w:val="center"/>
              <w:ind w:left="1512"/>
              <w:spacing w:after="0"/>
              <w:rPr>
                <w:sz w:val="20"/>
                <w:szCs w:val="20"/>
                <w:color w:val="auto"/>
              </w:rPr>
            </w:pPr>
            <w:r>
              <w:rPr>
                <w:rFonts w:ascii="Times New Roman" w:cs="Times New Roman" w:eastAsia="Times New Roman" w:hAnsi="Times New Roman"/>
                <w:sz w:val="14"/>
                <w:szCs w:val="14"/>
                <w:b w:val="1"/>
                <w:bCs w:val="1"/>
                <w:color w:val="auto"/>
                <w:w w:val="97"/>
              </w:rPr>
              <w:t>(IN THOUSANDS, EXCEPT SHARE AND PER SHARE DATA)</w:t>
            </w: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84"/>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Reserve Accounts</w:t>
            </w: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Deposits into the reserve accounts consisted of the following items:</w:t>
            </w: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2"/>
        </w:trPr>
        <w:tc>
          <w:tcPr>
            <w:tcW w:w="96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7700" w:type="dxa"/>
            <w:vAlign w:val="bottom"/>
            <w:gridSpan w:val="2"/>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Payment Reserve Fund</w:t>
            </w:r>
          </w:p>
        </w:tc>
        <w:tc>
          <w:tcPr>
            <w:tcW w:w="1440" w:type="dxa"/>
            <w:vAlign w:val="bottom"/>
            <w:gridSpan w:val="2"/>
            <w:shd w:val="clear" w:color="auto" w:fill="D1EEF5"/>
          </w:tcPr>
          <w:p>
            <w:pPr>
              <w:jc w:val="right"/>
              <w:ind w:right="624"/>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3,044</w:t>
            </w:r>
          </w:p>
        </w:tc>
        <w:tc>
          <w:tcPr>
            <w:tcW w:w="100" w:type="dxa"/>
            <w:vAlign w:val="bottom"/>
            <w:shd w:val="clear" w:color="auto" w:fill="D1EEF5"/>
          </w:tcPr>
          <w:p>
            <w:pPr>
              <w:spacing w:after="0"/>
              <w:rPr>
                <w:sz w:val="13"/>
                <w:szCs w:val="13"/>
                <w:color w:val="auto"/>
              </w:rPr>
            </w:pPr>
          </w:p>
        </w:tc>
      </w:tr>
      <w:tr>
        <w:trPr>
          <w:trHeight w:val="170"/>
        </w:trPr>
        <w:tc>
          <w:tcPr>
            <w:tcW w:w="7700" w:type="dxa"/>
            <w:vAlign w:val="bottom"/>
            <w:tcBorders>
              <w:bottom w:val="single" w:sz="8" w:color="D1EEF5"/>
            </w:tcBorders>
            <w:gridSpan w:val="2"/>
          </w:tcPr>
          <w:p>
            <w:pPr>
              <w:spacing w:after="0"/>
              <w:rPr>
                <w:sz w:val="20"/>
                <w:szCs w:val="20"/>
                <w:color w:val="auto"/>
              </w:rPr>
            </w:pPr>
            <w:r>
              <w:rPr>
                <w:rFonts w:ascii="Times New Roman" w:cs="Times New Roman" w:eastAsia="Times New Roman" w:hAnsi="Times New Roman"/>
                <w:sz w:val="14"/>
                <w:szCs w:val="14"/>
                <w:color w:val="auto"/>
              </w:rPr>
              <w:t>Capitalized Interest Fund</w:t>
            </w:r>
          </w:p>
        </w:tc>
        <w:tc>
          <w:tcPr>
            <w:tcW w:w="700" w:type="dxa"/>
            <w:vAlign w:val="bottom"/>
            <w:tcBorders>
              <w:bottom w:val="single" w:sz="8" w:color="D1EEF5"/>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D1EEF5"/>
            </w:tcBorders>
          </w:tcPr>
          <w:p>
            <w:pPr>
              <w:spacing w:after="0"/>
              <w:rPr>
                <w:sz w:val="14"/>
                <w:szCs w:val="14"/>
                <w:color w:val="auto"/>
              </w:rPr>
            </w:pPr>
          </w:p>
        </w:tc>
      </w:tr>
      <w:tr>
        <w:trPr>
          <w:trHeight w:val="178"/>
        </w:trPr>
        <w:tc>
          <w:tcPr>
            <w:tcW w:w="7700" w:type="dxa"/>
            <w:vAlign w:val="bottom"/>
            <w:gridSpan w:val="2"/>
            <w:shd w:val="clear" w:color="auto" w:fill="D1EEF5"/>
          </w:tcPr>
          <w:p>
            <w:pPr>
              <w:spacing w:after="0"/>
              <w:rPr>
                <w:sz w:val="20"/>
                <w:szCs w:val="20"/>
                <w:color w:val="auto"/>
              </w:rPr>
            </w:pPr>
            <w:r>
              <w:rPr>
                <w:rFonts w:ascii="Times New Roman" w:cs="Times New Roman" w:eastAsia="Times New Roman" w:hAnsi="Times New Roman"/>
                <w:sz w:val="14"/>
                <w:szCs w:val="14"/>
                <w:color w:val="auto"/>
              </w:rPr>
              <w:t>Total</w:t>
            </w:r>
          </w:p>
        </w:tc>
        <w:tc>
          <w:tcPr>
            <w:tcW w:w="700" w:type="dxa"/>
            <w:vAlign w:val="bottom"/>
            <w:shd w:val="clear" w:color="auto" w:fill="D1EEF5"/>
          </w:tcPr>
          <w:p>
            <w:pPr>
              <w:spacing w:after="0"/>
              <w:rPr>
                <w:sz w:val="15"/>
                <w:szCs w:val="15"/>
                <w:color w:val="auto"/>
              </w:rPr>
            </w:pPr>
          </w:p>
        </w:tc>
        <w:tc>
          <w:tcPr>
            <w:tcW w:w="740" w:type="dxa"/>
            <w:vAlign w:val="bottom"/>
            <w:shd w:val="clear" w:color="auto" w:fill="D1EEF5"/>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3,188</w:t>
            </w:r>
          </w:p>
        </w:tc>
        <w:tc>
          <w:tcPr>
            <w:tcW w:w="100" w:type="dxa"/>
            <w:vAlign w:val="bottom"/>
            <w:shd w:val="clear" w:color="auto" w:fill="D1EEF5"/>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5318760</wp:posOffset>
            </wp:positionH>
            <wp:positionV relativeFrom="paragraph">
              <wp:posOffset>-27940</wp:posOffset>
            </wp:positionV>
            <wp:extent cx="1134745" cy="495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37">
                      <a:extLst>
                        <a:ext uri="{28A0092B-C50C-407E-A947-70E740481C1C}"/>
                      </a:extLst>
                    </a:blip>
                    <a:srcRect/>
                    <a:stretch>
                      <a:fillRect/>
                    </a:stretch>
                  </pic:blipFill>
                  <pic:spPr bwMode="auto">
                    <a:xfrm>
                      <a:off x="0" y="0"/>
                      <a:ext cx="1134745" cy="49530"/>
                    </a:xfrm>
                    <a:prstGeom prst="rect">
                      <a:avLst/>
                    </a:prstGeom>
                    <a:noFill/>
                  </pic:spPr>
                </pic:pic>
              </a:graphicData>
            </a:graphic>
          </wp:anchor>
        </w:drawing>
      </w:r>
    </w:p>
    <w:p>
      <w:pPr>
        <w:spacing w:after="0" w:line="13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2"/>
          <w:szCs w:val="12"/>
          <w:color w:val="auto"/>
        </w:rPr>
        <w:t>The Payment Reserve Fund is a debt service fund to be maintained by UMB Bank, and the initial deposit is equal to the maximum amount of monthly interest and principal debt service payment due on the Series 2021-6 notes, plus interest earned on special redemptions (see redemptions related to certain defaults on the debt). These funds may be utilized by UMB Bank to fund certain shortfalls and a special redemption, but otherwise such funds are released pro rata to the Company based on principal payments made by the Company on the Series 2021-6 Notes. Since this was a deposit account maintained by the trustee and restricted for release upon the occurrence of future events, this deposit was treated as restricted cash.</w:t>
      </w:r>
    </w:p>
    <w:p>
      <w:pPr>
        <w:spacing w:after="0" w:line="1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Capitalized Interest Fund was created to hold the interest that accrued from the closing date until the first payment due on December 15, 2021. The initial deposit, therefore, was treated as prepaid interest. These funds were utilized to pay the interest incurred through that first payment date, therefore the balance as of December 31, 2021 was $3,088.</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Both above funds, to the extent that they are deposited into interest bearing accounts, earn interest that UMB Bank will transfer into an Interest Earnings Fund, which funds will be held in escrow until the earlier of maturity or when the debt obligations are paid in full (assuming no events of default). There were no funds deposited into interest bearing accounts at December 31, 2022 or December 31, 2021.</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the merger, the Company settled the Trust Indenture and the balance in the Payment Reserve Fund was offset against the proceeds.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Collateral</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As collateral for payment of the debt and certain obligations related to performance under the Trust Indenture and related transaction documents, the Company and the guarantors granted to NewLight Capital, LLC, as representative and for the benefit of UMB Bank a continuing security interest in substantially all of the assets of the Company, including certain intellectual property assets.</w:t>
      </w:r>
    </w:p>
    <w:p>
      <w:pPr>
        <w:spacing w:after="0" w:line="12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2"/>
          <w:szCs w:val="12"/>
          <w:color w:val="auto"/>
        </w:rPr>
        <w:t>Under the terms of the Trust Indenture, the Insurance Policy is required as additional collateral guaranteeing the payments under the debt by the Company. The Company determined this was not a direct incremental cost of the financing but rather a cost for maintaining the collateral, recognized under the guidance at ASC 860-30, Transfers and Servicing, Secured Borrowing and Collateral. The premium costs were recognized as a prepaid expense and were being amortized straight line over the term of the policy (three years, unless reduced due to default provisions). The secured party (i.e., UMB Bank, as trustee) would not have the right to sell or repledge either the intellectual property or the insurance collateral unless and until the Company defaulted and a claim was made. Upon settlement of the debt underlying the Trust Indenture, the collateral requirements for the Insurance Policy were eliminated.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Loan Monitoring Fees</w:t>
      </w:r>
    </w:p>
    <w:p>
      <w:pPr>
        <w:spacing w:after="0" w:line="14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Company was to incur ongoing monitoring service by NewLight Capital, LLC for 24 months at $180 total expense. These services entail monitory of financial records and information related to collateral enforcement on an ongoing basis. The $60 prepayment funded on the date of closing was recognized as a prepaid expense and was being amortized on a straight line basis over the first 10 months of the agreement as the amount was paid in full in connection with the merger. The Company incurred $77 and $10 of monitoring fee expenses during the years ended December 31, 2022 and 2021,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the merger, prepayment on that date of $33 was expensed and included in debt extinguishment.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17780</wp:posOffset>
                </wp:positionV>
                <wp:extent cx="650938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4pt" to="512.25pt,1.4pt" o:allowincell="f" strokecolor="#000000" strokeweight="1.26pt"/>
            </w:pict>
          </mc:Fallback>
        </mc:AlternateContent>
      </w:r>
    </w:p>
    <w:p>
      <w:pPr>
        <w:sectPr>
          <w:pgSz w:w="12240" w:h="15840" w:orient="portrait"/>
          <w:cols w:equalWidth="0" w:num="1">
            <w:col w:w="10240"/>
          </w:cols>
          <w:pgMar w:left="1000" w:top="1203" w:right="1000"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Financial Covenants – Trust Indenture</w:t>
      </w:r>
    </w:p>
    <w:p>
      <w:pPr>
        <w:spacing w:after="0" w:line="1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 was obligated to comply with certain covenants which included a minimum adjusted EBITDA, capital expenditure requirement and minimum fixed charge coverage ratio. The Company was in compliance with all financial covenants as of December 31, 2021 and through October 7, 2022, the date of the settlement of the obligations underlying the Trust Indenture.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Term Loan Agreement</w:t>
      </w:r>
    </w:p>
    <w:p>
      <w:pPr>
        <w:spacing w:after="0" w:line="15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On October 7, 2022, in connection with the merger, CNTQ, Legacy Dragonfly and CCM Investments 5 LLC (“</w:t>
      </w:r>
      <w:r>
        <w:rPr>
          <w:rFonts w:ascii="Times New Roman" w:cs="Times New Roman" w:eastAsia="Times New Roman" w:hAnsi="Times New Roman"/>
          <w:sz w:val="14"/>
          <w:szCs w:val="14"/>
          <w:b w:val="1"/>
          <w:bCs w:val="1"/>
          <w:color w:val="auto"/>
        </w:rPr>
        <w:t>CCM 5</w:t>
      </w:r>
      <w:r>
        <w:rPr>
          <w:rFonts w:ascii="Times New Roman" w:cs="Times New Roman" w:eastAsia="Times New Roman" w:hAnsi="Times New Roman"/>
          <w:sz w:val="14"/>
          <w:szCs w:val="14"/>
          <w:color w:val="auto"/>
        </w:rPr>
        <w:t>”, and in connection with the Term Loan, the “Chardan Lender”), and EICF Agent LLC (“</w:t>
      </w:r>
      <w:r>
        <w:rPr>
          <w:rFonts w:ascii="Times New Roman" w:cs="Times New Roman" w:eastAsia="Times New Roman" w:hAnsi="Times New Roman"/>
          <w:sz w:val="14"/>
          <w:szCs w:val="14"/>
          <w:b w:val="1"/>
          <w:bCs w:val="1"/>
          <w:color w:val="auto"/>
        </w:rPr>
        <w:t>EIP</w:t>
      </w:r>
      <w:r>
        <w:rPr>
          <w:rFonts w:ascii="Times New Roman" w:cs="Times New Roman" w:eastAsia="Times New Roman" w:hAnsi="Times New Roman"/>
          <w:sz w:val="14"/>
          <w:szCs w:val="14"/>
          <w:color w:val="auto"/>
        </w:rPr>
        <w:t>” and, collectively with the Chardan Lender, the “</w:t>
      </w:r>
      <w:r>
        <w:rPr>
          <w:rFonts w:ascii="Times New Roman" w:cs="Times New Roman" w:eastAsia="Times New Roman" w:hAnsi="Times New Roman"/>
          <w:sz w:val="14"/>
          <w:szCs w:val="14"/>
          <w:b w:val="1"/>
          <w:bCs w:val="1"/>
          <w:color w:val="auto"/>
        </w:rPr>
        <w:t>Initial Term Loan Lenders</w:t>
      </w:r>
      <w:r>
        <w:rPr>
          <w:rFonts w:ascii="Times New Roman" w:cs="Times New Roman" w:eastAsia="Times New Roman" w:hAnsi="Times New Roman"/>
          <w:sz w:val="14"/>
          <w:szCs w:val="14"/>
          <w:color w:val="auto"/>
        </w:rPr>
        <w:t>”) entered into the Term Loan, Guarantee and Security Agreement (the “</w:t>
      </w: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Loan Agreement</w:t>
      </w:r>
      <w:r>
        <w:rPr>
          <w:rFonts w:ascii="Times New Roman" w:cs="Times New Roman" w:eastAsia="Times New Roman" w:hAnsi="Times New Roman"/>
          <w:sz w:val="14"/>
          <w:szCs w:val="14"/>
          <w:color w:val="auto"/>
        </w:rPr>
        <w:t>”) setting forth the terms of a senior secured term loan facility in an aggregate principal amount of $ 75,000, or the Term Loan. The Chardan Lender backstopped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commitment under the Debt Commitment Letter by entering into a backstop commitment letter, dated as of May 20, 2022 (the “</w:t>
      </w:r>
      <w:r>
        <w:rPr>
          <w:rFonts w:ascii="Times New Roman" w:cs="Times New Roman" w:eastAsia="Times New Roman" w:hAnsi="Times New Roman"/>
          <w:sz w:val="14"/>
          <w:szCs w:val="14"/>
          <w:b w:val="1"/>
          <w:bCs w:val="1"/>
          <w:color w:val="auto"/>
        </w:rPr>
        <w:t>Backstop Commitment Letter</w:t>
      </w:r>
      <w:r>
        <w:rPr>
          <w:rFonts w:ascii="Times New Roman" w:cs="Times New Roman" w:eastAsia="Times New Roman" w:hAnsi="Times New Roman"/>
          <w:sz w:val="14"/>
          <w:szCs w:val="14"/>
          <w:color w:val="auto"/>
        </w:rPr>
        <w:t>”), with a certain third-party financing source (the “</w:t>
      </w:r>
      <w:r>
        <w:rPr>
          <w:rFonts w:ascii="Times New Roman" w:cs="Times New Roman" w:eastAsia="Times New Roman" w:hAnsi="Times New Roman"/>
          <w:sz w:val="14"/>
          <w:szCs w:val="14"/>
          <w:b w:val="1"/>
          <w:bCs w:val="1"/>
          <w:color w:val="auto"/>
        </w:rPr>
        <w:t>Backstop Lender</w:t>
      </w:r>
      <w:r>
        <w:rPr>
          <w:rFonts w:ascii="Times New Roman" w:cs="Times New Roman" w:eastAsia="Times New Roman" w:hAnsi="Times New Roman"/>
          <w:sz w:val="14"/>
          <w:szCs w:val="14"/>
          <w:color w:val="auto"/>
        </w:rPr>
        <w:t>” and collectively with EIP, the “</w:t>
      </w:r>
      <w:r>
        <w:rPr>
          <w:rFonts w:ascii="Times New Roman" w:cs="Times New Roman" w:eastAsia="Times New Roman" w:hAnsi="Times New Roman"/>
          <w:sz w:val="14"/>
          <w:szCs w:val="14"/>
          <w:b w:val="1"/>
          <w:bCs w:val="1"/>
          <w:color w:val="auto"/>
        </w:rPr>
        <w:t>Term Loan Lenders</w:t>
      </w:r>
      <w:r>
        <w:rPr>
          <w:rFonts w:ascii="Times New Roman" w:cs="Times New Roman" w:eastAsia="Times New Roman" w:hAnsi="Times New Roman"/>
          <w:sz w:val="14"/>
          <w:szCs w:val="14"/>
          <w:color w:val="auto"/>
        </w:rPr>
        <w:t>”), pursuant to which the Backstop Lender committed to purchase from the Chardan Lender the aggregate amount of the Term Loan held by the Chardan Lender (the “</w:t>
      </w:r>
      <w:r>
        <w:rPr>
          <w:rFonts w:ascii="Times New Roman" w:cs="Times New Roman" w:eastAsia="Times New Roman" w:hAnsi="Times New Roman"/>
          <w:sz w:val="14"/>
          <w:szCs w:val="14"/>
          <w:b w:val="1"/>
          <w:bCs w:val="1"/>
          <w:color w:val="auto"/>
        </w:rPr>
        <w:t>Backstopped Loans</w:t>
      </w:r>
      <w:r>
        <w:rPr>
          <w:rFonts w:ascii="Times New Roman" w:cs="Times New Roman" w:eastAsia="Times New Roman" w:hAnsi="Times New Roman"/>
          <w:sz w:val="14"/>
          <w:szCs w:val="14"/>
          <w:color w:val="auto"/>
        </w:rPr>
        <w:t>”) immediately following the issuance of the Term Loan on the Closing Date. Pursuant to an assignment agreement, the Backstopped Loans were assigned by CCM 5 to the Backstop Lender on the Closing Date.</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(or $937.5 on the first day of each calendar quarter) beginning 24 months after the Closing Date and matures on the fourth anniversary of the Closing Date (“</w:t>
      </w:r>
      <w:r>
        <w:rPr>
          <w:rFonts w:ascii="Times New Roman" w:cs="Times New Roman" w:eastAsia="Times New Roman" w:hAnsi="Times New Roman"/>
          <w:sz w:val="14"/>
          <w:szCs w:val="14"/>
          <w:b w:val="1"/>
          <w:bCs w:val="1"/>
          <w:color w:val="auto"/>
        </w:rPr>
        <w:t>Maturity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Date</w:t>
      </w:r>
      <w:r>
        <w:rPr>
          <w:rFonts w:ascii="Times New Roman" w:cs="Times New Roman" w:eastAsia="Times New Roman" w:hAnsi="Times New Roman"/>
          <w:sz w:val="14"/>
          <w:szCs w:val="14"/>
          <w:color w:val="auto"/>
        </w:rPr>
        <w:t>”). The Term Loan accrues interest (i) until April 1, 2023, at a per annum rate equal to the adjusted Secured Overnight Financing Rate (“</w:t>
      </w:r>
      <w:r>
        <w:rPr>
          <w:rFonts w:ascii="Times New Roman" w:cs="Times New Roman" w:eastAsia="Times New Roman" w:hAnsi="Times New Roman"/>
          <w:sz w:val="14"/>
          <w:szCs w:val="14"/>
          <w:b w:val="1"/>
          <w:bCs w:val="1"/>
          <w:color w:val="auto"/>
        </w:rPr>
        <w:t xml:space="preserve">SOFR </w:t>
      </w:r>
      <w:r>
        <w:rPr>
          <w:rFonts w:ascii="Times New Roman" w:cs="Times New Roman" w:eastAsia="Times New Roman" w:hAnsi="Times New Roman"/>
          <w:sz w:val="14"/>
          <w:szCs w:val="14"/>
          <w:color w:val="auto"/>
        </w:rPr>
        <w:t>”) plus a margin equal to 13.5%,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650938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pt" to="512.25pt,1.3pt" o:allowincell="f" strokecolor="#000000" strokeweight="1.26pt"/>
            </w:pict>
          </mc:Fallback>
        </mc:AlternateContent>
      </w:r>
    </w:p>
    <w:p>
      <w:pPr>
        <w:sectPr>
          <w:pgSz w:w="12240" w:h="15840" w:orient="portrait"/>
          <w:cols w:equalWidth="0" w:num="1">
            <w:col w:w="10240"/>
          </w:cols>
          <w:pgMar w:left="1000" w:top="1208" w:right="1000"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addition to optional prepayments by the Company upon written notice, the Term Loan Agreement provides for mandatory prepayments upon receipt of proceeds from certain transactions or casualty events. Beginning on the date the financial statements for the year ended December 31, 2023 are required to be delivered to the Term Loan Lenders, the Company will be required to prepay the Term Loan based on excess cash flow, as defined in the agreement.</w:t>
      </w:r>
    </w:p>
    <w:p>
      <w:pPr>
        <w:spacing w:after="0" w:line="1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In connection with the entry into the Term Loan Agreement, and as a required term and condition thereof, the Company issued (i) the penny warrants to the Term Loan Lenders exercisable to purchase an aggregate of 2,593,056 and (ii) the $10 warrants to issue warrants to the Term Loan Lenders exercisable to purchase an aggregate of 1,600,000 shares of common stock at $10 per share. Refer to Note 12 for further information.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the obligations under the Term Loan are accelerated under the terms of the agreement, the maturity date will be October 7, 2026.</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Term Loan Lenders have been granted a first priority lien, and security interest in, the mortgaged properties underlying the Company’s mortgages.</w:t>
      </w:r>
    </w:p>
    <w:p>
      <w:pPr>
        <w:spacing w:after="0" w:line="1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During the year ended December 31, 2022, a total of $3,195 of interest expense was incurred under the debt. Amortization of the debt issuance costs amounted to $38 during the year ended December 31, 2022. The carrying balance of $19,242 on December 31, 2022 consisted of $75,000 in principal, plus $1,192 PIK interest, less $56,950 in unamortized debt discount related to the debt issuance costs.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Covenants – Term Loan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Maximum Senior Leverage Ratio</w:t>
      </w:r>
    </w:p>
    <w:p>
      <w:pPr>
        <w:spacing w:after="0" w:line="15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2"/>
          <w:szCs w:val="12"/>
          <w:color w:val="auto"/>
        </w:rPr>
        <w:t>The senior leverage ratio is the ratio of (a) consolidated indebtedness, as defined, on such date minus 100% of the unrestricted cash and cash equivalents held (subject to adjustment) to (b) Consolidated EBITDA for the trailing twelve (12) fiscal month period most recently ended. If liquidity, as defined, for any fiscal quarter is less than $17,500, the senior leverage ratio shall not be permitted, as of the last day of any fiscal quarter ending during any period set forth below, to exceed the ratio set forth opposite such period in the table below:</w:t>
      </w:r>
    </w:p>
    <w:p>
      <w:pPr>
        <w:spacing w:after="0" w:line="101" w:lineRule="exact"/>
        <w:rPr>
          <w:sz w:val="20"/>
          <w:szCs w:val="20"/>
          <w:color w:val="auto"/>
        </w:rPr>
      </w:pPr>
    </w:p>
    <w:tbl>
      <w:tblPr>
        <w:tblLayout w:type="fixed"/>
        <w:tblInd w:w="102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00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Test Period Ending</w:t>
            </w:r>
          </w:p>
        </w:tc>
        <w:tc>
          <w:tcPr>
            <w:tcW w:w="160" w:type="dxa"/>
            <w:vAlign w:val="bottom"/>
          </w:tcPr>
          <w:p>
            <w:pPr>
              <w:spacing w:after="0"/>
              <w:rPr>
                <w:sz w:val="15"/>
                <w:szCs w:val="15"/>
                <w:color w:val="auto"/>
              </w:rPr>
            </w:pPr>
          </w:p>
        </w:tc>
        <w:tc>
          <w:tcPr>
            <w:tcW w:w="40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Leverage Ratio</w:t>
            </w:r>
          </w:p>
        </w:tc>
      </w:tr>
      <w:tr>
        <w:trPr>
          <w:trHeight w:val="154"/>
        </w:trPr>
        <w:tc>
          <w:tcPr>
            <w:tcW w:w="20" w:type="dxa"/>
            <w:vAlign w:val="bottom"/>
            <w:tcBorders>
              <w:top w:val="single" w:sz="8" w:color="D1EEF5"/>
            </w:tcBorders>
            <w:shd w:val="clear" w:color="auto" w:fill="D1EEF5"/>
          </w:tcPr>
          <w:p>
            <w:pPr>
              <w:spacing w:after="0"/>
              <w:rPr>
                <w:sz w:val="13"/>
                <w:szCs w:val="13"/>
                <w:color w:val="auto"/>
              </w:rPr>
            </w:pPr>
          </w:p>
        </w:tc>
        <w:tc>
          <w:tcPr>
            <w:tcW w:w="4000" w:type="dxa"/>
            <w:vAlign w:val="bottom"/>
            <w:tcBorders>
              <w:top w:val="single" w:sz="8" w:color="auto"/>
            </w:tcBorders>
            <w:shd w:val="clear" w:color="auto" w:fill="D1EEF5"/>
          </w:tcPr>
          <w:p>
            <w:pPr>
              <w:spacing w:after="0" w:line="153" w:lineRule="exact"/>
              <w:rPr>
                <w:sz w:val="20"/>
                <w:szCs w:val="20"/>
                <w:color w:val="auto"/>
              </w:rPr>
            </w:pPr>
            <w:r>
              <w:rPr>
                <w:rFonts w:ascii="Times New Roman" w:cs="Times New Roman" w:eastAsia="Times New Roman" w:hAnsi="Times New Roman"/>
                <w:sz w:val="14"/>
                <w:szCs w:val="14"/>
                <w:color w:val="auto"/>
              </w:rPr>
              <w:t>December 31, 2022 – March 31, 2023</w:t>
            </w:r>
          </w:p>
        </w:tc>
        <w:tc>
          <w:tcPr>
            <w:tcW w:w="160" w:type="dxa"/>
            <w:vAlign w:val="bottom"/>
            <w:tcBorders>
              <w:top w:val="single" w:sz="8" w:color="D1EEF5"/>
            </w:tcBorders>
            <w:shd w:val="clear" w:color="auto" w:fill="D1EEF5"/>
          </w:tcPr>
          <w:p>
            <w:pPr>
              <w:spacing w:after="0"/>
              <w:rPr>
                <w:sz w:val="13"/>
                <w:szCs w:val="13"/>
                <w:color w:val="auto"/>
              </w:rPr>
            </w:pPr>
          </w:p>
        </w:tc>
        <w:tc>
          <w:tcPr>
            <w:tcW w:w="4020" w:type="dxa"/>
            <w:vAlign w:val="bottom"/>
            <w:tcBorders>
              <w:top w:val="single" w:sz="8" w:color="auto"/>
            </w:tcBorders>
            <w:shd w:val="clear" w:color="auto" w:fill="D1EEF5"/>
          </w:tcPr>
          <w:p>
            <w:pPr>
              <w:jc w:val="center"/>
              <w:spacing w:after="0" w:line="153" w:lineRule="exact"/>
              <w:rPr>
                <w:sz w:val="20"/>
                <w:szCs w:val="20"/>
                <w:color w:val="auto"/>
              </w:rPr>
            </w:pPr>
            <w:r>
              <w:rPr>
                <w:rFonts w:ascii="Times New Roman" w:cs="Times New Roman" w:eastAsia="Times New Roman" w:hAnsi="Times New Roman"/>
                <w:sz w:val="14"/>
                <w:szCs w:val="14"/>
                <w:color w:val="auto"/>
                <w:w w:val="98"/>
              </w:rPr>
              <w:t>6.75 to 1.00</w:t>
            </w:r>
          </w:p>
        </w:tc>
        <w:tc>
          <w:tcPr>
            <w:tcW w:w="20" w:type="dxa"/>
            <w:vAlign w:val="bottom"/>
            <w:tcBorders>
              <w:top w:val="single" w:sz="8" w:color="D1EEF5"/>
            </w:tcBorders>
            <w:shd w:val="clear" w:color="auto" w:fill="D1EEF5"/>
          </w:tcPr>
          <w:p>
            <w:pPr>
              <w:spacing w:after="0"/>
              <w:rPr>
                <w:sz w:val="13"/>
                <w:szCs w:val="13"/>
                <w:color w:val="auto"/>
              </w:rPr>
            </w:pPr>
          </w:p>
        </w:tc>
      </w:tr>
      <w:tr>
        <w:trPr>
          <w:trHeight w:val="157"/>
        </w:trPr>
        <w:tc>
          <w:tcPr>
            <w:tcW w:w="402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June 30, 2023 – September 30, 2023</w:t>
            </w:r>
          </w:p>
        </w:tc>
        <w:tc>
          <w:tcPr>
            <w:tcW w:w="160" w:type="dxa"/>
            <w:vAlign w:val="bottom"/>
          </w:tcPr>
          <w:p>
            <w:pPr>
              <w:spacing w:after="0"/>
              <w:rPr>
                <w:sz w:val="13"/>
                <w:szCs w:val="13"/>
                <w:color w:val="auto"/>
              </w:rPr>
            </w:pPr>
          </w:p>
        </w:tc>
        <w:tc>
          <w:tcPr>
            <w:tcW w:w="4040" w:type="dxa"/>
            <w:vAlign w:val="bottom"/>
            <w:gridSpan w:val="2"/>
          </w:tcPr>
          <w:p>
            <w:pPr>
              <w:jc w:val="center"/>
              <w:ind w:right="20"/>
              <w:spacing w:after="0" w:line="157" w:lineRule="exact"/>
              <w:rPr>
                <w:sz w:val="20"/>
                <w:szCs w:val="20"/>
                <w:color w:val="auto"/>
              </w:rPr>
            </w:pPr>
            <w:r>
              <w:rPr>
                <w:rFonts w:ascii="Times New Roman" w:cs="Times New Roman" w:eastAsia="Times New Roman" w:hAnsi="Times New Roman"/>
                <w:sz w:val="14"/>
                <w:szCs w:val="14"/>
                <w:color w:val="auto"/>
                <w:w w:val="98"/>
              </w:rPr>
              <w:t>6.00 to 1.00</w:t>
            </w:r>
          </w:p>
        </w:tc>
      </w:tr>
      <w:tr>
        <w:trPr>
          <w:trHeight w:val="156"/>
        </w:trPr>
        <w:tc>
          <w:tcPr>
            <w:tcW w:w="4020" w:type="dxa"/>
            <w:vAlign w:val="bottom"/>
            <w:gridSpan w:val="2"/>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December 31, 2023 – March 31, 2024</w:t>
            </w:r>
          </w:p>
        </w:tc>
        <w:tc>
          <w:tcPr>
            <w:tcW w:w="160" w:type="dxa"/>
            <w:vAlign w:val="bottom"/>
            <w:shd w:val="clear" w:color="auto" w:fill="D1EEF5"/>
          </w:tcPr>
          <w:p>
            <w:pPr>
              <w:spacing w:after="0"/>
              <w:rPr>
                <w:sz w:val="13"/>
                <w:szCs w:val="13"/>
                <w:color w:val="auto"/>
              </w:rPr>
            </w:pPr>
          </w:p>
        </w:tc>
        <w:tc>
          <w:tcPr>
            <w:tcW w:w="4040" w:type="dxa"/>
            <w:vAlign w:val="bottom"/>
            <w:gridSpan w:val="2"/>
            <w:shd w:val="clear" w:color="auto" w:fill="D1EEF5"/>
          </w:tcPr>
          <w:p>
            <w:pPr>
              <w:jc w:val="center"/>
              <w:ind w:right="20"/>
              <w:spacing w:after="0" w:line="156" w:lineRule="exact"/>
              <w:rPr>
                <w:sz w:val="20"/>
                <w:szCs w:val="20"/>
                <w:color w:val="auto"/>
              </w:rPr>
            </w:pPr>
            <w:r>
              <w:rPr>
                <w:rFonts w:ascii="Times New Roman" w:cs="Times New Roman" w:eastAsia="Times New Roman" w:hAnsi="Times New Roman"/>
                <w:sz w:val="14"/>
                <w:szCs w:val="14"/>
                <w:color w:val="auto"/>
                <w:w w:val="98"/>
              </w:rPr>
              <w:t>5.00 to 1.00</w:t>
            </w:r>
          </w:p>
        </w:tc>
      </w:tr>
      <w:tr>
        <w:trPr>
          <w:trHeight w:val="156"/>
        </w:trPr>
        <w:tc>
          <w:tcPr>
            <w:tcW w:w="402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June 30, 2024 – September 30, 2024</w:t>
            </w:r>
          </w:p>
        </w:tc>
        <w:tc>
          <w:tcPr>
            <w:tcW w:w="160" w:type="dxa"/>
            <w:vAlign w:val="bottom"/>
          </w:tcPr>
          <w:p>
            <w:pPr>
              <w:spacing w:after="0"/>
              <w:rPr>
                <w:sz w:val="13"/>
                <w:szCs w:val="13"/>
                <w:color w:val="auto"/>
              </w:rPr>
            </w:pPr>
          </w:p>
        </w:tc>
        <w:tc>
          <w:tcPr>
            <w:tcW w:w="4040" w:type="dxa"/>
            <w:vAlign w:val="bottom"/>
            <w:gridSpan w:val="2"/>
          </w:tcPr>
          <w:p>
            <w:pPr>
              <w:jc w:val="center"/>
              <w:ind w:right="20"/>
              <w:spacing w:after="0" w:line="156" w:lineRule="exact"/>
              <w:rPr>
                <w:sz w:val="20"/>
                <w:szCs w:val="20"/>
                <w:color w:val="auto"/>
              </w:rPr>
            </w:pPr>
            <w:r>
              <w:rPr>
                <w:rFonts w:ascii="Times New Roman" w:cs="Times New Roman" w:eastAsia="Times New Roman" w:hAnsi="Times New Roman"/>
                <w:sz w:val="14"/>
                <w:szCs w:val="14"/>
                <w:color w:val="auto"/>
                <w:w w:val="98"/>
              </w:rPr>
              <w:t>4.00 to 1.00</w:t>
            </w:r>
          </w:p>
        </w:tc>
      </w:tr>
      <w:tr>
        <w:trPr>
          <w:trHeight w:val="157"/>
        </w:trPr>
        <w:tc>
          <w:tcPr>
            <w:tcW w:w="4020" w:type="dxa"/>
            <w:vAlign w:val="bottom"/>
            <w:gridSpan w:val="2"/>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December 31, 2024 – March 31, 2025</w:t>
            </w:r>
          </w:p>
        </w:tc>
        <w:tc>
          <w:tcPr>
            <w:tcW w:w="160" w:type="dxa"/>
            <w:vAlign w:val="bottom"/>
            <w:shd w:val="clear" w:color="auto" w:fill="D1EEF5"/>
          </w:tcPr>
          <w:p>
            <w:pPr>
              <w:spacing w:after="0"/>
              <w:rPr>
                <w:sz w:val="13"/>
                <w:szCs w:val="13"/>
                <w:color w:val="auto"/>
              </w:rPr>
            </w:pPr>
          </w:p>
        </w:tc>
        <w:tc>
          <w:tcPr>
            <w:tcW w:w="4040" w:type="dxa"/>
            <w:vAlign w:val="bottom"/>
            <w:gridSpan w:val="2"/>
            <w:shd w:val="clear" w:color="auto" w:fill="D1EEF5"/>
          </w:tcPr>
          <w:p>
            <w:pPr>
              <w:jc w:val="center"/>
              <w:ind w:right="20"/>
              <w:spacing w:after="0" w:line="157" w:lineRule="exact"/>
              <w:rPr>
                <w:sz w:val="20"/>
                <w:szCs w:val="20"/>
                <w:color w:val="auto"/>
              </w:rPr>
            </w:pPr>
            <w:r>
              <w:rPr>
                <w:rFonts w:ascii="Times New Roman" w:cs="Times New Roman" w:eastAsia="Times New Roman" w:hAnsi="Times New Roman"/>
                <w:sz w:val="14"/>
                <w:szCs w:val="14"/>
                <w:color w:val="auto"/>
                <w:w w:val="98"/>
              </w:rPr>
              <w:t>3.25 to 1.00</w:t>
            </w:r>
          </w:p>
        </w:tc>
      </w:tr>
      <w:tr>
        <w:trPr>
          <w:trHeight w:val="181"/>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June 30, 2025 and thereafter</w:t>
            </w:r>
          </w:p>
        </w:tc>
        <w:tc>
          <w:tcPr>
            <w:tcW w:w="160" w:type="dxa"/>
            <w:vAlign w:val="bottom"/>
          </w:tcPr>
          <w:p>
            <w:pPr>
              <w:spacing w:after="0"/>
              <w:rPr>
                <w:sz w:val="15"/>
                <w:szCs w:val="15"/>
                <w:color w:val="auto"/>
              </w:rPr>
            </w:pPr>
          </w:p>
        </w:tc>
        <w:tc>
          <w:tcPr>
            <w:tcW w:w="40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8"/>
              </w:rPr>
              <w:t>3.00 to 1.00</w:t>
            </w: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Liquidity</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Company shall not permit their liquidity (determined on a consolidated basis) to be less than $10,000 as of the last day of each fiscal month (commencing with month ending December 31,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Fixed Charge Coverage Ratio</w:t>
      </w:r>
    </w:p>
    <w:p>
      <w:pPr>
        <w:spacing w:after="0" w:line="1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fixed charge coverage ratio is the ratio of consolidated EBITDA (less capital expenditures and certain other adjustments) to consolidated fixed charges, as defined in the agreement. If liquidity is less than $15,000 as of the last day of any fiscal quarter (commencing with the quarter ending December 31, 2022), then the Company shall not permit the fixed charge coverage ratio for the trailing four quarterly periods ending on the last day of any such quarter to be less than 1.15 : 1.00.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Capital Expenditures</w:t>
      </w:r>
    </w:p>
    <w:p>
      <w:pPr>
        <w:spacing w:after="0" w:line="15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2"/>
          <w:szCs w:val="12"/>
          <w:color w:val="auto"/>
        </w:rPr>
        <w:t>If consolidated EBITDA for the trailing twelve-month period ending on the most recently completed fiscal quarter is less than $15,000, then the level of capital expenditures is limited.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10160</wp:posOffset>
                </wp:positionV>
                <wp:extent cx="650938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8pt" to="512.25pt,0.8pt" o:allowincell="f" strokecolor="#000000" strokeweight="1.26pt"/>
            </w:pict>
          </mc:Fallback>
        </mc:AlternateContent>
      </w:r>
    </w:p>
    <w:p>
      <w:pPr>
        <w:sectPr>
          <w:pgSz w:w="12240" w:h="15840" w:orient="portrait"/>
          <w:cols w:equalWidth="0" w:num="1">
            <w:col w:w="10240"/>
          </w:cols>
          <w:pgMar w:left="1000" w:top="1208" w:right="1000"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6560" w:type="dxa"/>
            <w:vAlign w:val="bottom"/>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w w:val="97"/>
              </w:rPr>
              <w:t>DRAGONFLY ENERGY HOLDINGS CORP.</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1640" w:type="dxa"/>
            <w:vAlign w:val="bottom"/>
          </w:tcPr>
          <w:p>
            <w:pPr>
              <w:spacing w:after="0"/>
              <w:rPr>
                <w:sz w:val="13"/>
                <w:szCs w:val="13"/>
                <w:color w:val="auto"/>
              </w:rPr>
            </w:pPr>
          </w:p>
        </w:tc>
        <w:tc>
          <w:tcPr>
            <w:tcW w:w="6560" w:type="dxa"/>
            <w:vAlign w:val="bottom"/>
          </w:tcPr>
          <w:p>
            <w:pPr>
              <w:jc w:val="center"/>
              <w:ind w:left="332"/>
              <w:spacing w:after="0" w:line="157" w:lineRule="exact"/>
              <w:rPr>
                <w:sz w:val="20"/>
                <w:szCs w:val="20"/>
                <w:color w:val="auto"/>
              </w:rPr>
            </w:pPr>
            <w:r>
              <w:rPr>
                <w:rFonts w:ascii="Times New Roman" w:cs="Times New Roman" w:eastAsia="Times New Roman" w:hAnsi="Times New Roman"/>
                <w:sz w:val="14"/>
                <w:szCs w:val="14"/>
                <w:b w:val="1"/>
                <w:bCs w:val="1"/>
                <w:color w:val="auto"/>
                <w:w w:val="97"/>
              </w:rPr>
              <w:t>NOTES TO CONSOLIDATED FINANCIAL STATEMENTS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640" w:type="dxa"/>
            <w:vAlign w:val="bottom"/>
          </w:tcPr>
          <w:p>
            <w:pPr>
              <w:spacing w:after="0"/>
              <w:rPr>
                <w:sz w:val="13"/>
                <w:szCs w:val="13"/>
                <w:color w:val="auto"/>
              </w:rPr>
            </w:pPr>
          </w:p>
        </w:tc>
        <w:tc>
          <w:tcPr>
            <w:tcW w:w="6560" w:type="dxa"/>
            <w:vAlign w:val="bottom"/>
          </w:tcPr>
          <w:p>
            <w:pPr>
              <w:jc w:val="center"/>
              <w:ind w:left="332"/>
              <w:spacing w:after="0" w:line="156" w:lineRule="exact"/>
              <w:rPr>
                <w:sz w:val="20"/>
                <w:szCs w:val="20"/>
                <w:color w:val="auto"/>
              </w:rPr>
            </w:pPr>
            <w:r>
              <w:rPr>
                <w:rFonts w:ascii="Times New Roman" w:cs="Times New Roman" w:eastAsia="Times New Roman" w:hAnsi="Times New Roman"/>
                <w:sz w:val="14"/>
                <w:szCs w:val="14"/>
                <w:b w:val="1"/>
                <w:bCs w:val="1"/>
                <w:color w:val="auto"/>
                <w:w w:val="96"/>
              </w:rPr>
              <w:t>DECEMBER 31, 2022 AND 2021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1640" w:type="dxa"/>
            <w:vAlign w:val="bottom"/>
          </w:tcPr>
          <w:p>
            <w:pPr>
              <w:spacing w:after="0"/>
              <w:rPr>
                <w:sz w:val="16"/>
                <w:szCs w:val="16"/>
                <w:color w:val="auto"/>
              </w:rPr>
            </w:pPr>
          </w:p>
        </w:tc>
        <w:tc>
          <w:tcPr>
            <w:tcW w:w="6560" w:type="dxa"/>
            <w:vAlign w:val="bottom"/>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w w:val="97"/>
              </w:rPr>
              <w:t>(IN THOUSANDS, EXCEPT SHARE AND PER SHARE DATA)</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84"/>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Long-Term Debt Maturities</w:t>
            </w:r>
          </w:p>
        </w:tc>
        <w:tc>
          <w:tcPr>
            <w:tcW w:w="6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8"/>
        </w:trPr>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 December 31, 2022, the future debt maturities are as follows: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Future Debt Maturities</w:t>
            </w:r>
          </w:p>
        </w:tc>
      </w:tr>
      <w:tr>
        <w:trPr>
          <w:trHeight w:val="151"/>
        </w:trPr>
        <w:tc>
          <w:tcPr>
            <w:tcW w:w="1640" w:type="dxa"/>
            <w:vAlign w:val="bottom"/>
            <w:tcBorders>
              <w:top w:val="single" w:sz="8" w:color="auto"/>
            </w:tcBorders>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auto"/>
              </w:rPr>
              <w:t>2023</w:t>
            </w:r>
          </w:p>
        </w:tc>
        <w:tc>
          <w:tcPr>
            <w:tcW w:w="6560" w:type="dxa"/>
            <w:vAlign w:val="bottom"/>
            <w:tcBorders>
              <w:top w:val="single" w:sz="8" w:color="auto"/>
            </w:tcBorders>
            <w:shd w:val="clear" w:color="auto" w:fill="D1EEF5"/>
          </w:tcPr>
          <w:p>
            <w:pPr>
              <w:spacing w:after="0"/>
              <w:rPr>
                <w:sz w:val="13"/>
                <w:szCs w:val="13"/>
                <w:color w:val="auto"/>
              </w:rPr>
            </w:pPr>
          </w:p>
        </w:tc>
        <w:tc>
          <w:tcPr>
            <w:tcW w:w="200" w:type="dxa"/>
            <w:vAlign w:val="bottom"/>
            <w:tcBorders>
              <w:top w:val="single" w:sz="8" w:color="D1EEF5"/>
            </w:tcBorders>
            <w:shd w:val="clear" w:color="auto" w:fill="D1EEF5"/>
          </w:tcPr>
          <w:p>
            <w:pPr>
              <w:spacing w:after="0"/>
              <w:rPr>
                <w:sz w:val="13"/>
                <w:szCs w:val="13"/>
                <w:color w:val="auto"/>
              </w:rPr>
            </w:pPr>
          </w:p>
        </w:tc>
        <w:tc>
          <w:tcPr>
            <w:tcW w:w="120" w:type="dxa"/>
            <w:vAlign w:val="bottom"/>
            <w:tcBorders>
              <w:top w:val="single" w:sz="8" w:color="auto"/>
            </w:tcBorders>
            <w:shd w:val="clear" w:color="auto" w:fill="D1EEF5"/>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D1EEF5"/>
            </w:tcBorders>
            <w:shd w:val="clear" w:color="auto" w:fill="D1EEF5"/>
          </w:tcPr>
          <w:p>
            <w:pPr>
              <w:spacing w:after="0"/>
              <w:rPr>
                <w:sz w:val="13"/>
                <w:szCs w:val="13"/>
                <w:color w:val="auto"/>
              </w:rPr>
            </w:pPr>
          </w:p>
        </w:tc>
      </w:tr>
      <w:tr>
        <w:trPr>
          <w:trHeight w:val="156"/>
        </w:trPr>
        <w:tc>
          <w:tcPr>
            <w:tcW w:w="16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2024</w:t>
            </w:r>
          </w:p>
        </w:tc>
        <w:tc>
          <w:tcPr>
            <w:tcW w:w="6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938</w:t>
            </w:r>
          </w:p>
        </w:tc>
        <w:tc>
          <w:tcPr>
            <w:tcW w:w="100" w:type="dxa"/>
            <w:vAlign w:val="bottom"/>
          </w:tcPr>
          <w:p>
            <w:pPr>
              <w:spacing w:after="0"/>
              <w:rPr>
                <w:sz w:val="13"/>
                <w:szCs w:val="13"/>
                <w:color w:val="auto"/>
              </w:rPr>
            </w:pPr>
          </w:p>
        </w:tc>
      </w:tr>
      <w:tr>
        <w:trPr>
          <w:trHeight w:val="156"/>
        </w:trPr>
        <w:tc>
          <w:tcPr>
            <w:tcW w:w="164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2025</w:t>
            </w:r>
          </w:p>
        </w:tc>
        <w:tc>
          <w:tcPr>
            <w:tcW w:w="6560" w:type="dxa"/>
            <w:vAlign w:val="bottom"/>
            <w:shd w:val="clear" w:color="auto" w:fill="D1EEF5"/>
          </w:tcPr>
          <w:p>
            <w:pPr>
              <w:spacing w:after="0"/>
              <w:rPr>
                <w:sz w:val="13"/>
                <w:szCs w:val="13"/>
                <w:color w:val="auto"/>
              </w:rPr>
            </w:pPr>
          </w:p>
        </w:tc>
        <w:tc>
          <w:tcPr>
            <w:tcW w:w="200" w:type="dxa"/>
            <w:vAlign w:val="bottom"/>
            <w:shd w:val="clear" w:color="auto" w:fill="D1EEF5"/>
          </w:tcPr>
          <w:p>
            <w:pPr>
              <w:spacing w:after="0"/>
              <w:rPr>
                <w:sz w:val="13"/>
                <w:szCs w:val="13"/>
                <w:color w:val="auto"/>
              </w:rPr>
            </w:pPr>
          </w:p>
        </w:tc>
        <w:tc>
          <w:tcPr>
            <w:tcW w:w="120" w:type="dxa"/>
            <w:vAlign w:val="bottom"/>
            <w:shd w:val="clear" w:color="auto" w:fill="D1EEF5"/>
          </w:tcPr>
          <w:p>
            <w:pPr>
              <w:spacing w:after="0"/>
              <w:rPr>
                <w:sz w:val="13"/>
                <w:szCs w:val="13"/>
                <w:color w:val="auto"/>
              </w:rPr>
            </w:pPr>
          </w:p>
        </w:tc>
        <w:tc>
          <w:tcPr>
            <w:tcW w:w="162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3,750</w:t>
            </w:r>
          </w:p>
        </w:tc>
        <w:tc>
          <w:tcPr>
            <w:tcW w:w="100" w:type="dxa"/>
            <w:vAlign w:val="bottom"/>
            <w:shd w:val="clear" w:color="auto" w:fill="D1EEF5"/>
          </w:tcPr>
          <w:p>
            <w:pPr>
              <w:spacing w:after="0"/>
              <w:rPr>
                <w:sz w:val="13"/>
                <w:szCs w:val="13"/>
                <w:color w:val="auto"/>
              </w:rPr>
            </w:pPr>
          </w:p>
        </w:tc>
      </w:tr>
      <w:tr>
        <w:trPr>
          <w:trHeight w:val="167"/>
        </w:trPr>
        <w:tc>
          <w:tcPr>
            <w:tcW w:w="1640" w:type="dxa"/>
            <w:vAlign w:val="bottom"/>
            <w:tcBorders>
              <w:bottom w:val="single" w:sz="8" w:color="D1EEF5"/>
            </w:tcBorders>
          </w:tcPr>
          <w:p>
            <w:pPr>
              <w:spacing w:after="0"/>
              <w:rPr>
                <w:sz w:val="20"/>
                <w:szCs w:val="20"/>
                <w:color w:val="auto"/>
              </w:rPr>
            </w:pPr>
            <w:r>
              <w:rPr>
                <w:rFonts w:ascii="Times New Roman" w:cs="Times New Roman" w:eastAsia="Times New Roman" w:hAnsi="Times New Roman"/>
                <w:sz w:val="14"/>
                <w:szCs w:val="14"/>
                <w:color w:val="auto"/>
              </w:rPr>
              <w:t>2026</w:t>
            </w:r>
          </w:p>
        </w:tc>
        <w:tc>
          <w:tcPr>
            <w:tcW w:w="6560" w:type="dxa"/>
            <w:vAlign w:val="bottom"/>
            <w:tcBorders>
              <w:bottom w:val="single" w:sz="8" w:color="D1EEF5"/>
            </w:tcBorders>
          </w:tcPr>
          <w:p>
            <w:pPr>
              <w:spacing w:after="0"/>
              <w:rPr>
                <w:sz w:val="14"/>
                <w:szCs w:val="14"/>
                <w:color w:val="auto"/>
              </w:rPr>
            </w:pPr>
          </w:p>
        </w:tc>
        <w:tc>
          <w:tcPr>
            <w:tcW w:w="200" w:type="dxa"/>
            <w:vAlign w:val="bottom"/>
            <w:tcBorders>
              <w:bottom w:val="single" w:sz="8" w:color="D1EEF5"/>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91,809</w:t>
            </w:r>
          </w:p>
        </w:tc>
        <w:tc>
          <w:tcPr>
            <w:tcW w:w="100" w:type="dxa"/>
            <w:vAlign w:val="bottom"/>
            <w:tcBorders>
              <w:bottom w:val="single" w:sz="8" w:color="D1EEF5"/>
            </w:tcBorders>
          </w:tcPr>
          <w:p>
            <w:pPr>
              <w:spacing w:after="0"/>
              <w:rPr>
                <w:sz w:val="14"/>
                <w:szCs w:val="14"/>
                <w:color w:val="auto"/>
              </w:rPr>
            </w:pPr>
          </w:p>
        </w:tc>
      </w:tr>
      <w:tr>
        <w:trPr>
          <w:trHeight w:val="156"/>
        </w:trPr>
        <w:tc>
          <w:tcPr>
            <w:tcW w:w="8200" w:type="dxa"/>
            <w:vAlign w:val="bottom"/>
            <w:gridSpan w:val="2"/>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Total</w:t>
            </w:r>
          </w:p>
        </w:tc>
        <w:tc>
          <w:tcPr>
            <w:tcW w:w="200" w:type="dxa"/>
            <w:vAlign w:val="bottom"/>
            <w:shd w:val="clear" w:color="auto" w:fill="D1EEF5"/>
          </w:tcPr>
          <w:p>
            <w:pPr>
              <w:spacing w:after="0"/>
              <w:rPr>
                <w:sz w:val="13"/>
                <w:szCs w:val="13"/>
                <w:color w:val="auto"/>
              </w:rPr>
            </w:pPr>
          </w:p>
        </w:tc>
        <w:tc>
          <w:tcPr>
            <w:tcW w:w="120" w:type="dxa"/>
            <w:vAlign w:val="bottom"/>
            <w:shd w:val="clear" w:color="auto" w:fill="D1EEF5"/>
          </w:tcPr>
          <w:p>
            <w:pPr>
              <w:spacing w:after="0"/>
              <w:rPr>
                <w:sz w:val="13"/>
                <w:szCs w:val="13"/>
                <w:color w:val="auto"/>
              </w:rPr>
            </w:pPr>
          </w:p>
        </w:tc>
        <w:tc>
          <w:tcPr>
            <w:tcW w:w="162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96,497</w:t>
            </w:r>
          </w:p>
        </w:tc>
        <w:tc>
          <w:tcPr>
            <w:tcW w:w="100" w:type="dxa"/>
            <w:vAlign w:val="bottom"/>
            <w:shd w:val="clear" w:color="auto" w:fill="D1EEF5"/>
          </w:tcPr>
          <w:p>
            <w:pPr>
              <w:spacing w:after="0"/>
              <w:rPr>
                <w:sz w:val="13"/>
                <w:szCs w:val="13"/>
                <w:color w:val="auto"/>
              </w:rPr>
            </w:pPr>
          </w:p>
        </w:tc>
      </w:tr>
      <w:tr>
        <w:trPr>
          <w:trHeight w:val="168"/>
        </w:trPr>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Estimated interest paid-in-kind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(20,305)</w:t>
            </w:r>
          </w:p>
        </w:tc>
      </w:tr>
      <w:tr>
        <w:trPr>
          <w:trHeight w:val="174"/>
        </w:trPr>
        <w:tc>
          <w:tcPr>
            <w:tcW w:w="8200" w:type="dxa"/>
            <w:vAlign w:val="bottom"/>
            <w:tcBorders>
              <w:top w:val="single" w:sz="8" w:color="D1EEF5"/>
              <w:bottom w:val="single" w:sz="8" w:color="D1EEF5"/>
            </w:tcBorders>
            <w:gridSpan w:val="2"/>
            <w:shd w:val="clear" w:color="auto" w:fill="D1EEF5"/>
          </w:tcPr>
          <w:p>
            <w:pPr>
              <w:spacing w:after="0" w:line="153" w:lineRule="exact"/>
              <w:rPr>
                <w:sz w:val="20"/>
                <w:szCs w:val="20"/>
                <w:color w:val="auto"/>
              </w:rPr>
            </w:pPr>
            <w:r>
              <w:rPr>
                <w:rFonts w:ascii="Times New Roman" w:cs="Times New Roman" w:eastAsia="Times New Roman" w:hAnsi="Times New Roman"/>
                <w:sz w:val="14"/>
                <w:szCs w:val="14"/>
                <w:color w:val="auto"/>
              </w:rPr>
              <w:t>Total debt</w:t>
            </w:r>
          </w:p>
        </w:tc>
        <w:tc>
          <w:tcPr>
            <w:tcW w:w="200" w:type="dxa"/>
            <w:vAlign w:val="bottom"/>
            <w:tcBorders>
              <w:top w:val="single" w:sz="8" w:color="D1EEF5"/>
              <w:bottom w:val="single" w:sz="8" w:color="D1EEF5"/>
            </w:tcBorders>
            <w:shd w:val="clear" w:color="auto" w:fill="D1EEF5"/>
          </w:tcPr>
          <w:p>
            <w:pPr>
              <w:spacing w:after="0"/>
              <w:rPr>
                <w:sz w:val="15"/>
                <w:szCs w:val="15"/>
                <w:color w:val="auto"/>
              </w:rPr>
            </w:pPr>
          </w:p>
        </w:tc>
        <w:tc>
          <w:tcPr>
            <w:tcW w:w="120" w:type="dxa"/>
            <w:vAlign w:val="bottom"/>
            <w:tcBorders>
              <w:top w:val="single" w:sz="8" w:color="auto"/>
              <w:bottom w:val="single" w:sz="8" w:color="auto"/>
            </w:tcBorders>
            <w:shd w:val="clear" w:color="auto" w:fill="D1EEF5"/>
          </w:tcPr>
          <w:p>
            <w:pPr>
              <w:spacing w:after="0"/>
              <w:rPr>
                <w:sz w:val="15"/>
                <w:szCs w:val="15"/>
                <w:color w:val="auto"/>
              </w:rPr>
            </w:pPr>
          </w:p>
        </w:tc>
        <w:tc>
          <w:tcPr>
            <w:tcW w:w="1620" w:type="dxa"/>
            <w:vAlign w:val="bottom"/>
            <w:tcBorders>
              <w:top w:val="single" w:sz="8" w:color="auto"/>
              <w:bottom w:val="single" w:sz="8" w:color="auto"/>
            </w:tcBorders>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76,192</w:t>
            </w:r>
          </w:p>
        </w:tc>
        <w:tc>
          <w:tcPr>
            <w:tcW w:w="100" w:type="dxa"/>
            <w:vAlign w:val="bottom"/>
            <w:tcBorders>
              <w:top w:val="single" w:sz="8" w:color="D1EEF5"/>
              <w:bottom w:val="single" w:sz="8" w:color="D1EEF5"/>
            </w:tcBorders>
            <w:shd w:val="clear" w:color="auto" w:fill="D1EEF5"/>
          </w:tcPr>
          <w:p>
            <w:pPr>
              <w:spacing w:after="0"/>
              <w:rPr>
                <w:sz w:val="15"/>
                <w:szCs w:val="15"/>
                <w:color w:val="auto"/>
              </w:rPr>
            </w:pPr>
          </w:p>
        </w:tc>
      </w:tr>
      <w:tr>
        <w:trPr>
          <w:trHeight w:val="144"/>
        </w:trPr>
        <w:tc>
          <w:tcPr>
            <w:tcW w:w="8200" w:type="dxa"/>
            <w:vAlign w:val="bottom"/>
            <w:tcBorders>
              <w:bottom w:val="single" w:sz="8" w:color="D1EEF5"/>
            </w:tcBorders>
            <w:gridSpan w:val="2"/>
          </w:tcPr>
          <w:p>
            <w:pPr>
              <w:spacing w:after="0" w:line="138" w:lineRule="exact"/>
              <w:rPr>
                <w:sz w:val="20"/>
                <w:szCs w:val="20"/>
                <w:color w:val="auto"/>
              </w:rPr>
            </w:pPr>
            <w:r>
              <w:rPr>
                <w:rFonts w:ascii="Times New Roman" w:cs="Times New Roman" w:eastAsia="Times New Roman" w:hAnsi="Times New Roman"/>
                <w:sz w:val="14"/>
                <w:szCs w:val="14"/>
                <w:color w:val="auto"/>
              </w:rPr>
              <w:t>Less: Unamortized debt issuance costs, non-current</w:t>
            </w:r>
          </w:p>
        </w:tc>
        <w:tc>
          <w:tcPr>
            <w:tcW w:w="200" w:type="dxa"/>
            <w:vAlign w:val="bottom"/>
            <w:tcBorders>
              <w:bottom w:val="single" w:sz="8" w:color="D1EEF5"/>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(56,950)</w:t>
            </w:r>
          </w:p>
        </w:tc>
        <w:tc>
          <w:tcPr>
            <w:tcW w:w="100" w:type="dxa"/>
            <w:vAlign w:val="bottom"/>
            <w:tcBorders>
              <w:bottom w:val="single" w:sz="8" w:color="D1EEF5"/>
            </w:tcBorders>
          </w:tcPr>
          <w:p>
            <w:pPr>
              <w:spacing w:after="0"/>
              <w:rPr>
                <w:sz w:val="12"/>
                <w:szCs w:val="12"/>
                <w:color w:val="auto"/>
              </w:rPr>
            </w:pPr>
          </w:p>
        </w:tc>
      </w:tr>
      <w:tr>
        <w:trPr>
          <w:trHeight w:val="161"/>
        </w:trPr>
        <w:tc>
          <w:tcPr>
            <w:tcW w:w="8200" w:type="dxa"/>
            <w:vAlign w:val="bottom"/>
            <w:tcBorders>
              <w:bottom w:val="single" w:sz="8" w:color="D1EEF5"/>
            </w:tcBorders>
            <w:gridSpan w:val="2"/>
            <w:shd w:val="clear" w:color="auto" w:fill="D1EEF5"/>
          </w:tcPr>
          <w:p>
            <w:pPr>
              <w:spacing w:after="0" w:line="139" w:lineRule="exact"/>
              <w:rPr>
                <w:sz w:val="20"/>
                <w:szCs w:val="20"/>
                <w:color w:val="auto"/>
              </w:rPr>
            </w:pPr>
            <w:r>
              <w:rPr>
                <w:rFonts w:ascii="Times New Roman" w:cs="Times New Roman" w:eastAsia="Times New Roman" w:hAnsi="Times New Roman"/>
                <w:sz w:val="14"/>
                <w:szCs w:val="14"/>
                <w:color w:val="auto"/>
              </w:rPr>
              <w:t>Total carrying amount</w:t>
            </w:r>
          </w:p>
        </w:tc>
        <w:tc>
          <w:tcPr>
            <w:tcW w:w="200" w:type="dxa"/>
            <w:vAlign w:val="bottom"/>
            <w:tcBorders>
              <w:bottom w:val="single" w:sz="8" w:color="D1EEF5"/>
            </w:tcBorders>
            <w:shd w:val="clear" w:color="auto" w:fill="D1EEF5"/>
          </w:tcPr>
          <w:p>
            <w:pPr>
              <w:spacing w:after="0"/>
              <w:rPr>
                <w:sz w:val="13"/>
                <w:szCs w:val="13"/>
                <w:color w:val="auto"/>
              </w:rPr>
            </w:pPr>
          </w:p>
        </w:tc>
        <w:tc>
          <w:tcPr>
            <w:tcW w:w="120" w:type="dxa"/>
            <w:vAlign w:val="bottom"/>
            <w:tcBorders>
              <w:bottom w:val="single" w:sz="8" w:color="auto"/>
            </w:tcBorders>
            <w:shd w:val="clear" w:color="auto" w:fill="D1EEF5"/>
          </w:tcPr>
          <w:p>
            <w:pPr>
              <w:spacing w:after="0"/>
              <w:rPr>
                <w:sz w:val="13"/>
                <w:szCs w:val="13"/>
                <w:color w:val="auto"/>
              </w:rPr>
            </w:pPr>
          </w:p>
        </w:tc>
        <w:tc>
          <w:tcPr>
            <w:tcW w:w="1620" w:type="dxa"/>
            <w:vAlign w:val="bottom"/>
            <w:tcBorders>
              <w:bottom w:val="single" w:sz="8" w:color="auto"/>
            </w:tcBorders>
            <w:shd w:val="clear" w:color="auto" w:fill="D1EEF5"/>
          </w:tcPr>
          <w:p>
            <w:pPr>
              <w:jc w:val="right"/>
              <w:spacing w:after="0" w:line="139" w:lineRule="exact"/>
              <w:rPr>
                <w:sz w:val="20"/>
                <w:szCs w:val="20"/>
                <w:color w:val="auto"/>
              </w:rPr>
            </w:pPr>
            <w:r>
              <w:rPr>
                <w:rFonts w:ascii="Times New Roman" w:cs="Times New Roman" w:eastAsia="Times New Roman" w:hAnsi="Times New Roman"/>
                <w:sz w:val="14"/>
                <w:szCs w:val="14"/>
                <w:color w:val="auto"/>
              </w:rPr>
              <w:t>19,242</w:t>
            </w:r>
          </w:p>
        </w:tc>
        <w:tc>
          <w:tcPr>
            <w:tcW w:w="100" w:type="dxa"/>
            <w:vAlign w:val="bottom"/>
            <w:tcBorders>
              <w:bottom w:val="single" w:sz="8" w:color="D1EEF5"/>
            </w:tcBorders>
            <w:shd w:val="clear" w:color="auto" w:fill="D1EEF5"/>
          </w:tcPr>
          <w:p>
            <w:pPr>
              <w:spacing w:after="0"/>
              <w:rPr>
                <w:sz w:val="13"/>
                <w:szCs w:val="13"/>
                <w:color w:val="auto"/>
              </w:rPr>
            </w:pPr>
          </w:p>
        </w:tc>
      </w:tr>
      <w:tr>
        <w:trPr>
          <w:trHeight w:val="158"/>
        </w:trPr>
        <w:tc>
          <w:tcPr>
            <w:tcW w:w="8200" w:type="dxa"/>
            <w:vAlign w:val="bottom"/>
            <w:tcBorders>
              <w:bottom w:val="single" w:sz="8" w:color="D1EEF5"/>
            </w:tcBorders>
            <w:gridSpan w:val="2"/>
          </w:tcPr>
          <w:p>
            <w:pPr>
              <w:spacing w:after="0" w:line="137" w:lineRule="exact"/>
              <w:rPr>
                <w:sz w:val="20"/>
                <w:szCs w:val="20"/>
                <w:color w:val="auto"/>
              </w:rPr>
            </w:pPr>
            <w:r>
              <w:rPr>
                <w:rFonts w:ascii="Times New Roman" w:cs="Times New Roman" w:eastAsia="Times New Roman" w:hAnsi="Times New Roman"/>
                <w:sz w:val="14"/>
                <w:szCs w:val="14"/>
                <w:color w:val="auto"/>
              </w:rPr>
              <w:t>Less: current portion of debt</w:t>
            </w:r>
          </w:p>
        </w:tc>
        <w:tc>
          <w:tcPr>
            <w:tcW w:w="200" w:type="dxa"/>
            <w:vAlign w:val="bottom"/>
            <w:tcBorders>
              <w:bottom w:val="single" w:sz="8" w:color="D1EEF5"/>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(19,242</w:t>
            </w:r>
          </w:p>
        </w:tc>
        <w:tc>
          <w:tcPr>
            <w:tcW w:w="100" w:type="dxa"/>
            <w:vAlign w:val="bottom"/>
            <w:tcBorders>
              <w:bottom w:val="single" w:sz="8" w:color="D1EEF5"/>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170"/>
        </w:trPr>
        <w:tc>
          <w:tcPr>
            <w:tcW w:w="8200" w:type="dxa"/>
            <w:vAlign w:val="bottom"/>
            <w:gridSpan w:val="2"/>
            <w:shd w:val="clear" w:color="auto" w:fill="D1EEF5"/>
          </w:tcPr>
          <w:p>
            <w:pPr>
              <w:spacing w:after="0"/>
              <w:rPr>
                <w:sz w:val="20"/>
                <w:szCs w:val="20"/>
                <w:color w:val="auto"/>
              </w:rPr>
            </w:pPr>
            <w:r>
              <w:rPr>
                <w:rFonts w:ascii="Times New Roman" w:cs="Times New Roman" w:eastAsia="Times New Roman" w:hAnsi="Times New Roman"/>
                <w:sz w:val="14"/>
                <w:szCs w:val="14"/>
                <w:color w:val="auto"/>
              </w:rPr>
              <w:t>Total long-term debt</w:t>
            </w:r>
          </w:p>
        </w:tc>
        <w:tc>
          <w:tcPr>
            <w:tcW w:w="200" w:type="dxa"/>
            <w:vAlign w:val="bottom"/>
            <w:shd w:val="clear" w:color="auto" w:fill="D1EEF5"/>
          </w:tcPr>
          <w:p>
            <w:pPr>
              <w:spacing w:after="0"/>
              <w:rPr>
                <w:sz w:val="14"/>
                <w:szCs w:val="14"/>
                <w:color w:val="auto"/>
              </w:rPr>
            </w:pPr>
          </w:p>
        </w:tc>
        <w:tc>
          <w:tcPr>
            <w:tcW w:w="120" w:type="dxa"/>
            <w:vAlign w:val="bottom"/>
            <w:shd w:val="clear" w:color="auto" w:fill="D1EEF5"/>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EF5"/>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5318760</wp:posOffset>
            </wp:positionH>
            <wp:positionV relativeFrom="paragraph">
              <wp:posOffset>-23495</wp:posOffset>
            </wp:positionV>
            <wp:extent cx="1134745" cy="488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38">
                      <a:extLst>
                        <a:ext uri="{28A0092B-C50C-407E-A947-70E740481C1C}"/>
                      </a:extLst>
                    </a:blip>
                    <a:srcRect/>
                    <a:stretch>
                      <a:fillRect/>
                    </a:stretch>
                  </pic:blipFill>
                  <pic:spPr bwMode="auto">
                    <a:xfrm>
                      <a:off x="0" y="0"/>
                      <a:ext cx="1134745" cy="48895"/>
                    </a:xfrm>
                    <a:prstGeom prst="rect">
                      <a:avLst/>
                    </a:prstGeom>
                    <a:noFill/>
                  </pic:spPr>
                </pic:pic>
              </a:graphicData>
            </a:graphic>
          </wp:anchor>
        </w:drawing>
      </w:r>
    </w:p>
    <w:p>
      <w:pPr>
        <w:spacing w:after="0" w:line="1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 The Company concluded it is probable it will not comply with future financial covenants. As a result, the Company classified the entire Term Loan balance in current liabilities on the balance sheet as of December 31, 2022.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REVOLVING NOTE AGREEMENT</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On October 6, 2021, the Company entered into a revolving note agreement with a lender to borrow up to $8,000. The borrowing amount is limited and based on the lesser of maximum principal amount of $8,000 and the sum equal to 80% of eligible accounts receivable and 50% of eligible inventory. Interest on each advance shall accrue at the prime rate announced by US Bank from time to time, as and when such rate changes. The revolving credit amount is collateralized by all assets of the Company. The Company drew an initial amount of $5,000 under the facility, which it subsequently re-paid and the revolving note was terminated as a closing condition of the 2021-6 Notes.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15240</wp:posOffset>
                </wp:positionV>
                <wp:extent cx="6509385"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2pt" to="512.25pt,1.2pt" o:allowincell="f" strokecolor="#000000" strokeweight="1.26pt"/>
            </w:pict>
          </mc:Fallback>
        </mc:AlternateContent>
      </w:r>
    </w:p>
    <w:p>
      <w:pPr>
        <w:sectPr>
          <w:pgSz w:w="12240" w:h="15840" w:orient="portrait"/>
          <w:cols w:equalWidth="0" w:num="1">
            <w:col w:w="10240"/>
          </w:cols>
          <w:pgMar w:left="1000" w:top="1203" w:right="1000"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9 - INCOME TAXES</w:t>
            </w: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09"/>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income tax expense consists of the following items:</w:t>
            </w: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8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2022</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24"/>
                <w:szCs w:val="24"/>
                <w:color w:val="auto"/>
              </w:rPr>
            </w:pPr>
          </w:p>
        </w:tc>
      </w:tr>
      <w:tr>
        <w:trPr>
          <w:trHeight w:val="151"/>
        </w:trPr>
        <w:tc>
          <w:tcPr>
            <w:tcW w:w="480" w:type="dxa"/>
            <w:vAlign w:val="bottom"/>
          </w:tcPr>
          <w:p>
            <w:pPr>
              <w:spacing w:after="0"/>
              <w:rPr>
                <w:sz w:val="13"/>
                <w:szCs w:val="13"/>
                <w:color w:val="auto"/>
              </w:rPr>
            </w:pPr>
          </w:p>
        </w:tc>
        <w:tc>
          <w:tcPr>
            <w:tcW w:w="4140" w:type="dxa"/>
            <w:vAlign w:val="bottom"/>
            <w:tcBorders>
              <w:top w:val="single" w:sz="8" w:color="D1EEF5"/>
            </w:tcBorders>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auto"/>
              </w:rPr>
              <w:t>Current</w:t>
            </w:r>
          </w:p>
        </w:tc>
        <w:tc>
          <w:tcPr>
            <w:tcW w:w="1280" w:type="dxa"/>
            <w:vAlign w:val="bottom"/>
            <w:tcBorders>
              <w:top w:val="single" w:sz="8" w:color="D1EEF5"/>
            </w:tcBorders>
            <w:shd w:val="clear" w:color="auto" w:fill="D1EEF5"/>
          </w:tcPr>
          <w:p>
            <w:pPr>
              <w:spacing w:after="0"/>
              <w:rPr>
                <w:sz w:val="13"/>
                <w:szCs w:val="13"/>
                <w:color w:val="auto"/>
              </w:rPr>
            </w:pPr>
          </w:p>
        </w:tc>
        <w:tc>
          <w:tcPr>
            <w:tcW w:w="800" w:type="dxa"/>
            <w:vAlign w:val="bottom"/>
            <w:tcBorders>
              <w:top w:val="single" w:sz="8" w:color="auto"/>
            </w:tcBorders>
            <w:shd w:val="clear" w:color="auto" w:fill="D1EEF5"/>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(257)</w:t>
            </w:r>
          </w:p>
        </w:tc>
        <w:tc>
          <w:tcPr>
            <w:tcW w:w="140" w:type="dxa"/>
            <w:vAlign w:val="bottom"/>
            <w:tcBorders>
              <w:top w:val="single" w:sz="8" w:color="D1EEF5"/>
            </w:tcBorders>
            <w:shd w:val="clear" w:color="auto" w:fill="D1EEF5"/>
          </w:tcPr>
          <w:p>
            <w:pPr>
              <w:spacing w:after="0"/>
              <w:rPr>
                <w:sz w:val="13"/>
                <w:szCs w:val="13"/>
                <w:color w:val="auto"/>
              </w:rPr>
            </w:pPr>
          </w:p>
        </w:tc>
        <w:tc>
          <w:tcPr>
            <w:tcW w:w="120" w:type="dxa"/>
            <w:vAlign w:val="bottom"/>
            <w:tcBorders>
              <w:top w:val="single" w:sz="8" w:color="D1EEF5"/>
            </w:tcBorders>
            <w:shd w:val="clear" w:color="auto" w:fill="D1EEF5"/>
          </w:tcPr>
          <w:p>
            <w:pPr>
              <w:spacing w:after="0"/>
              <w:rPr>
                <w:sz w:val="13"/>
                <w:szCs w:val="13"/>
                <w:color w:val="auto"/>
              </w:rPr>
            </w:pPr>
          </w:p>
        </w:tc>
        <w:tc>
          <w:tcPr>
            <w:tcW w:w="260" w:type="dxa"/>
            <w:vAlign w:val="bottom"/>
            <w:tcBorders>
              <w:top w:val="single" w:sz="8" w:color="auto"/>
            </w:tcBorders>
            <w:shd w:val="clear" w:color="auto" w:fill="D1EEF5"/>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1,489</w:t>
            </w:r>
          </w:p>
        </w:tc>
        <w:tc>
          <w:tcPr>
            <w:tcW w:w="80" w:type="dxa"/>
            <w:vAlign w:val="bottom"/>
            <w:tcBorders>
              <w:top w:val="single" w:sz="8" w:color="D1EEF5"/>
            </w:tcBorders>
            <w:shd w:val="clear" w:color="auto" w:fill="D1EEF5"/>
          </w:tcPr>
          <w:p>
            <w:pPr>
              <w:spacing w:after="0"/>
              <w:rPr>
                <w:sz w:val="13"/>
                <w:szCs w:val="13"/>
                <w:color w:val="auto"/>
              </w:rPr>
            </w:pPr>
          </w:p>
        </w:tc>
      </w:tr>
      <w:tr>
        <w:trPr>
          <w:trHeight w:val="176"/>
        </w:trPr>
        <w:tc>
          <w:tcPr>
            <w:tcW w:w="480" w:type="dxa"/>
            <w:vAlign w:val="bottom"/>
          </w:tcPr>
          <w:p>
            <w:pPr>
              <w:spacing w:after="0"/>
              <w:rPr>
                <w:sz w:val="15"/>
                <w:szCs w:val="15"/>
                <w:color w:val="auto"/>
              </w:rPr>
            </w:pPr>
          </w:p>
        </w:tc>
        <w:tc>
          <w:tcPr>
            <w:tcW w:w="4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Deferred</w:t>
            </w:r>
          </w:p>
        </w:tc>
        <w:tc>
          <w:tcPr>
            <w:tcW w:w="1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(452)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5"/>
                <w:szCs w:val="15"/>
                <w:color w:val="auto"/>
              </w:rPr>
            </w:pPr>
          </w:p>
        </w:tc>
      </w:tr>
      <w:tr>
        <w:trPr>
          <w:trHeight w:val="171"/>
        </w:trPr>
        <w:tc>
          <w:tcPr>
            <w:tcW w:w="480" w:type="dxa"/>
            <w:vAlign w:val="bottom"/>
          </w:tcPr>
          <w:p>
            <w:pPr>
              <w:spacing w:after="0"/>
              <w:rPr>
                <w:sz w:val="14"/>
                <w:szCs w:val="14"/>
                <w:color w:val="auto"/>
              </w:rPr>
            </w:pPr>
          </w:p>
        </w:tc>
        <w:tc>
          <w:tcPr>
            <w:tcW w:w="414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Total tax expense</w:t>
            </w:r>
          </w:p>
        </w:tc>
        <w:tc>
          <w:tcPr>
            <w:tcW w:w="1280" w:type="dxa"/>
            <w:vAlign w:val="bottom"/>
            <w:tcBorders>
              <w:top w:val="single" w:sz="8" w:color="D1EEF5"/>
            </w:tcBorders>
            <w:shd w:val="clear" w:color="auto" w:fill="D1EEF5"/>
          </w:tcPr>
          <w:p>
            <w:pPr>
              <w:spacing w:after="0"/>
              <w:rPr>
                <w:sz w:val="14"/>
                <w:szCs w:val="14"/>
                <w:color w:val="auto"/>
              </w:rPr>
            </w:pPr>
          </w:p>
        </w:tc>
        <w:tc>
          <w:tcPr>
            <w:tcW w:w="800" w:type="dxa"/>
            <w:vAlign w:val="bottom"/>
            <w:tcBorders>
              <w:top w:val="single" w:sz="8" w:color="auto"/>
            </w:tcBorders>
            <w:shd w:val="clear" w:color="auto" w:fill="D1EEF5"/>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40" w:type="dxa"/>
            <w:vAlign w:val="bottom"/>
            <w:tcBorders>
              <w:top w:val="single" w:sz="8" w:color="D1EEF5"/>
            </w:tcBorders>
            <w:shd w:val="clear" w:color="auto" w:fill="D1EEF5"/>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D1EEF5"/>
            </w:tcBorders>
            <w:shd w:val="clear" w:color="auto" w:fill="D1EEF5"/>
          </w:tcPr>
          <w:p>
            <w:pPr>
              <w:spacing w:after="0"/>
              <w:rPr>
                <w:sz w:val="14"/>
                <w:szCs w:val="14"/>
                <w:color w:val="auto"/>
              </w:rPr>
            </w:pPr>
          </w:p>
        </w:tc>
        <w:tc>
          <w:tcPr>
            <w:tcW w:w="260" w:type="dxa"/>
            <w:vAlign w:val="bottom"/>
            <w:tcBorders>
              <w:top w:val="single" w:sz="8" w:color="auto"/>
            </w:tcBorders>
            <w:shd w:val="clear" w:color="auto" w:fill="D1EEF5"/>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80" w:type="dxa"/>
            <w:vAlign w:val="bottom"/>
            <w:tcBorders>
              <w:top w:val="single" w:sz="8" w:color="D1EEF5"/>
            </w:tcBorders>
            <w:shd w:val="clear" w:color="auto" w:fill="D1EEF5"/>
          </w:tcPr>
          <w:p>
            <w:pPr>
              <w:spacing w:after="0"/>
              <w:rPr>
                <w:sz w:val="14"/>
                <w:szCs w:val="14"/>
                <w:color w:val="auto"/>
              </w:rPr>
            </w:pPr>
          </w:p>
        </w:tc>
      </w:tr>
      <w:tr>
        <w:trPr>
          <w:trHeight w:val="334"/>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Components of deferred tax assets (liabilities) are as follows:</w:t>
            </w: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8"/>
        </w:trPr>
        <w:tc>
          <w:tcPr>
            <w:tcW w:w="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8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2022</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24"/>
                <w:szCs w:val="24"/>
                <w:color w:val="auto"/>
              </w:rPr>
            </w:pPr>
          </w:p>
        </w:tc>
      </w:tr>
      <w:tr>
        <w:trPr>
          <w:trHeight w:val="147"/>
        </w:trPr>
        <w:tc>
          <w:tcPr>
            <w:tcW w:w="480" w:type="dxa"/>
            <w:vAlign w:val="bottom"/>
          </w:tcPr>
          <w:p>
            <w:pPr>
              <w:spacing w:after="0"/>
              <w:rPr>
                <w:sz w:val="12"/>
                <w:szCs w:val="12"/>
                <w:color w:val="auto"/>
              </w:rPr>
            </w:pPr>
          </w:p>
        </w:tc>
        <w:tc>
          <w:tcPr>
            <w:tcW w:w="4140" w:type="dxa"/>
            <w:vAlign w:val="bottom"/>
            <w:tcBorders>
              <w:top w:val="single" w:sz="8" w:color="D1EEF5"/>
            </w:tcBorders>
            <w:shd w:val="clear" w:color="auto" w:fill="D1EEF5"/>
          </w:tcPr>
          <w:p>
            <w:pPr>
              <w:spacing w:after="0" w:line="147" w:lineRule="exact"/>
              <w:rPr>
                <w:sz w:val="20"/>
                <w:szCs w:val="20"/>
                <w:color w:val="auto"/>
              </w:rPr>
            </w:pPr>
            <w:r>
              <w:rPr>
                <w:rFonts w:ascii="Times New Roman" w:cs="Times New Roman" w:eastAsia="Times New Roman" w:hAnsi="Times New Roman"/>
                <w:sz w:val="14"/>
                <w:szCs w:val="14"/>
                <w:color w:val="auto"/>
              </w:rPr>
              <w:t>Deferred tax assets:</w:t>
            </w:r>
          </w:p>
        </w:tc>
        <w:tc>
          <w:tcPr>
            <w:tcW w:w="1280" w:type="dxa"/>
            <w:vAlign w:val="bottom"/>
            <w:tcBorders>
              <w:top w:val="single" w:sz="8" w:color="D1EEF5"/>
            </w:tcBorders>
            <w:shd w:val="clear" w:color="auto" w:fill="D1EEF5"/>
          </w:tcPr>
          <w:p>
            <w:pPr>
              <w:spacing w:after="0"/>
              <w:rPr>
                <w:sz w:val="12"/>
                <w:szCs w:val="12"/>
                <w:color w:val="auto"/>
              </w:rPr>
            </w:pPr>
          </w:p>
        </w:tc>
        <w:tc>
          <w:tcPr>
            <w:tcW w:w="800" w:type="dxa"/>
            <w:vAlign w:val="bottom"/>
            <w:tcBorders>
              <w:top w:val="single" w:sz="8" w:color="auto"/>
            </w:tcBorders>
            <w:shd w:val="clear" w:color="auto" w:fill="D1EEF5"/>
          </w:tcPr>
          <w:p>
            <w:pPr>
              <w:spacing w:after="0"/>
              <w:rPr>
                <w:sz w:val="12"/>
                <w:szCs w:val="12"/>
                <w:color w:val="auto"/>
              </w:rPr>
            </w:pPr>
          </w:p>
        </w:tc>
        <w:tc>
          <w:tcPr>
            <w:tcW w:w="420" w:type="dxa"/>
            <w:vAlign w:val="bottom"/>
            <w:tcBorders>
              <w:top w:val="single" w:sz="8" w:color="auto"/>
            </w:tcBorders>
            <w:shd w:val="clear" w:color="auto" w:fill="D1EEF5"/>
          </w:tcPr>
          <w:p>
            <w:pPr>
              <w:spacing w:after="0"/>
              <w:rPr>
                <w:sz w:val="12"/>
                <w:szCs w:val="12"/>
                <w:color w:val="auto"/>
              </w:rPr>
            </w:pPr>
          </w:p>
        </w:tc>
        <w:tc>
          <w:tcPr>
            <w:tcW w:w="140" w:type="dxa"/>
            <w:vAlign w:val="bottom"/>
            <w:tcBorders>
              <w:top w:val="single" w:sz="8" w:color="D1EEF5"/>
            </w:tcBorders>
            <w:shd w:val="clear" w:color="auto" w:fill="D1EEF5"/>
          </w:tcPr>
          <w:p>
            <w:pPr>
              <w:spacing w:after="0"/>
              <w:rPr>
                <w:sz w:val="12"/>
                <w:szCs w:val="12"/>
                <w:color w:val="auto"/>
              </w:rPr>
            </w:pPr>
          </w:p>
        </w:tc>
        <w:tc>
          <w:tcPr>
            <w:tcW w:w="120" w:type="dxa"/>
            <w:vAlign w:val="bottom"/>
            <w:tcBorders>
              <w:top w:val="single" w:sz="8" w:color="D1EEF5"/>
            </w:tcBorders>
            <w:shd w:val="clear" w:color="auto" w:fill="D1EEF5"/>
          </w:tcPr>
          <w:p>
            <w:pPr>
              <w:spacing w:after="0"/>
              <w:rPr>
                <w:sz w:val="12"/>
                <w:szCs w:val="12"/>
                <w:color w:val="auto"/>
              </w:rPr>
            </w:pPr>
          </w:p>
        </w:tc>
        <w:tc>
          <w:tcPr>
            <w:tcW w:w="260" w:type="dxa"/>
            <w:vAlign w:val="bottom"/>
            <w:tcBorders>
              <w:top w:val="single" w:sz="8" w:color="auto"/>
            </w:tcBorders>
            <w:shd w:val="clear" w:color="auto" w:fill="D1EEF5"/>
          </w:tcPr>
          <w:p>
            <w:pPr>
              <w:spacing w:after="0"/>
              <w:rPr>
                <w:sz w:val="12"/>
                <w:szCs w:val="12"/>
                <w:color w:val="auto"/>
              </w:rPr>
            </w:pPr>
          </w:p>
        </w:tc>
        <w:tc>
          <w:tcPr>
            <w:tcW w:w="960" w:type="dxa"/>
            <w:vAlign w:val="bottom"/>
            <w:tcBorders>
              <w:top w:val="single" w:sz="8" w:color="auto"/>
            </w:tcBorders>
            <w:shd w:val="clear" w:color="auto" w:fill="D1EEF5"/>
          </w:tcPr>
          <w:p>
            <w:pPr>
              <w:spacing w:after="0"/>
              <w:rPr>
                <w:sz w:val="12"/>
                <w:szCs w:val="12"/>
                <w:color w:val="auto"/>
              </w:rPr>
            </w:pPr>
          </w:p>
        </w:tc>
        <w:tc>
          <w:tcPr>
            <w:tcW w:w="80" w:type="dxa"/>
            <w:vAlign w:val="bottom"/>
            <w:tcBorders>
              <w:top w:val="single" w:sz="8" w:color="D1EEF5"/>
            </w:tcBorders>
            <w:shd w:val="clear" w:color="auto" w:fill="D1EEF5"/>
          </w:tcPr>
          <w:p>
            <w:pPr>
              <w:spacing w:after="0"/>
              <w:rPr>
                <w:sz w:val="12"/>
                <w:szCs w:val="12"/>
                <w:color w:val="auto"/>
              </w:rPr>
            </w:pPr>
          </w:p>
        </w:tc>
      </w:tr>
      <w:tr>
        <w:trPr>
          <w:trHeight w:val="156"/>
        </w:trPr>
        <w:tc>
          <w:tcPr>
            <w:tcW w:w="480" w:type="dxa"/>
            <w:vAlign w:val="bottom"/>
          </w:tcPr>
          <w:p>
            <w:pPr>
              <w:spacing w:after="0"/>
              <w:rPr>
                <w:sz w:val="13"/>
                <w:szCs w:val="13"/>
                <w:color w:val="auto"/>
              </w:rPr>
            </w:pPr>
          </w:p>
        </w:tc>
        <w:tc>
          <w:tcPr>
            <w:tcW w:w="41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Lease liability</w:t>
            </w:r>
          </w:p>
        </w:tc>
        <w:tc>
          <w:tcPr>
            <w:tcW w:w="2080" w:type="dxa"/>
            <w:vAlign w:val="bottom"/>
            <w:gridSpan w:val="2"/>
          </w:tcPr>
          <w:p>
            <w:pPr>
              <w:jc w:val="right"/>
              <w:ind w:right="684"/>
              <w:spacing w:after="0" w:line="156"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1,071</w:t>
            </w:r>
          </w:p>
        </w:tc>
        <w:tc>
          <w:tcPr>
            <w:tcW w:w="380" w:type="dxa"/>
            <w:vAlign w:val="bottom"/>
            <w:gridSpan w:val="2"/>
          </w:tcPr>
          <w:p>
            <w:pPr>
              <w:jc w:val="right"/>
              <w:ind w:right="144"/>
              <w:spacing w:after="0" w:line="15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1,221</w:t>
            </w:r>
          </w:p>
        </w:tc>
        <w:tc>
          <w:tcPr>
            <w:tcW w:w="80" w:type="dxa"/>
            <w:vAlign w:val="bottom"/>
          </w:tcPr>
          <w:p>
            <w:pPr>
              <w:spacing w:after="0"/>
              <w:rPr>
                <w:sz w:val="13"/>
                <w:szCs w:val="13"/>
                <w:color w:val="auto"/>
              </w:rPr>
            </w:pPr>
          </w:p>
        </w:tc>
      </w:tr>
      <w:tr>
        <w:trPr>
          <w:trHeight w:val="156"/>
        </w:trPr>
        <w:tc>
          <w:tcPr>
            <w:tcW w:w="480" w:type="dxa"/>
            <w:vAlign w:val="bottom"/>
          </w:tcPr>
          <w:p>
            <w:pPr>
              <w:spacing w:after="0"/>
              <w:rPr>
                <w:sz w:val="13"/>
                <w:szCs w:val="13"/>
                <w:color w:val="auto"/>
              </w:rPr>
            </w:pPr>
          </w:p>
        </w:tc>
        <w:tc>
          <w:tcPr>
            <w:tcW w:w="414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Stock based compensation</w:t>
            </w:r>
          </w:p>
        </w:tc>
        <w:tc>
          <w:tcPr>
            <w:tcW w:w="1280" w:type="dxa"/>
            <w:vAlign w:val="bottom"/>
            <w:shd w:val="clear" w:color="auto" w:fill="D1EEF5"/>
          </w:tcPr>
          <w:p>
            <w:pPr>
              <w:spacing w:after="0"/>
              <w:rPr>
                <w:sz w:val="13"/>
                <w:szCs w:val="13"/>
                <w:color w:val="auto"/>
              </w:rPr>
            </w:pPr>
          </w:p>
        </w:tc>
        <w:tc>
          <w:tcPr>
            <w:tcW w:w="800" w:type="dxa"/>
            <w:vAlign w:val="bottom"/>
            <w:shd w:val="clear" w:color="auto" w:fill="D1EEF5"/>
          </w:tcPr>
          <w:p>
            <w:pPr>
              <w:spacing w:after="0"/>
              <w:rPr>
                <w:sz w:val="13"/>
                <w:szCs w:val="13"/>
                <w:color w:val="auto"/>
              </w:rPr>
            </w:pPr>
          </w:p>
        </w:tc>
        <w:tc>
          <w:tcPr>
            <w:tcW w:w="560" w:type="dxa"/>
            <w:vAlign w:val="bottom"/>
            <w:gridSpan w:val="2"/>
            <w:shd w:val="clear" w:color="auto" w:fill="D1EEF5"/>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D1EEF5"/>
          </w:tcPr>
          <w:p>
            <w:pPr>
              <w:spacing w:after="0"/>
              <w:rPr>
                <w:sz w:val="13"/>
                <w:szCs w:val="13"/>
                <w:color w:val="auto"/>
              </w:rPr>
            </w:pPr>
          </w:p>
        </w:tc>
        <w:tc>
          <w:tcPr>
            <w:tcW w:w="260" w:type="dxa"/>
            <w:vAlign w:val="bottom"/>
            <w:shd w:val="clear" w:color="auto" w:fill="D1EEF5"/>
          </w:tcPr>
          <w:p>
            <w:pPr>
              <w:spacing w:after="0"/>
              <w:rPr>
                <w:sz w:val="13"/>
                <w:szCs w:val="13"/>
                <w:color w:val="auto"/>
              </w:rPr>
            </w:pPr>
          </w:p>
        </w:tc>
        <w:tc>
          <w:tcPr>
            <w:tcW w:w="96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D1EEF5"/>
          </w:tcPr>
          <w:p>
            <w:pPr>
              <w:spacing w:after="0"/>
              <w:rPr>
                <w:sz w:val="13"/>
                <w:szCs w:val="13"/>
                <w:color w:val="auto"/>
              </w:rPr>
            </w:pPr>
          </w:p>
        </w:tc>
      </w:tr>
      <w:tr>
        <w:trPr>
          <w:trHeight w:val="156"/>
        </w:trPr>
        <w:tc>
          <w:tcPr>
            <w:tcW w:w="480" w:type="dxa"/>
            <w:vAlign w:val="bottom"/>
          </w:tcPr>
          <w:p>
            <w:pPr>
              <w:spacing w:after="0"/>
              <w:rPr>
                <w:sz w:val="13"/>
                <w:szCs w:val="13"/>
                <w:color w:val="auto"/>
              </w:rPr>
            </w:pPr>
          </w:p>
        </w:tc>
        <w:tc>
          <w:tcPr>
            <w:tcW w:w="41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Accrued expenses</w:t>
            </w: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506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r>
      <w:tr>
        <w:trPr>
          <w:trHeight w:val="157"/>
        </w:trPr>
        <w:tc>
          <w:tcPr>
            <w:tcW w:w="480" w:type="dxa"/>
            <w:vAlign w:val="bottom"/>
          </w:tcPr>
          <w:p>
            <w:pPr>
              <w:spacing w:after="0"/>
              <w:rPr>
                <w:sz w:val="13"/>
                <w:szCs w:val="13"/>
                <w:color w:val="auto"/>
              </w:rPr>
            </w:pPr>
          </w:p>
        </w:tc>
        <w:tc>
          <w:tcPr>
            <w:tcW w:w="414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Allowance for bad debt</w:t>
            </w:r>
          </w:p>
        </w:tc>
        <w:tc>
          <w:tcPr>
            <w:tcW w:w="1280" w:type="dxa"/>
            <w:vAlign w:val="bottom"/>
            <w:shd w:val="clear" w:color="auto" w:fill="D1EEF5"/>
          </w:tcPr>
          <w:p>
            <w:pPr>
              <w:spacing w:after="0"/>
              <w:rPr>
                <w:sz w:val="13"/>
                <w:szCs w:val="13"/>
                <w:color w:val="auto"/>
              </w:rPr>
            </w:pPr>
          </w:p>
        </w:tc>
        <w:tc>
          <w:tcPr>
            <w:tcW w:w="800" w:type="dxa"/>
            <w:vAlign w:val="bottom"/>
            <w:shd w:val="clear" w:color="auto" w:fill="D1EEF5"/>
          </w:tcPr>
          <w:p>
            <w:pPr>
              <w:spacing w:after="0"/>
              <w:rPr>
                <w:sz w:val="13"/>
                <w:szCs w:val="13"/>
                <w:color w:val="auto"/>
              </w:rPr>
            </w:pPr>
          </w:p>
        </w:tc>
        <w:tc>
          <w:tcPr>
            <w:tcW w:w="560" w:type="dxa"/>
            <w:vAlign w:val="bottom"/>
            <w:gridSpan w:val="2"/>
            <w:shd w:val="clear" w:color="auto" w:fill="D1EEF5"/>
          </w:tcPr>
          <w:p>
            <w:pPr>
              <w:jc w:val="right"/>
              <w:ind w:right="100"/>
              <w:spacing w:after="0" w:line="157" w:lineRule="exact"/>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D1EEF5"/>
          </w:tcPr>
          <w:p>
            <w:pPr>
              <w:spacing w:after="0"/>
              <w:rPr>
                <w:sz w:val="13"/>
                <w:szCs w:val="13"/>
                <w:color w:val="auto"/>
              </w:rPr>
            </w:pPr>
          </w:p>
        </w:tc>
        <w:tc>
          <w:tcPr>
            <w:tcW w:w="260" w:type="dxa"/>
            <w:vAlign w:val="bottom"/>
            <w:shd w:val="clear" w:color="auto" w:fill="D1EEF5"/>
          </w:tcPr>
          <w:p>
            <w:pPr>
              <w:spacing w:after="0"/>
              <w:rPr>
                <w:sz w:val="13"/>
                <w:szCs w:val="13"/>
                <w:color w:val="auto"/>
              </w:rPr>
            </w:pPr>
          </w:p>
        </w:tc>
        <w:tc>
          <w:tcPr>
            <w:tcW w:w="96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D1EEF5"/>
          </w:tcPr>
          <w:p>
            <w:pPr>
              <w:spacing w:after="0"/>
              <w:rPr>
                <w:sz w:val="13"/>
                <w:szCs w:val="13"/>
                <w:color w:val="auto"/>
              </w:rPr>
            </w:pPr>
          </w:p>
        </w:tc>
      </w:tr>
      <w:tr>
        <w:trPr>
          <w:trHeight w:val="156"/>
        </w:trPr>
        <w:tc>
          <w:tcPr>
            <w:tcW w:w="480" w:type="dxa"/>
            <w:vAlign w:val="bottom"/>
          </w:tcPr>
          <w:p>
            <w:pPr>
              <w:spacing w:after="0"/>
              <w:rPr>
                <w:sz w:val="13"/>
                <w:szCs w:val="13"/>
                <w:color w:val="auto"/>
              </w:rPr>
            </w:pPr>
          </w:p>
        </w:tc>
        <w:tc>
          <w:tcPr>
            <w:tcW w:w="41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Research and development credit</w:t>
            </w: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r>
      <w:tr>
        <w:trPr>
          <w:trHeight w:val="156"/>
        </w:trPr>
        <w:tc>
          <w:tcPr>
            <w:tcW w:w="480" w:type="dxa"/>
            <w:vAlign w:val="bottom"/>
          </w:tcPr>
          <w:p>
            <w:pPr>
              <w:spacing w:after="0"/>
              <w:rPr>
                <w:sz w:val="13"/>
                <w:szCs w:val="13"/>
                <w:color w:val="auto"/>
              </w:rPr>
            </w:pPr>
          </w:p>
        </w:tc>
        <w:tc>
          <w:tcPr>
            <w:tcW w:w="414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Fixed assets and intangibles</w:t>
            </w:r>
          </w:p>
        </w:tc>
        <w:tc>
          <w:tcPr>
            <w:tcW w:w="1280" w:type="dxa"/>
            <w:vAlign w:val="bottom"/>
            <w:shd w:val="clear" w:color="auto" w:fill="D1EEF5"/>
          </w:tcPr>
          <w:p>
            <w:pPr>
              <w:spacing w:after="0"/>
              <w:rPr>
                <w:sz w:val="13"/>
                <w:szCs w:val="13"/>
                <w:color w:val="auto"/>
              </w:rPr>
            </w:pPr>
          </w:p>
        </w:tc>
        <w:tc>
          <w:tcPr>
            <w:tcW w:w="800" w:type="dxa"/>
            <w:vAlign w:val="bottom"/>
            <w:shd w:val="clear" w:color="auto" w:fill="D1EEF5"/>
          </w:tcPr>
          <w:p>
            <w:pPr>
              <w:spacing w:after="0"/>
              <w:rPr>
                <w:sz w:val="13"/>
                <w:szCs w:val="13"/>
                <w:color w:val="auto"/>
              </w:rPr>
            </w:pPr>
          </w:p>
        </w:tc>
        <w:tc>
          <w:tcPr>
            <w:tcW w:w="560" w:type="dxa"/>
            <w:vAlign w:val="bottom"/>
            <w:gridSpan w:val="2"/>
            <w:shd w:val="clear" w:color="auto" w:fill="D1EEF5"/>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D1EEF5"/>
          </w:tcPr>
          <w:p>
            <w:pPr>
              <w:spacing w:after="0"/>
              <w:rPr>
                <w:sz w:val="13"/>
                <w:szCs w:val="13"/>
                <w:color w:val="auto"/>
              </w:rPr>
            </w:pPr>
          </w:p>
        </w:tc>
        <w:tc>
          <w:tcPr>
            <w:tcW w:w="260" w:type="dxa"/>
            <w:vAlign w:val="bottom"/>
            <w:shd w:val="clear" w:color="auto" w:fill="D1EEF5"/>
          </w:tcPr>
          <w:p>
            <w:pPr>
              <w:spacing w:after="0"/>
              <w:rPr>
                <w:sz w:val="13"/>
                <w:szCs w:val="13"/>
                <w:color w:val="auto"/>
              </w:rPr>
            </w:pPr>
          </w:p>
        </w:tc>
        <w:tc>
          <w:tcPr>
            <w:tcW w:w="96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1EEF5"/>
          </w:tcPr>
          <w:p>
            <w:pPr>
              <w:spacing w:after="0"/>
              <w:rPr>
                <w:sz w:val="13"/>
                <w:szCs w:val="13"/>
                <w:color w:val="auto"/>
              </w:rPr>
            </w:pPr>
          </w:p>
        </w:tc>
      </w:tr>
      <w:tr>
        <w:trPr>
          <w:trHeight w:val="157"/>
        </w:trPr>
        <w:tc>
          <w:tcPr>
            <w:tcW w:w="480" w:type="dxa"/>
            <w:vAlign w:val="bottom"/>
          </w:tcPr>
          <w:p>
            <w:pPr>
              <w:spacing w:after="0"/>
              <w:rPr>
                <w:sz w:val="13"/>
                <w:szCs w:val="13"/>
                <w:color w:val="auto"/>
              </w:rPr>
            </w:pPr>
          </w:p>
        </w:tc>
        <w:tc>
          <w:tcPr>
            <w:tcW w:w="41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Interest expense</w:t>
            </w: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gridSpan w:val="2"/>
          </w:tcPr>
          <w:p>
            <w:pPr>
              <w:jc w:val="right"/>
              <w:ind w:right="100"/>
              <w:spacing w:after="0" w:line="157" w:lineRule="exact"/>
              <w:rPr>
                <w:sz w:val="20"/>
                <w:szCs w:val="20"/>
                <w:color w:val="auto"/>
              </w:rPr>
            </w:pPr>
            <w:r>
              <w:rPr>
                <w:rFonts w:ascii="Times New Roman" w:cs="Times New Roman" w:eastAsia="Times New Roman" w:hAnsi="Times New Roman"/>
                <w:sz w:val="14"/>
                <w:szCs w:val="14"/>
                <w:color w:val="auto"/>
              </w:rPr>
              <w:t>1,595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r>
      <w:tr>
        <w:trPr>
          <w:trHeight w:val="156"/>
        </w:trPr>
        <w:tc>
          <w:tcPr>
            <w:tcW w:w="480" w:type="dxa"/>
            <w:vAlign w:val="bottom"/>
          </w:tcPr>
          <w:p>
            <w:pPr>
              <w:spacing w:after="0"/>
              <w:rPr>
                <w:sz w:val="13"/>
                <w:szCs w:val="13"/>
                <w:color w:val="auto"/>
              </w:rPr>
            </w:pPr>
          </w:p>
        </w:tc>
        <w:tc>
          <w:tcPr>
            <w:tcW w:w="414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Prepaid expenses</w:t>
            </w:r>
          </w:p>
        </w:tc>
        <w:tc>
          <w:tcPr>
            <w:tcW w:w="1280" w:type="dxa"/>
            <w:vAlign w:val="bottom"/>
            <w:shd w:val="clear" w:color="auto" w:fill="D1EEF5"/>
          </w:tcPr>
          <w:p>
            <w:pPr>
              <w:spacing w:after="0"/>
              <w:rPr>
                <w:sz w:val="13"/>
                <w:szCs w:val="13"/>
                <w:color w:val="auto"/>
              </w:rPr>
            </w:pPr>
          </w:p>
        </w:tc>
        <w:tc>
          <w:tcPr>
            <w:tcW w:w="800" w:type="dxa"/>
            <w:vAlign w:val="bottom"/>
            <w:shd w:val="clear" w:color="auto" w:fill="D1EEF5"/>
          </w:tcPr>
          <w:p>
            <w:pPr>
              <w:spacing w:after="0"/>
              <w:rPr>
                <w:sz w:val="13"/>
                <w:szCs w:val="13"/>
                <w:color w:val="auto"/>
              </w:rPr>
            </w:pPr>
          </w:p>
        </w:tc>
        <w:tc>
          <w:tcPr>
            <w:tcW w:w="560" w:type="dxa"/>
            <w:vAlign w:val="bottom"/>
            <w:gridSpan w:val="2"/>
            <w:shd w:val="clear" w:color="auto" w:fill="D1EEF5"/>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960</w:t>
            </w:r>
          </w:p>
        </w:tc>
        <w:tc>
          <w:tcPr>
            <w:tcW w:w="120" w:type="dxa"/>
            <w:vAlign w:val="bottom"/>
            <w:shd w:val="clear" w:color="auto" w:fill="D1EEF5"/>
          </w:tcPr>
          <w:p>
            <w:pPr>
              <w:spacing w:after="0"/>
              <w:rPr>
                <w:sz w:val="13"/>
                <w:szCs w:val="13"/>
                <w:color w:val="auto"/>
              </w:rPr>
            </w:pPr>
          </w:p>
        </w:tc>
        <w:tc>
          <w:tcPr>
            <w:tcW w:w="260" w:type="dxa"/>
            <w:vAlign w:val="bottom"/>
            <w:shd w:val="clear" w:color="auto" w:fill="D1EEF5"/>
          </w:tcPr>
          <w:p>
            <w:pPr>
              <w:spacing w:after="0"/>
              <w:rPr>
                <w:sz w:val="13"/>
                <w:szCs w:val="13"/>
                <w:color w:val="auto"/>
              </w:rPr>
            </w:pPr>
          </w:p>
        </w:tc>
        <w:tc>
          <w:tcPr>
            <w:tcW w:w="96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1EEF5"/>
          </w:tcPr>
          <w:p>
            <w:pPr>
              <w:spacing w:after="0"/>
              <w:rPr>
                <w:sz w:val="13"/>
                <w:szCs w:val="13"/>
                <w:color w:val="auto"/>
              </w:rPr>
            </w:pPr>
          </w:p>
        </w:tc>
      </w:tr>
      <w:tr>
        <w:trPr>
          <w:trHeight w:val="156"/>
        </w:trPr>
        <w:tc>
          <w:tcPr>
            <w:tcW w:w="480" w:type="dxa"/>
            <w:vAlign w:val="bottom"/>
          </w:tcPr>
          <w:p>
            <w:pPr>
              <w:spacing w:after="0"/>
              <w:rPr>
                <w:sz w:val="13"/>
                <w:szCs w:val="13"/>
                <w:color w:val="auto"/>
              </w:rPr>
            </w:pPr>
          </w:p>
        </w:tc>
        <w:tc>
          <w:tcPr>
            <w:tcW w:w="41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Net Operating Loss</w:t>
            </w: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3,727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r>
      <w:tr>
        <w:trPr>
          <w:trHeight w:val="186"/>
        </w:trPr>
        <w:tc>
          <w:tcPr>
            <w:tcW w:w="480" w:type="dxa"/>
            <w:vAlign w:val="bottom"/>
          </w:tcPr>
          <w:p>
            <w:pPr>
              <w:spacing w:after="0"/>
              <w:rPr>
                <w:sz w:val="16"/>
                <w:szCs w:val="16"/>
                <w:color w:val="auto"/>
              </w:rPr>
            </w:pPr>
          </w:p>
        </w:tc>
        <w:tc>
          <w:tcPr>
            <w:tcW w:w="41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Inventory (Sec. 263A)</w:t>
            </w:r>
          </w:p>
        </w:tc>
        <w:tc>
          <w:tcPr>
            <w:tcW w:w="1280" w:type="dxa"/>
            <w:vAlign w:val="bottom"/>
            <w:shd w:val="clear" w:color="auto" w:fill="D1EEF5"/>
          </w:tcPr>
          <w:p>
            <w:pPr>
              <w:spacing w:after="0"/>
              <w:rPr>
                <w:sz w:val="16"/>
                <w:szCs w:val="16"/>
                <w:color w:val="auto"/>
              </w:rPr>
            </w:pPr>
          </w:p>
        </w:tc>
        <w:tc>
          <w:tcPr>
            <w:tcW w:w="800" w:type="dxa"/>
            <w:vAlign w:val="bottom"/>
            <w:shd w:val="clear" w:color="auto" w:fill="D1EEF5"/>
          </w:tcPr>
          <w:p>
            <w:pPr>
              <w:spacing w:after="0"/>
              <w:rPr>
                <w:sz w:val="16"/>
                <w:szCs w:val="16"/>
                <w:color w:val="auto"/>
              </w:rPr>
            </w:pPr>
          </w:p>
        </w:tc>
        <w:tc>
          <w:tcPr>
            <w:tcW w:w="56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D1EEF5"/>
          </w:tcPr>
          <w:p>
            <w:pPr>
              <w:spacing w:after="0"/>
              <w:rPr>
                <w:sz w:val="16"/>
                <w:szCs w:val="16"/>
                <w:color w:val="auto"/>
              </w:rPr>
            </w:pPr>
          </w:p>
        </w:tc>
        <w:tc>
          <w:tcPr>
            <w:tcW w:w="260" w:type="dxa"/>
            <w:vAlign w:val="bottom"/>
            <w:shd w:val="clear" w:color="auto" w:fill="D1EEF5"/>
          </w:tcPr>
          <w:p>
            <w:pPr>
              <w:spacing w:after="0"/>
              <w:rPr>
                <w:sz w:val="16"/>
                <w:szCs w:val="16"/>
                <w:color w:val="auto"/>
              </w:rPr>
            </w:pPr>
          </w:p>
        </w:tc>
        <w:tc>
          <w:tcPr>
            <w:tcW w:w="9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D1EEF5"/>
          </w:tcPr>
          <w:p>
            <w:pPr>
              <w:spacing w:after="0"/>
              <w:rPr>
                <w:sz w:val="16"/>
                <w:szCs w:val="16"/>
                <w:color w:val="auto"/>
              </w:rPr>
            </w:pPr>
          </w:p>
        </w:tc>
      </w:tr>
      <w:tr>
        <w:trPr>
          <w:trHeight w:val="162"/>
        </w:trPr>
        <w:tc>
          <w:tcPr>
            <w:tcW w:w="480" w:type="dxa"/>
            <w:vAlign w:val="bottom"/>
          </w:tcPr>
          <w:p>
            <w:pPr>
              <w:spacing w:after="0"/>
              <w:rPr>
                <w:sz w:val="14"/>
                <w:szCs w:val="14"/>
                <w:color w:val="auto"/>
              </w:rPr>
            </w:pPr>
          </w:p>
        </w:tc>
        <w:tc>
          <w:tcPr>
            <w:tcW w:w="4140" w:type="dxa"/>
            <w:vAlign w:val="bottom"/>
            <w:tcBorders>
              <w:top w:val="single" w:sz="8" w:color="D1EEF5"/>
            </w:tcBorders>
          </w:tcPr>
          <w:p>
            <w:pPr>
              <w:spacing w:after="0"/>
              <w:rPr>
                <w:sz w:val="20"/>
                <w:szCs w:val="20"/>
                <w:color w:val="auto"/>
              </w:rPr>
            </w:pPr>
            <w:r>
              <w:rPr>
                <w:rFonts w:ascii="Times New Roman" w:cs="Times New Roman" w:eastAsia="Times New Roman" w:hAnsi="Times New Roman"/>
                <w:sz w:val="14"/>
                <w:szCs w:val="14"/>
                <w:color w:val="auto"/>
              </w:rPr>
              <w:t>Deferred tax asset</w:t>
            </w:r>
          </w:p>
        </w:tc>
        <w:tc>
          <w:tcPr>
            <w:tcW w:w="1280" w:type="dxa"/>
            <w:vAlign w:val="bottom"/>
            <w:tcBorders>
              <w:top w:val="single" w:sz="8" w:color="D1EEF5"/>
            </w:tcBorders>
          </w:tcPr>
          <w:p>
            <w:pPr>
              <w:spacing w:after="0"/>
              <w:rPr>
                <w:sz w:val="14"/>
                <w:szCs w:val="14"/>
                <w:color w:val="auto"/>
              </w:rPr>
            </w:pPr>
          </w:p>
        </w:tc>
        <w:tc>
          <w:tcPr>
            <w:tcW w:w="800" w:type="dxa"/>
            <w:vAlign w:val="bottom"/>
            <w:tcBorders>
              <w:top w:val="single" w:sz="8" w:color="auto"/>
            </w:tcBorders>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8,360</w:t>
            </w:r>
          </w:p>
        </w:tc>
        <w:tc>
          <w:tcPr>
            <w:tcW w:w="140" w:type="dxa"/>
            <w:vAlign w:val="bottom"/>
            <w:tcBorders>
              <w:top w:val="single" w:sz="8" w:color="D1EEF5"/>
            </w:tcBorders>
          </w:tcPr>
          <w:p>
            <w:pPr>
              <w:spacing w:after="0"/>
              <w:rPr>
                <w:sz w:val="14"/>
                <w:szCs w:val="14"/>
                <w:color w:val="auto"/>
              </w:rPr>
            </w:pPr>
          </w:p>
        </w:tc>
        <w:tc>
          <w:tcPr>
            <w:tcW w:w="120" w:type="dxa"/>
            <w:vAlign w:val="bottom"/>
            <w:tcBorders>
              <w:top w:val="single" w:sz="8" w:color="D1EEF5"/>
            </w:tcBorders>
          </w:tcPr>
          <w:p>
            <w:pPr>
              <w:spacing w:after="0"/>
              <w:rPr>
                <w:sz w:val="14"/>
                <w:szCs w:val="14"/>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80" w:type="dxa"/>
            <w:vAlign w:val="bottom"/>
            <w:tcBorders>
              <w:top w:val="single" w:sz="8" w:color="D1EEF5"/>
            </w:tcBorders>
          </w:tcPr>
          <w:p>
            <w:pPr>
              <w:spacing w:after="0"/>
              <w:rPr>
                <w:sz w:val="14"/>
                <w:szCs w:val="14"/>
                <w:color w:val="auto"/>
              </w:rPr>
            </w:pPr>
          </w:p>
        </w:tc>
      </w:tr>
      <w:tr>
        <w:trPr>
          <w:trHeight w:val="208"/>
        </w:trPr>
        <w:tc>
          <w:tcPr>
            <w:tcW w:w="480" w:type="dxa"/>
            <w:vAlign w:val="bottom"/>
          </w:tcPr>
          <w:p>
            <w:pPr>
              <w:spacing w:after="0"/>
              <w:rPr>
                <w:sz w:val="18"/>
                <w:szCs w:val="18"/>
                <w:color w:val="auto"/>
              </w:rPr>
            </w:pPr>
          </w:p>
        </w:tc>
        <w:tc>
          <w:tcPr>
            <w:tcW w:w="4140" w:type="dxa"/>
            <w:vAlign w:val="bottom"/>
            <w:shd w:val="clear" w:color="auto" w:fill="D1EEF5"/>
          </w:tcPr>
          <w:p>
            <w:pPr>
              <w:spacing w:after="0"/>
              <w:rPr>
                <w:sz w:val="18"/>
                <w:szCs w:val="18"/>
                <w:color w:val="auto"/>
              </w:rPr>
            </w:pPr>
          </w:p>
        </w:tc>
        <w:tc>
          <w:tcPr>
            <w:tcW w:w="1280" w:type="dxa"/>
            <w:vAlign w:val="bottom"/>
            <w:shd w:val="clear" w:color="auto" w:fill="D1EEF5"/>
          </w:tcPr>
          <w:p>
            <w:pPr>
              <w:spacing w:after="0"/>
              <w:rPr>
                <w:sz w:val="18"/>
                <w:szCs w:val="18"/>
                <w:color w:val="auto"/>
              </w:rPr>
            </w:pPr>
          </w:p>
        </w:tc>
        <w:tc>
          <w:tcPr>
            <w:tcW w:w="800" w:type="dxa"/>
            <w:vAlign w:val="bottom"/>
            <w:shd w:val="clear" w:color="auto" w:fill="D1EEF5"/>
          </w:tcPr>
          <w:p>
            <w:pPr>
              <w:spacing w:after="0"/>
              <w:rPr>
                <w:sz w:val="18"/>
                <w:szCs w:val="18"/>
                <w:color w:val="auto"/>
              </w:rPr>
            </w:pPr>
          </w:p>
        </w:tc>
        <w:tc>
          <w:tcPr>
            <w:tcW w:w="420" w:type="dxa"/>
            <w:vAlign w:val="bottom"/>
            <w:shd w:val="clear" w:color="auto" w:fill="D1EEF5"/>
          </w:tcPr>
          <w:p>
            <w:pPr>
              <w:spacing w:after="0"/>
              <w:rPr>
                <w:sz w:val="18"/>
                <w:szCs w:val="18"/>
                <w:color w:val="auto"/>
              </w:rPr>
            </w:pPr>
          </w:p>
        </w:tc>
        <w:tc>
          <w:tcPr>
            <w:tcW w:w="140" w:type="dxa"/>
            <w:vAlign w:val="bottom"/>
            <w:shd w:val="clear" w:color="auto" w:fill="D1EEF5"/>
          </w:tcPr>
          <w:p>
            <w:pPr>
              <w:spacing w:after="0"/>
              <w:rPr>
                <w:sz w:val="18"/>
                <w:szCs w:val="18"/>
                <w:color w:val="auto"/>
              </w:rPr>
            </w:pPr>
          </w:p>
        </w:tc>
        <w:tc>
          <w:tcPr>
            <w:tcW w:w="120" w:type="dxa"/>
            <w:vAlign w:val="bottom"/>
            <w:shd w:val="clear" w:color="auto" w:fill="D1EEF5"/>
          </w:tcPr>
          <w:p>
            <w:pPr>
              <w:spacing w:after="0"/>
              <w:rPr>
                <w:sz w:val="18"/>
                <w:szCs w:val="18"/>
                <w:color w:val="auto"/>
              </w:rPr>
            </w:pPr>
          </w:p>
        </w:tc>
        <w:tc>
          <w:tcPr>
            <w:tcW w:w="260" w:type="dxa"/>
            <w:vAlign w:val="bottom"/>
            <w:shd w:val="clear" w:color="auto" w:fill="D1EEF5"/>
          </w:tcPr>
          <w:p>
            <w:pPr>
              <w:spacing w:after="0"/>
              <w:rPr>
                <w:sz w:val="18"/>
                <w:szCs w:val="18"/>
                <w:color w:val="auto"/>
              </w:rPr>
            </w:pPr>
          </w:p>
        </w:tc>
        <w:tc>
          <w:tcPr>
            <w:tcW w:w="960" w:type="dxa"/>
            <w:vAlign w:val="bottom"/>
            <w:shd w:val="clear" w:color="auto" w:fill="D1EEF5"/>
          </w:tcPr>
          <w:p>
            <w:pPr>
              <w:spacing w:after="0"/>
              <w:rPr>
                <w:sz w:val="18"/>
                <w:szCs w:val="18"/>
                <w:color w:val="auto"/>
              </w:rPr>
            </w:pPr>
          </w:p>
        </w:tc>
        <w:tc>
          <w:tcPr>
            <w:tcW w:w="80" w:type="dxa"/>
            <w:vAlign w:val="bottom"/>
            <w:shd w:val="clear" w:color="auto" w:fill="D1EEF5"/>
          </w:tcPr>
          <w:p>
            <w:pPr>
              <w:spacing w:after="0"/>
              <w:rPr>
                <w:sz w:val="18"/>
                <w:szCs w:val="18"/>
                <w:color w:val="auto"/>
              </w:rPr>
            </w:pPr>
          </w:p>
        </w:tc>
      </w:tr>
      <w:tr>
        <w:trPr>
          <w:trHeight w:val="185"/>
        </w:trPr>
        <w:tc>
          <w:tcPr>
            <w:tcW w:w="48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2"/>
        </w:trPr>
        <w:tc>
          <w:tcPr>
            <w:tcW w:w="480" w:type="dxa"/>
            <w:vAlign w:val="bottom"/>
          </w:tcPr>
          <w:p>
            <w:pPr>
              <w:spacing w:after="0"/>
              <w:rPr>
                <w:sz w:val="14"/>
                <w:szCs w:val="14"/>
                <w:color w:val="auto"/>
              </w:rPr>
            </w:pPr>
          </w:p>
        </w:tc>
        <w:tc>
          <w:tcPr>
            <w:tcW w:w="41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Right of Use Asset</w:t>
            </w:r>
          </w:p>
        </w:tc>
        <w:tc>
          <w:tcPr>
            <w:tcW w:w="2080" w:type="dxa"/>
            <w:vAlign w:val="bottom"/>
            <w:gridSpan w:val="2"/>
            <w:shd w:val="clear" w:color="auto" w:fill="D1EEF5"/>
          </w:tcPr>
          <w:p>
            <w:pPr>
              <w:jc w:val="right"/>
              <w:ind w:right="68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1,036</w:t>
            </w:r>
          </w:p>
        </w:tc>
        <w:tc>
          <w:tcPr>
            <w:tcW w:w="380" w:type="dxa"/>
            <w:vAlign w:val="bottom"/>
            <w:gridSpan w:val="2"/>
            <w:shd w:val="clear" w:color="auto" w:fill="D1EEF5"/>
          </w:tcPr>
          <w:p>
            <w:pPr>
              <w:jc w:val="right"/>
              <w:ind w:right="144"/>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80" w:type="dxa"/>
            <w:vAlign w:val="bottom"/>
            <w:shd w:val="clear" w:color="auto" w:fill="D1EEF5"/>
          </w:tcPr>
          <w:p>
            <w:pPr>
              <w:spacing w:after="0"/>
              <w:rPr>
                <w:sz w:val="14"/>
                <w:szCs w:val="14"/>
                <w:color w:val="auto"/>
              </w:rPr>
            </w:pPr>
          </w:p>
        </w:tc>
      </w:tr>
      <w:tr>
        <w:trPr>
          <w:trHeight w:val="156"/>
        </w:trPr>
        <w:tc>
          <w:tcPr>
            <w:tcW w:w="480" w:type="dxa"/>
            <w:vAlign w:val="bottom"/>
          </w:tcPr>
          <w:p>
            <w:pPr>
              <w:spacing w:after="0"/>
              <w:rPr>
                <w:sz w:val="13"/>
                <w:szCs w:val="13"/>
                <w:color w:val="auto"/>
              </w:rPr>
            </w:pPr>
          </w:p>
        </w:tc>
        <w:tc>
          <w:tcPr>
            <w:tcW w:w="41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Fixed assets and intangibles</w:t>
            </w: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606</w:t>
            </w:r>
          </w:p>
        </w:tc>
        <w:tc>
          <w:tcPr>
            <w:tcW w:w="80" w:type="dxa"/>
            <w:vAlign w:val="bottom"/>
          </w:tcPr>
          <w:p>
            <w:pPr>
              <w:spacing w:after="0"/>
              <w:rPr>
                <w:sz w:val="13"/>
                <w:szCs w:val="13"/>
                <w:color w:val="auto"/>
              </w:rPr>
            </w:pPr>
          </w:p>
        </w:tc>
      </w:tr>
      <w:tr>
        <w:trPr>
          <w:trHeight w:val="191"/>
        </w:trPr>
        <w:tc>
          <w:tcPr>
            <w:tcW w:w="480" w:type="dxa"/>
            <w:vAlign w:val="bottom"/>
          </w:tcPr>
          <w:p>
            <w:pPr>
              <w:spacing w:after="0"/>
              <w:rPr>
                <w:sz w:val="16"/>
                <w:szCs w:val="16"/>
                <w:color w:val="auto"/>
              </w:rPr>
            </w:pPr>
          </w:p>
        </w:tc>
        <w:tc>
          <w:tcPr>
            <w:tcW w:w="41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Deferred tax liability</w:t>
            </w:r>
          </w:p>
        </w:tc>
        <w:tc>
          <w:tcPr>
            <w:tcW w:w="2080" w:type="dxa"/>
            <w:vAlign w:val="bottom"/>
            <w:gridSpan w:val="2"/>
            <w:shd w:val="clear" w:color="auto" w:fill="D1EEF5"/>
          </w:tcPr>
          <w:p>
            <w:pPr>
              <w:jc w:val="right"/>
              <w:ind w:right="68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1,036</w:t>
            </w:r>
          </w:p>
        </w:tc>
        <w:tc>
          <w:tcPr>
            <w:tcW w:w="380" w:type="dxa"/>
            <w:vAlign w:val="bottom"/>
            <w:gridSpan w:val="2"/>
            <w:shd w:val="clear" w:color="auto" w:fill="D1EEF5"/>
          </w:tcPr>
          <w:p>
            <w:pPr>
              <w:jc w:val="right"/>
              <w:ind w:right="144"/>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80" w:type="dxa"/>
            <w:vAlign w:val="bottom"/>
            <w:shd w:val="clear" w:color="auto" w:fill="D1EEF5"/>
          </w:tcPr>
          <w:p>
            <w:pPr>
              <w:spacing w:after="0"/>
              <w:rPr>
                <w:sz w:val="16"/>
                <w:szCs w:val="16"/>
                <w:color w:val="auto"/>
              </w:rPr>
            </w:pPr>
          </w:p>
        </w:tc>
      </w:tr>
      <w:tr>
        <w:trPr>
          <w:trHeight w:val="173"/>
        </w:trPr>
        <w:tc>
          <w:tcPr>
            <w:tcW w:w="480" w:type="dxa"/>
            <w:vAlign w:val="bottom"/>
          </w:tcPr>
          <w:p>
            <w:pPr>
              <w:spacing w:after="0"/>
              <w:rPr>
                <w:sz w:val="15"/>
                <w:szCs w:val="15"/>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Net deferred tax asset (liability)</w:t>
            </w:r>
          </w:p>
        </w:tc>
        <w:tc>
          <w:tcPr>
            <w:tcW w:w="2080" w:type="dxa"/>
            <w:vAlign w:val="bottom"/>
            <w:gridSpan w:val="2"/>
          </w:tcPr>
          <w:p>
            <w:pPr>
              <w:jc w:val="right"/>
              <w:ind w:right="68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7,324</w:t>
            </w:r>
          </w:p>
        </w:tc>
        <w:tc>
          <w:tcPr>
            <w:tcW w:w="38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(453)</w:t>
            </w:r>
          </w:p>
        </w:tc>
      </w:tr>
      <w:tr>
        <w:trPr>
          <w:trHeight w:val="186"/>
        </w:trPr>
        <w:tc>
          <w:tcPr>
            <w:tcW w:w="480" w:type="dxa"/>
            <w:vAlign w:val="bottom"/>
          </w:tcPr>
          <w:p>
            <w:pPr>
              <w:spacing w:after="0"/>
              <w:rPr>
                <w:sz w:val="16"/>
                <w:szCs w:val="16"/>
                <w:color w:val="auto"/>
              </w:rPr>
            </w:pPr>
          </w:p>
        </w:tc>
        <w:tc>
          <w:tcPr>
            <w:tcW w:w="41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Valuation Allowance</w:t>
            </w:r>
          </w:p>
        </w:tc>
        <w:tc>
          <w:tcPr>
            <w:tcW w:w="1280" w:type="dxa"/>
            <w:vAlign w:val="bottom"/>
            <w:shd w:val="clear" w:color="auto" w:fill="D1EEF5"/>
          </w:tcPr>
          <w:p>
            <w:pPr>
              <w:spacing w:after="0"/>
              <w:rPr>
                <w:sz w:val="16"/>
                <w:szCs w:val="16"/>
                <w:color w:val="auto"/>
              </w:rPr>
            </w:pPr>
          </w:p>
        </w:tc>
        <w:tc>
          <w:tcPr>
            <w:tcW w:w="800" w:type="dxa"/>
            <w:vAlign w:val="bottom"/>
            <w:shd w:val="clear" w:color="auto" w:fill="D1EEF5"/>
          </w:tcPr>
          <w:p>
            <w:pPr>
              <w:spacing w:after="0"/>
              <w:rPr>
                <w:sz w:val="16"/>
                <w:szCs w:val="16"/>
                <w:color w:val="auto"/>
              </w:rPr>
            </w:pPr>
          </w:p>
        </w:tc>
        <w:tc>
          <w:tcPr>
            <w:tcW w:w="560" w:type="dxa"/>
            <w:vAlign w:val="bottom"/>
            <w:gridSpan w:val="2"/>
            <w:shd w:val="clear" w:color="auto" w:fill="D1EEF5"/>
          </w:tcPr>
          <w:p>
            <w:pPr>
              <w:jc w:val="right"/>
              <w:ind w:right="60"/>
              <w:spacing w:after="0"/>
              <w:rPr>
                <w:sz w:val="20"/>
                <w:szCs w:val="20"/>
                <w:color w:val="auto"/>
              </w:rPr>
            </w:pPr>
            <w:r>
              <w:rPr>
                <w:rFonts w:ascii="Times New Roman" w:cs="Times New Roman" w:eastAsia="Times New Roman" w:hAnsi="Times New Roman"/>
                <w:sz w:val="14"/>
                <w:szCs w:val="14"/>
                <w:color w:val="auto"/>
              </w:rPr>
              <w:t>(7,324)</w:t>
            </w:r>
          </w:p>
        </w:tc>
        <w:tc>
          <w:tcPr>
            <w:tcW w:w="120" w:type="dxa"/>
            <w:vAlign w:val="bottom"/>
            <w:shd w:val="clear" w:color="auto" w:fill="D1EEF5"/>
          </w:tcPr>
          <w:p>
            <w:pPr>
              <w:spacing w:after="0"/>
              <w:rPr>
                <w:sz w:val="16"/>
                <w:szCs w:val="16"/>
                <w:color w:val="auto"/>
              </w:rPr>
            </w:pPr>
          </w:p>
        </w:tc>
        <w:tc>
          <w:tcPr>
            <w:tcW w:w="260" w:type="dxa"/>
            <w:vAlign w:val="bottom"/>
            <w:shd w:val="clear" w:color="auto" w:fill="D1EEF5"/>
          </w:tcPr>
          <w:p>
            <w:pPr>
              <w:spacing w:after="0"/>
              <w:rPr>
                <w:sz w:val="16"/>
                <w:szCs w:val="16"/>
                <w:color w:val="auto"/>
              </w:rPr>
            </w:pPr>
          </w:p>
        </w:tc>
        <w:tc>
          <w:tcPr>
            <w:tcW w:w="9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1EEF5"/>
          </w:tcPr>
          <w:p>
            <w:pPr>
              <w:spacing w:after="0"/>
              <w:rPr>
                <w:sz w:val="16"/>
                <w:szCs w:val="16"/>
                <w:color w:val="auto"/>
              </w:rPr>
            </w:pPr>
          </w:p>
        </w:tc>
      </w:tr>
      <w:tr>
        <w:trPr>
          <w:trHeight w:val="166"/>
        </w:trPr>
        <w:tc>
          <w:tcPr>
            <w:tcW w:w="480" w:type="dxa"/>
            <w:vAlign w:val="bottom"/>
          </w:tcPr>
          <w:p>
            <w:pPr>
              <w:spacing w:after="0"/>
              <w:rPr>
                <w:sz w:val="14"/>
                <w:szCs w:val="14"/>
                <w:color w:val="auto"/>
              </w:rPr>
            </w:pPr>
          </w:p>
        </w:tc>
        <w:tc>
          <w:tcPr>
            <w:tcW w:w="4140" w:type="dxa"/>
            <w:vAlign w:val="bottom"/>
            <w:tcBorders>
              <w:top w:val="single" w:sz="8" w:color="D1EEF5"/>
            </w:tcBorders>
          </w:tcPr>
          <w:p>
            <w:pPr>
              <w:spacing w:after="0"/>
              <w:rPr>
                <w:sz w:val="20"/>
                <w:szCs w:val="20"/>
                <w:color w:val="auto"/>
              </w:rPr>
            </w:pPr>
            <w:r>
              <w:rPr>
                <w:rFonts w:ascii="Times New Roman" w:cs="Times New Roman" w:eastAsia="Times New Roman" w:hAnsi="Times New Roman"/>
                <w:sz w:val="14"/>
                <w:szCs w:val="14"/>
                <w:color w:val="auto"/>
              </w:rPr>
              <w:t>Net deferred tax asset</w:t>
            </w:r>
          </w:p>
        </w:tc>
        <w:tc>
          <w:tcPr>
            <w:tcW w:w="1280" w:type="dxa"/>
            <w:vAlign w:val="bottom"/>
            <w:tcBorders>
              <w:top w:val="single" w:sz="8" w:color="D1EEF5"/>
            </w:tcBorders>
          </w:tcPr>
          <w:p>
            <w:pPr>
              <w:spacing w:after="0"/>
              <w:rPr>
                <w:sz w:val="14"/>
                <w:szCs w:val="14"/>
                <w:color w:val="auto"/>
              </w:rPr>
            </w:pPr>
          </w:p>
        </w:tc>
        <w:tc>
          <w:tcPr>
            <w:tcW w:w="800" w:type="dxa"/>
            <w:vAlign w:val="bottom"/>
            <w:tcBorders>
              <w:top w:val="single" w:sz="8" w:color="auto"/>
            </w:tcBorders>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D1EEF5"/>
            </w:tcBorders>
          </w:tcPr>
          <w:p>
            <w:pPr>
              <w:spacing w:after="0"/>
              <w:rPr>
                <w:sz w:val="14"/>
                <w:szCs w:val="14"/>
                <w:color w:val="auto"/>
              </w:rPr>
            </w:pPr>
          </w:p>
        </w:tc>
        <w:tc>
          <w:tcPr>
            <w:tcW w:w="120" w:type="dxa"/>
            <w:vAlign w:val="bottom"/>
            <w:tcBorders>
              <w:top w:val="single" w:sz="8" w:color="D1EEF5"/>
            </w:tcBorders>
          </w:tcPr>
          <w:p>
            <w:pPr>
              <w:spacing w:after="0"/>
              <w:rPr>
                <w:sz w:val="14"/>
                <w:szCs w:val="14"/>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tcBorders>
              <w:top w:val="single" w:sz="8" w:color="D1EEF5"/>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-2595880</wp:posOffset>
            </wp:positionV>
            <wp:extent cx="1741170" cy="495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39">
                      <a:extLst>
                        <a:ext uri="{28A0092B-C50C-407E-A947-70E740481C1C}"/>
                      </a:extLst>
                    </a:blip>
                    <a:srcRect/>
                    <a:stretch>
                      <a:fillRect/>
                    </a:stretch>
                  </pic:blipFill>
                  <pic:spPr bwMode="auto">
                    <a:xfrm>
                      <a:off x="0" y="0"/>
                      <a:ext cx="1741170" cy="4953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-944245</wp:posOffset>
            </wp:positionV>
            <wp:extent cx="1741170" cy="49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40">
                      <a:extLst>
                        <a:ext uri="{28A0092B-C50C-407E-A947-70E740481C1C}"/>
                      </a:extLst>
                    </a:blip>
                    <a:srcRect/>
                    <a:stretch>
                      <a:fillRect/>
                    </a:stretch>
                  </pic:blipFill>
                  <pic:spPr bwMode="auto">
                    <a:xfrm>
                      <a:off x="0" y="0"/>
                      <a:ext cx="1741170" cy="4953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-368935</wp:posOffset>
            </wp:positionV>
            <wp:extent cx="1741170" cy="488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41">
                      <a:extLst>
                        <a:ext uri="{28A0092B-C50C-407E-A947-70E740481C1C}"/>
                      </a:extLst>
                    </a:blip>
                    <a:srcRect/>
                    <a:stretch>
                      <a:fillRect/>
                    </a:stretch>
                  </pic:blipFill>
                  <pic:spPr bwMode="auto">
                    <a:xfrm>
                      <a:off x="0" y="0"/>
                      <a:ext cx="1741170" cy="4889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-29210</wp:posOffset>
            </wp:positionV>
            <wp:extent cx="1741170" cy="495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42">
                      <a:extLst>
                        <a:ext uri="{28A0092B-C50C-407E-A947-70E740481C1C}"/>
                      </a:extLst>
                    </a:blip>
                    <a:srcRect/>
                    <a:stretch>
                      <a:fillRect/>
                    </a:stretch>
                  </pic:blipFill>
                  <pic:spPr bwMode="auto">
                    <a:xfrm>
                      <a:off x="0" y="0"/>
                      <a:ext cx="1741170" cy="49530"/>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Reconciliation between the effective tax rate on income from continuing operations and the statutory rate for the years ended December 31, 2022 and 2021, are as follows:</w:t>
      </w:r>
    </w:p>
    <w:p>
      <w:pPr>
        <w:spacing w:after="0" w:line="162" w:lineRule="exact"/>
        <w:rPr>
          <w:sz w:val="20"/>
          <w:szCs w:val="20"/>
          <w:color w:val="auto"/>
        </w:rPr>
      </w:pPr>
    </w:p>
    <w:tbl>
      <w:tblPr>
        <w:tblLayout w:type="fixed"/>
        <w:tblInd w:w="48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2022</w:t>
            </w: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2021</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9"/>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tcPr>
          <w:p>
            <w:pPr>
              <w:jc w:val="right"/>
              <w:ind w:right="660"/>
              <w:spacing w:after="0" w:line="153" w:lineRule="exact"/>
              <w:rPr>
                <w:sz w:val="20"/>
                <w:szCs w:val="20"/>
                <w:color w:val="auto"/>
              </w:rPr>
            </w:pPr>
            <w:r>
              <w:rPr>
                <w:rFonts w:ascii="Times New Roman" w:cs="Times New Roman" w:eastAsia="Times New Roman" w:hAnsi="Times New Roman"/>
                <w:sz w:val="14"/>
                <w:szCs w:val="14"/>
                <w:color w:val="auto"/>
              </w:rPr>
              <w:t>Tax</w:t>
            </w:r>
          </w:p>
        </w:tc>
        <w:tc>
          <w:tcPr>
            <w:tcW w:w="820" w:type="dxa"/>
            <w:vAlign w:val="bottom"/>
          </w:tcPr>
          <w:p>
            <w:pPr>
              <w:jc w:val="right"/>
              <w:ind w:right="72"/>
              <w:spacing w:after="0" w:line="153" w:lineRule="exact"/>
              <w:rPr>
                <w:sz w:val="20"/>
                <w:szCs w:val="20"/>
                <w:color w:val="auto"/>
              </w:rPr>
            </w:pPr>
            <w:r>
              <w:rPr>
                <w:rFonts w:ascii="Times New Roman" w:cs="Times New Roman" w:eastAsia="Times New Roman" w:hAnsi="Times New Roman"/>
                <w:sz w:val="14"/>
                <w:szCs w:val="14"/>
                <w:color w:val="auto"/>
              </w:rPr>
              <w:t>Percentage</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3"/>
          </w:tcPr>
          <w:p>
            <w:pPr>
              <w:jc w:val="right"/>
              <w:ind w:right="680"/>
              <w:spacing w:after="0" w:line="153" w:lineRule="exact"/>
              <w:rPr>
                <w:sz w:val="20"/>
                <w:szCs w:val="20"/>
                <w:color w:val="auto"/>
              </w:rPr>
            </w:pPr>
            <w:r>
              <w:rPr>
                <w:rFonts w:ascii="Times New Roman" w:cs="Times New Roman" w:eastAsia="Times New Roman" w:hAnsi="Times New Roman"/>
                <w:sz w:val="14"/>
                <w:szCs w:val="14"/>
                <w:color w:val="auto"/>
              </w:rPr>
              <w:t>Tax</w:t>
            </w:r>
          </w:p>
        </w:tc>
        <w:tc>
          <w:tcPr>
            <w:tcW w:w="820" w:type="dxa"/>
            <w:vAlign w:val="bottom"/>
          </w:tcPr>
          <w:p>
            <w:pPr>
              <w:jc w:val="right"/>
              <w:ind w:right="92"/>
              <w:spacing w:after="0" w:line="153" w:lineRule="exact"/>
              <w:rPr>
                <w:sz w:val="20"/>
                <w:szCs w:val="20"/>
                <w:color w:val="auto"/>
              </w:rPr>
            </w:pPr>
            <w:r>
              <w:rPr>
                <w:rFonts w:ascii="Times New Roman" w:cs="Times New Roman" w:eastAsia="Times New Roman" w:hAnsi="Times New Roman"/>
                <w:sz w:val="14"/>
                <w:szCs w:val="14"/>
                <w:color w:val="auto"/>
              </w:rPr>
              <w:t>Percentage</w:t>
            </w:r>
          </w:p>
        </w:tc>
        <w:tc>
          <w:tcPr>
            <w:tcW w:w="80" w:type="dxa"/>
            <w:vAlign w:val="bottom"/>
          </w:tcPr>
          <w:p>
            <w:pPr>
              <w:spacing w:after="0"/>
              <w:rPr>
                <w:sz w:val="13"/>
                <w:szCs w:val="13"/>
                <w:color w:val="auto"/>
              </w:rPr>
            </w:pPr>
          </w:p>
        </w:tc>
      </w:tr>
      <w:tr>
        <w:trPr>
          <w:trHeight w:val="169"/>
        </w:trPr>
        <w:tc>
          <w:tcPr>
            <w:tcW w:w="378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Book income (loss) before taxes</w:t>
            </w:r>
          </w:p>
        </w:tc>
        <w:tc>
          <w:tcPr>
            <w:tcW w:w="200" w:type="dxa"/>
            <w:vAlign w:val="bottom"/>
            <w:tcBorders>
              <w:top w:val="single" w:sz="8" w:color="auto"/>
            </w:tcBorders>
            <w:shd w:val="clear" w:color="auto" w:fill="D1EEF5"/>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(8,459)</w:t>
            </w:r>
          </w:p>
        </w:tc>
        <w:tc>
          <w:tcPr>
            <w:tcW w:w="240" w:type="dxa"/>
            <w:vAlign w:val="bottom"/>
            <w:tcBorders>
              <w:top w:val="single" w:sz="8" w:color="D1EEF5"/>
            </w:tcBorders>
            <w:shd w:val="clear" w:color="auto" w:fill="D1EEF5"/>
          </w:tcPr>
          <w:p>
            <w:pPr>
              <w:spacing w:after="0"/>
              <w:rPr>
                <w:sz w:val="14"/>
                <w:szCs w:val="14"/>
                <w:color w:val="auto"/>
              </w:rPr>
            </w:pPr>
          </w:p>
        </w:tc>
        <w:tc>
          <w:tcPr>
            <w:tcW w:w="80" w:type="dxa"/>
            <w:vAlign w:val="bottom"/>
            <w:tcBorders>
              <w:top w:val="single" w:sz="8" w:color="auto"/>
            </w:tcBorders>
            <w:shd w:val="clear" w:color="auto" w:fill="D1EEF5"/>
          </w:tcPr>
          <w:p>
            <w:pPr>
              <w:spacing w:after="0"/>
              <w:rPr>
                <w:sz w:val="14"/>
                <w:szCs w:val="14"/>
                <w:color w:val="auto"/>
              </w:rPr>
            </w:pPr>
          </w:p>
        </w:tc>
        <w:tc>
          <w:tcPr>
            <w:tcW w:w="82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20" w:type="dxa"/>
            <w:vAlign w:val="bottom"/>
            <w:tcBorders>
              <w:top w:val="single" w:sz="8" w:color="auto"/>
            </w:tcBorders>
            <w:shd w:val="clear" w:color="auto" w:fill="D1EEF5"/>
          </w:tcPr>
          <w:p>
            <w:pPr>
              <w:spacing w:after="0"/>
              <w:rPr>
                <w:sz w:val="14"/>
                <w:szCs w:val="14"/>
                <w:color w:val="auto"/>
              </w:rPr>
            </w:pPr>
          </w:p>
        </w:tc>
        <w:tc>
          <w:tcPr>
            <w:tcW w:w="220" w:type="dxa"/>
            <w:vAlign w:val="bottom"/>
            <w:tcBorders>
              <w:top w:val="single" w:sz="8" w:color="D1EEF5"/>
            </w:tcBorders>
            <w:shd w:val="clear" w:color="auto" w:fill="D1EEF5"/>
          </w:tcPr>
          <w:p>
            <w:pPr>
              <w:spacing w:after="0"/>
              <w:rPr>
                <w:sz w:val="14"/>
                <w:szCs w:val="14"/>
                <w:color w:val="auto"/>
              </w:rPr>
            </w:pPr>
          </w:p>
        </w:tc>
        <w:tc>
          <w:tcPr>
            <w:tcW w:w="220" w:type="dxa"/>
            <w:vAlign w:val="bottom"/>
            <w:tcBorders>
              <w:top w:val="single" w:sz="8" w:color="auto"/>
            </w:tcBorders>
            <w:shd w:val="clear" w:color="auto" w:fill="D1EEF5"/>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240" w:type="dxa"/>
            <w:vAlign w:val="bottom"/>
            <w:tcBorders>
              <w:top w:val="single" w:sz="8" w:color="D1EEF5"/>
            </w:tcBorders>
            <w:shd w:val="clear" w:color="auto" w:fill="D1EEF5"/>
          </w:tcPr>
          <w:p>
            <w:pPr>
              <w:spacing w:after="0"/>
              <w:rPr>
                <w:sz w:val="14"/>
                <w:szCs w:val="14"/>
                <w:color w:val="auto"/>
              </w:rPr>
            </w:pPr>
          </w:p>
        </w:tc>
        <w:tc>
          <w:tcPr>
            <w:tcW w:w="80" w:type="dxa"/>
            <w:vAlign w:val="bottom"/>
            <w:tcBorders>
              <w:top w:val="single" w:sz="8" w:color="auto"/>
            </w:tcBorders>
            <w:shd w:val="clear" w:color="auto" w:fill="D1EEF5"/>
          </w:tcPr>
          <w:p>
            <w:pPr>
              <w:spacing w:after="0"/>
              <w:rPr>
                <w:sz w:val="14"/>
                <w:szCs w:val="14"/>
                <w:color w:val="auto"/>
              </w:rPr>
            </w:pPr>
          </w:p>
        </w:tc>
        <w:tc>
          <w:tcPr>
            <w:tcW w:w="82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80" w:type="dxa"/>
            <w:vAlign w:val="bottom"/>
            <w:tcBorders>
              <w:top w:val="single" w:sz="8" w:color="D1EEF5"/>
            </w:tcBorders>
            <w:shd w:val="clear" w:color="auto" w:fill="D1EEF5"/>
          </w:tcPr>
          <w:p>
            <w:pPr>
              <w:spacing w:after="0"/>
              <w:rPr>
                <w:sz w:val="14"/>
                <w:szCs w:val="14"/>
                <w:color w:val="auto"/>
              </w:rPr>
            </w:pPr>
          </w:p>
        </w:tc>
      </w:tr>
      <w:tr>
        <w:trPr>
          <w:trHeight w:val="156"/>
        </w:trPr>
        <w:tc>
          <w:tcPr>
            <w:tcW w:w="37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Permanent differences (transaction costs)</w:t>
            </w:r>
          </w:p>
        </w:tc>
        <w:tc>
          <w:tcPr>
            <w:tcW w:w="200" w:type="dxa"/>
            <w:vAlign w:val="bottom"/>
          </w:tcPr>
          <w:p>
            <w:pPr>
              <w:spacing w:after="0"/>
              <w:rPr>
                <w:sz w:val="13"/>
                <w:szCs w:val="13"/>
                <w:color w:val="auto"/>
              </w:rPr>
            </w:pPr>
          </w:p>
        </w:tc>
        <w:tc>
          <w:tcPr>
            <w:tcW w:w="94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4"/>
                <w:szCs w:val="14"/>
                <w:color w:val="auto"/>
              </w:rPr>
              <w:t>2,185</w:t>
            </w:r>
          </w:p>
        </w:tc>
        <w:tc>
          <w:tcPr>
            <w:tcW w:w="80" w:type="dxa"/>
            <w:vAlign w:val="bottom"/>
          </w:tcPr>
          <w:p>
            <w:pPr>
              <w:spacing w:after="0"/>
              <w:rPr>
                <w:sz w:val="13"/>
                <w:szCs w:val="13"/>
                <w:color w:val="auto"/>
              </w:rPr>
            </w:pPr>
          </w:p>
        </w:tc>
        <w:tc>
          <w:tcPr>
            <w:tcW w:w="1060" w:type="dxa"/>
            <w:vAlign w:val="bottom"/>
            <w:gridSpan w:val="3"/>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(5.42)%</w:t>
            </w:r>
          </w:p>
        </w:tc>
        <w:tc>
          <w:tcPr>
            <w:tcW w:w="220" w:type="dxa"/>
            <w:vAlign w:val="bottom"/>
          </w:tcPr>
          <w:p>
            <w:pPr>
              <w:spacing w:after="0"/>
              <w:rPr>
                <w:sz w:val="13"/>
                <w:szCs w:val="13"/>
                <w:color w:val="auto"/>
              </w:rPr>
            </w:pPr>
          </w:p>
        </w:tc>
        <w:tc>
          <w:tcPr>
            <w:tcW w:w="940" w:type="dxa"/>
            <w:vAlign w:val="bottom"/>
            <w:gridSpan w:val="2"/>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4"/>
                <w:szCs w:val="14"/>
                <w:color w:val="auto"/>
              </w:rPr>
              <w:t>-</w:t>
            </w:r>
          </w:p>
        </w:tc>
      </w:tr>
      <w:tr>
        <w:trPr>
          <w:trHeight w:val="157"/>
        </w:trPr>
        <w:tc>
          <w:tcPr>
            <w:tcW w:w="378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Permanent differences (warrants)</w:t>
            </w:r>
          </w:p>
        </w:tc>
        <w:tc>
          <w:tcPr>
            <w:tcW w:w="200" w:type="dxa"/>
            <w:vAlign w:val="bottom"/>
            <w:shd w:val="clear" w:color="auto" w:fill="D1EEF5"/>
          </w:tcPr>
          <w:p>
            <w:pPr>
              <w:spacing w:after="0"/>
              <w:rPr>
                <w:sz w:val="13"/>
                <w:szCs w:val="13"/>
                <w:color w:val="auto"/>
              </w:rPr>
            </w:pPr>
          </w:p>
        </w:tc>
        <w:tc>
          <w:tcPr>
            <w:tcW w:w="940" w:type="dxa"/>
            <w:vAlign w:val="bottom"/>
            <w:gridSpan w:val="2"/>
            <w:shd w:val="clear" w:color="auto" w:fill="D1EEF5"/>
          </w:tcPr>
          <w:p>
            <w:pPr>
              <w:jc w:val="right"/>
              <w:ind w:right="160"/>
              <w:spacing w:after="0" w:line="157" w:lineRule="exact"/>
              <w:rPr>
                <w:sz w:val="20"/>
                <w:szCs w:val="20"/>
                <w:color w:val="auto"/>
              </w:rPr>
            </w:pPr>
            <w:r>
              <w:rPr>
                <w:rFonts w:ascii="Times New Roman" w:cs="Times New Roman" w:eastAsia="Times New Roman" w:hAnsi="Times New Roman"/>
                <w:sz w:val="14"/>
                <w:szCs w:val="14"/>
                <w:color w:val="auto"/>
              </w:rPr>
              <w:t>(1,144)</w:t>
            </w:r>
          </w:p>
        </w:tc>
        <w:tc>
          <w:tcPr>
            <w:tcW w:w="80" w:type="dxa"/>
            <w:vAlign w:val="bottom"/>
            <w:shd w:val="clear" w:color="auto" w:fill="D1EEF5"/>
          </w:tcPr>
          <w:p>
            <w:pPr>
              <w:spacing w:after="0"/>
              <w:rPr>
                <w:sz w:val="13"/>
                <w:szCs w:val="13"/>
                <w:color w:val="auto"/>
              </w:rPr>
            </w:pPr>
          </w:p>
        </w:tc>
        <w:tc>
          <w:tcPr>
            <w:tcW w:w="82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2.84%</w:t>
            </w:r>
          </w:p>
        </w:tc>
        <w:tc>
          <w:tcPr>
            <w:tcW w:w="20" w:type="dxa"/>
            <w:vAlign w:val="bottom"/>
            <w:shd w:val="clear" w:color="auto" w:fill="D1EEF5"/>
          </w:tcPr>
          <w:p>
            <w:pPr>
              <w:spacing w:after="0"/>
              <w:rPr>
                <w:sz w:val="13"/>
                <w:szCs w:val="13"/>
                <w:color w:val="auto"/>
              </w:rPr>
            </w:pPr>
          </w:p>
        </w:tc>
        <w:tc>
          <w:tcPr>
            <w:tcW w:w="220" w:type="dxa"/>
            <w:vAlign w:val="bottom"/>
            <w:shd w:val="clear" w:color="auto" w:fill="D1EEF5"/>
          </w:tcPr>
          <w:p>
            <w:pPr>
              <w:spacing w:after="0"/>
              <w:rPr>
                <w:sz w:val="13"/>
                <w:szCs w:val="13"/>
                <w:color w:val="auto"/>
              </w:rPr>
            </w:pPr>
          </w:p>
        </w:tc>
        <w:tc>
          <w:tcPr>
            <w:tcW w:w="220" w:type="dxa"/>
            <w:vAlign w:val="bottom"/>
            <w:shd w:val="clear" w:color="auto" w:fill="D1EEF5"/>
          </w:tcPr>
          <w:p>
            <w:pPr>
              <w:spacing w:after="0"/>
              <w:rPr>
                <w:sz w:val="13"/>
                <w:szCs w:val="13"/>
                <w:color w:val="auto"/>
              </w:rPr>
            </w:pPr>
          </w:p>
        </w:tc>
        <w:tc>
          <w:tcPr>
            <w:tcW w:w="70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D1EEF5"/>
          </w:tcPr>
          <w:p>
            <w:pPr>
              <w:spacing w:after="0"/>
              <w:rPr>
                <w:sz w:val="13"/>
                <w:szCs w:val="13"/>
                <w:color w:val="auto"/>
              </w:rPr>
            </w:pPr>
          </w:p>
        </w:tc>
        <w:tc>
          <w:tcPr>
            <w:tcW w:w="80" w:type="dxa"/>
            <w:vAlign w:val="bottom"/>
            <w:shd w:val="clear" w:color="auto" w:fill="D1EEF5"/>
          </w:tcPr>
          <w:p>
            <w:pPr>
              <w:spacing w:after="0"/>
              <w:rPr>
                <w:sz w:val="13"/>
                <w:szCs w:val="13"/>
                <w:color w:val="auto"/>
              </w:rPr>
            </w:pPr>
          </w:p>
        </w:tc>
        <w:tc>
          <w:tcPr>
            <w:tcW w:w="82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1EEF5"/>
          </w:tcPr>
          <w:p>
            <w:pPr>
              <w:spacing w:after="0"/>
              <w:rPr>
                <w:sz w:val="13"/>
                <w:szCs w:val="13"/>
                <w:color w:val="auto"/>
              </w:rPr>
            </w:pPr>
          </w:p>
        </w:tc>
      </w:tr>
      <w:tr>
        <w:trPr>
          <w:trHeight w:val="156"/>
        </w:trPr>
        <w:tc>
          <w:tcPr>
            <w:tcW w:w="37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Permanent differences (other -other than tax)</w:t>
            </w:r>
          </w:p>
        </w:tc>
        <w:tc>
          <w:tcPr>
            <w:tcW w:w="20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458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(1.14)%</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188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3.16%</w:t>
            </w:r>
          </w:p>
        </w:tc>
        <w:tc>
          <w:tcPr>
            <w:tcW w:w="80" w:type="dxa"/>
            <w:vAlign w:val="bottom"/>
          </w:tcPr>
          <w:p>
            <w:pPr>
              <w:spacing w:after="0"/>
              <w:rPr>
                <w:sz w:val="13"/>
                <w:szCs w:val="13"/>
                <w:color w:val="auto"/>
              </w:rPr>
            </w:pPr>
          </w:p>
        </w:tc>
      </w:tr>
      <w:tr>
        <w:trPr>
          <w:trHeight w:val="156"/>
        </w:trPr>
        <w:tc>
          <w:tcPr>
            <w:tcW w:w="378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State taxes, net</w:t>
            </w:r>
          </w:p>
        </w:tc>
        <w:tc>
          <w:tcPr>
            <w:tcW w:w="200" w:type="dxa"/>
            <w:vAlign w:val="bottom"/>
            <w:shd w:val="clear" w:color="auto" w:fill="D1EEF5"/>
          </w:tcPr>
          <w:p>
            <w:pPr>
              <w:spacing w:after="0"/>
              <w:rPr>
                <w:sz w:val="13"/>
                <w:szCs w:val="13"/>
                <w:color w:val="auto"/>
              </w:rPr>
            </w:pPr>
          </w:p>
        </w:tc>
        <w:tc>
          <w:tcPr>
            <w:tcW w:w="940" w:type="dxa"/>
            <w:vAlign w:val="bottom"/>
            <w:gridSpan w:val="2"/>
            <w:shd w:val="clear" w:color="auto" w:fill="D1EEF5"/>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(722)</w:t>
            </w:r>
          </w:p>
        </w:tc>
        <w:tc>
          <w:tcPr>
            <w:tcW w:w="80" w:type="dxa"/>
            <w:vAlign w:val="bottom"/>
            <w:shd w:val="clear" w:color="auto" w:fill="D1EEF5"/>
          </w:tcPr>
          <w:p>
            <w:pPr>
              <w:spacing w:after="0"/>
              <w:rPr>
                <w:sz w:val="13"/>
                <w:szCs w:val="13"/>
                <w:color w:val="auto"/>
              </w:rPr>
            </w:pPr>
          </w:p>
        </w:tc>
        <w:tc>
          <w:tcPr>
            <w:tcW w:w="82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1.79%</w:t>
            </w:r>
          </w:p>
        </w:tc>
        <w:tc>
          <w:tcPr>
            <w:tcW w:w="20" w:type="dxa"/>
            <w:vAlign w:val="bottom"/>
            <w:shd w:val="clear" w:color="auto" w:fill="D1EEF5"/>
          </w:tcPr>
          <w:p>
            <w:pPr>
              <w:spacing w:after="0"/>
              <w:rPr>
                <w:sz w:val="13"/>
                <w:szCs w:val="13"/>
                <w:color w:val="auto"/>
              </w:rPr>
            </w:pPr>
          </w:p>
        </w:tc>
        <w:tc>
          <w:tcPr>
            <w:tcW w:w="220" w:type="dxa"/>
            <w:vAlign w:val="bottom"/>
            <w:shd w:val="clear" w:color="auto" w:fill="D1EEF5"/>
          </w:tcPr>
          <w:p>
            <w:pPr>
              <w:spacing w:after="0"/>
              <w:rPr>
                <w:sz w:val="13"/>
                <w:szCs w:val="13"/>
                <w:color w:val="auto"/>
              </w:rPr>
            </w:pPr>
          </w:p>
        </w:tc>
        <w:tc>
          <w:tcPr>
            <w:tcW w:w="220" w:type="dxa"/>
            <w:vAlign w:val="bottom"/>
            <w:shd w:val="clear" w:color="auto" w:fill="D1EEF5"/>
          </w:tcPr>
          <w:p>
            <w:pPr>
              <w:spacing w:after="0"/>
              <w:rPr>
                <w:sz w:val="13"/>
                <w:szCs w:val="13"/>
                <w:color w:val="auto"/>
              </w:rPr>
            </w:pPr>
          </w:p>
        </w:tc>
        <w:tc>
          <w:tcPr>
            <w:tcW w:w="940" w:type="dxa"/>
            <w:vAlign w:val="bottom"/>
            <w:gridSpan w:val="2"/>
            <w:shd w:val="clear" w:color="auto" w:fill="D1EEF5"/>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D1EEF5"/>
          </w:tcPr>
          <w:p>
            <w:pPr>
              <w:spacing w:after="0"/>
              <w:rPr>
                <w:sz w:val="13"/>
                <w:szCs w:val="13"/>
                <w:color w:val="auto"/>
              </w:rPr>
            </w:pPr>
          </w:p>
        </w:tc>
        <w:tc>
          <w:tcPr>
            <w:tcW w:w="82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2.15%</w:t>
            </w:r>
          </w:p>
        </w:tc>
        <w:tc>
          <w:tcPr>
            <w:tcW w:w="80" w:type="dxa"/>
            <w:vAlign w:val="bottom"/>
            <w:shd w:val="clear" w:color="auto" w:fill="D1EEF5"/>
          </w:tcPr>
          <w:p>
            <w:pPr>
              <w:spacing w:after="0"/>
              <w:rPr>
                <w:sz w:val="13"/>
                <w:szCs w:val="13"/>
                <w:color w:val="auto"/>
              </w:rPr>
            </w:pPr>
          </w:p>
        </w:tc>
      </w:tr>
      <w:tr>
        <w:trPr>
          <w:trHeight w:val="157"/>
        </w:trPr>
        <w:tc>
          <w:tcPr>
            <w:tcW w:w="37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Deferred true-up</w:t>
            </w:r>
          </w:p>
        </w:tc>
        <w:tc>
          <w:tcPr>
            <w:tcW w:w="200" w:type="dxa"/>
            <w:vAlign w:val="bottom"/>
          </w:tcPr>
          <w:p>
            <w:pPr>
              <w:spacing w:after="0"/>
              <w:rPr>
                <w:sz w:val="13"/>
                <w:szCs w:val="13"/>
                <w:color w:val="auto"/>
              </w:rPr>
            </w:pPr>
          </w:p>
        </w:tc>
        <w:tc>
          <w:tcPr>
            <w:tcW w:w="940" w:type="dxa"/>
            <w:vAlign w:val="bottom"/>
            <w:gridSpan w:val="2"/>
          </w:tcPr>
          <w:p>
            <w:pPr>
              <w:jc w:val="right"/>
              <w:ind w:right="160"/>
              <w:spacing w:after="0" w:line="157" w:lineRule="exact"/>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0.71%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56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0.94%</w:t>
            </w:r>
          </w:p>
        </w:tc>
        <w:tc>
          <w:tcPr>
            <w:tcW w:w="80" w:type="dxa"/>
            <w:vAlign w:val="bottom"/>
          </w:tcPr>
          <w:p>
            <w:pPr>
              <w:spacing w:after="0"/>
              <w:rPr>
                <w:sz w:val="13"/>
                <w:szCs w:val="13"/>
                <w:color w:val="auto"/>
              </w:rPr>
            </w:pPr>
          </w:p>
        </w:tc>
      </w:tr>
      <w:tr>
        <w:trPr>
          <w:trHeight w:val="156"/>
        </w:trPr>
        <w:tc>
          <w:tcPr>
            <w:tcW w:w="378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Research and development credits</w:t>
            </w:r>
          </w:p>
        </w:tc>
        <w:tc>
          <w:tcPr>
            <w:tcW w:w="200" w:type="dxa"/>
            <w:vAlign w:val="bottom"/>
            <w:shd w:val="clear" w:color="auto" w:fill="D1EEF5"/>
          </w:tcPr>
          <w:p>
            <w:pPr>
              <w:spacing w:after="0"/>
              <w:rPr>
                <w:sz w:val="13"/>
                <w:szCs w:val="13"/>
                <w:color w:val="auto"/>
              </w:rPr>
            </w:pPr>
          </w:p>
        </w:tc>
        <w:tc>
          <w:tcPr>
            <w:tcW w:w="940" w:type="dxa"/>
            <w:vAlign w:val="bottom"/>
            <w:gridSpan w:val="2"/>
            <w:shd w:val="clear" w:color="auto" w:fill="D1EEF5"/>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D1EEF5"/>
          </w:tcPr>
          <w:p>
            <w:pPr>
              <w:spacing w:after="0"/>
              <w:rPr>
                <w:sz w:val="13"/>
                <w:szCs w:val="13"/>
                <w:color w:val="auto"/>
              </w:rPr>
            </w:pPr>
          </w:p>
        </w:tc>
        <w:tc>
          <w:tcPr>
            <w:tcW w:w="1060" w:type="dxa"/>
            <w:vAlign w:val="bottom"/>
            <w:gridSpan w:val="3"/>
            <w:shd w:val="clear" w:color="auto" w:fill="D1EEF5"/>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0.50%</w:t>
            </w:r>
          </w:p>
        </w:tc>
        <w:tc>
          <w:tcPr>
            <w:tcW w:w="220" w:type="dxa"/>
            <w:vAlign w:val="bottom"/>
            <w:shd w:val="clear" w:color="auto" w:fill="D1EEF5"/>
          </w:tcPr>
          <w:p>
            <w:pPr>
              <w:spacing w:after="0"/>
              <w:rPr>
                <w:sz w:val="13"/>
                <w:szCs w:val="13"/>
                <w:color w:val="auto"/>
              </w:rPr>
            </w:pPr>
          </w:p>
        </w:tc>
        <w:tc>
          <w:tcPr>
            <w:tcW w:w="700" w:type="dxa"/>
            <w:vAlign w:val="bottom"/>
            <w:shd w:val="clear" w:color="auto" w:fill="D1EEF5"/>
          </w:tcPr>
          <w:p>
            <w:pPr>
              <w:spacing w:after="0"/>
              <w:rPr>
                <w:sz w:val="13"/>
                <w:szCs w:val="13"/>
                <w:color w:val="auto"/>
              </w:rPr>
            </w:pPr>
          </w:p>
        </w:tc>
        <w:tc>
          <w:tcPr>
            <w:tcW w:w="240" w:type="dxa"/>
            <w:vAlign w:val="bottom"/>
            <w:shd w:val="clear" w:color="auto" w:fill="D1EEF5"/>
          </w:tcPr>
          <w:p>
            <w:pPr>
              <w:spacing w:after="0"/>
              <w:rPr>
                <w:sz w:val="13"/>
                <w:szCs w:val="13"/>
                <w:color w:val="auto"/>
              </w:rPr>
            </w:pPr>
          </w:p>
        </w:tc>
        <w:tc>
          <w:tcPr>
            <w:tcW w:w="80" w:type="dxa"/>
            <w:vAlign w:val="bottom"/>
            <w:shd w:val="clear" w:color="auto" w:fill="D1EEF5"/>
          </w:tcPr>
          <w:p>
            <w:pPr>
              <w:spacing w:after="0"/>
              <w:rPr>
                <w:sz w:val="13"/>
                <w:szCs w:val="13"/>
                <w:color w:val="auto"/>
              </w:rPr>
            </w:pPr>
          </w:p>
        </w:tc>
        <w:tc>
          <w:tcPr>
            <w:tcW w:w="820" w:type="dxa"/>
            <w:vAlign w:val="bottom"/>
            <w:shd w:val="clear" w:color="auto" w:fill="D1EEF5"/>
          </w:tcPr>
          <w:p>
            <w:pPr>
              <w:spacing w:after="0"/>
              <w:rPr>
                <w:sz w:val="13"/>
                <w:szCs w:val="13"/>
                <w:color w:val="auto"/>
              </w:rPr>
            </w:pPr>
          </w:p>
        </w:tc>
        <w:tc>
          <w:tcPr>
            <w:tcW w:w="80" w:type="dxa"/>
            <w:vAlign w:val="bottom"/>
            <w:shd w:val="clear" w:color="auto" w:fill="D1EEF5"/>
          </w:tcPr>
          <w:p>
            <w:pPr>
              <w:spacing w:after="0"/>
              <w:rPr>
                <w:sz w:val="13"/>
                <w:szCs w:val="13"/>
                <w:color w:val="auto"/>
              </w:rPr>
            </w:pPr>
          </w:p>
        </w:tc>
      </w:tr>
      <w:tr>
        <w:trPr>
          <w:trHeight w:val="156"/>
        </w:trPr>
        <w:tc>
          <w:tcPr>
            <w:tcW w:w="37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Uncertain tax positions</w:t>
            </w:r>
          </w:p>
        </w:tc>
        <w:tc>
          <w:tcPr>
            <w:tcW w:w="200" w:type="dxa"/>
            <w:vAlign w:val="bottom"/>
          </w:tcPr>
          <w:p>
            <w:pPr>
              <w:spacing w:after="0"/>
              <w:rPr>
                <w:sz w:val="13"/>
                <w:szCs w:val="13"/>
                <w:color w:val="auto"/>
              </w:rPr>
            </w:pPr>
          </w:p>
        </w:tc>
        <w:tc>
          <w:tcPr>
            <w:tcW w:w="94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(0.32)%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(0.32)%</w:t>
            </w:r>
          </w:p>
        </w:tc>
        <w:tc>
          <w:tcPr>
            <w:tcW w:w="80" w:type="dxa"/>
            <w:vAlign w:val="bottom"/>
          </w:tcPr>
          <w:p>
            <w:pPr>
              <w:spacing w:after="0"/>
              <w:rPr>
                <w:sz w:val="13"/>
                <w:szCs w:val="13"/>
                <w:color w:val="auto"/>
              </w:rPr>
            </w:pPr>
          </w:p>
        </w:tc>
      </w:tr>
      <w:tr>
        <w:trPr>
          <w:trHeight w:val="156"/>
        </w:trPr>
        <w:tc>
          <w:tcPr>
            <w:tcW w:w="378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D1EEF5"/>
          </w:tcPr>
          <w:p>
            <w:pPr>
              <w:spacing w:after="0"/>
              <w:rPr>
                <w:sz w:val="13"/>
                <w:szCs w:val="13"/>
                <w:color w:val="auto"/>
              </w:rPr>
            </w:pPr>
          </w:p>
        </w:tc>
        <w:tc>
          <w:tcPr>
            <w:tcW w:w="940" w:type="dxa"/>
            <w:vAlign w:val="bottom"/>
            <w:gridSpan w:val="2"/>
            <w:shd w:val="clear" w:color="auto" w:fill="D1EEF5"/>
          </w:tcPr>
          <w:p>
            <w:pPr>
              <w:jc w:val="right"/>
              <w:ind w:right="200"/>
              <w:spacing w:after="0" w:line="156"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D1EEF5"/>
          </w:tcPr>
          <w:p>
            <w:pPr>
              <w:spacing w:after="0"/>
              <w:rPr>
                <w:sz w:val="13"/>
                <w:szCs w:val="13"/>
                <w:color w:val="auto"/>
              </w:rPr>
            </w:pPr>
          </w:p>
        </w:tc>
        <w:tc>
          <w:tcPr>
            <w:tcW w:w="82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(0.02)%</w:t>
            </w:r>
          </w:p>
        </w:tc>
        <w:tc>
          <w:tcPr>
            <w:tcW w:w="20" w:type="dxa"/>
            <w:vAlign w:val="bottom"/>
            <w:shd w:val="clear" w:color="auto" w:fill="D1EEF5"/>
          </w:tcPr>
          <w:p>
            <w:pPr>
              <w:spacing w:after="0"/>
              <w:rPr>
                <w:sz w:val="13"/>
                <w:szCs w:val="13"/>
                <w:color w:val="auto"/>
              </w:rPr>
            </w:pPr>
          </w:p>
        </w:tc>
        <w:tc>
          <w:tcPr>
            <w:tcW w:w="220" w:type="dxa"/>
            <w:vAlign w:val="bottom"/>
            <w:shd w:val="clear" w:color="auto" w:fill="D1EEF5"/>
          </w:tcPr>
          <w:p>
            <w:pPr>
              <w:spacing w:after="0"/>
              <w:rPr>
                <w:sz w:val="13"/>
                <w:szCs w:val="13"/>
                <w:color w:val="auto"/>
              </w:rPr>
            </w:pPr>
          </w:p>
        </w:tc>
        <w:tc>
          <w:tcPr>
            <w:tcW w:w="220" w:type="dxa"/>
            <w:vAlign w:val="bottom"/>
            <w:shd w:val="clear" w:color="auto" w:fill="D1EEF5"/>
          </w:tcPr>
          <w:p>
            <w:pPr>
              <w:spacing w:after="0"/>
              <w:rPr>
                <w:sz w:val="13"/>
                <w:szCs w:val="13"/>
                <w:color w:val="auto"/>
              </w:rPr>
            </w:pPr>
          </w:p>
        </w:tc>
        <w:tc>
          <w:tcPr>
            <w:tcW w:w="70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D1EEF5"/>
          </w:tcPr>
          <w:p>
            <w:pPr>
              <w:spacing w:after="0"/>
              <w:rPr>
                <w:sz w:val="13"/>
                <w:szCs w:val="13"/>
                <w:color w:val="auto"/>
              </w:rPr>
            </w:pPr>
          </w:p>
        </w:tc>
        <w:tc>
          <w:tcPr>
            <w:tcW w:w="80" w:type="dxa"/>
            <w:vAlign w:val="bottom"/>
            <w:shd w:val="clear" w:color="auto" w:fill="D1EEF5"/>
          </w:tcPr>
          <w:p>
            <w:pPr>
              <w:spacing w:after="0"/>
              <w:rPr>
                <w:sz w:val="13"/>
                <w:szCs w:val="13"/>
                <w:color w:val="auto"/>
              </w:rPr>
            </w:pPr>
          </w:p>
        </w:tc>
        <w:tc>
          <w:tcPr>
            <w:tcW w:w="82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0.15%</w:t>
            </w:r>
          </w:p>
        </w:tc>
        <w:tc>
          <w:tcPr>
            <w:tcW w:w="80" w:type="dxa"/>
            <w:vAlign w:val="bottom"/>
            <w:shd w:val="clear" w:color="auto" w:fill="D1EEF5"/>
          </w:tcPr>
          <w:p>
            <w:pPr>
              <w:spacing w:after="0"/>
              <w:rPr>
                <w:sz w:val="13"/>
                <w:szCs w:val="13"/>
                <w:color w:val="auto"/>
              </w:rPr>
            </w:pPr>
          </w:p>
        </w:tc>
      </w:tr>
      <w:tr>
        <w:trPr>
          <w:trHeight w:val="167"/>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2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7,324</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r>
      <w:tr>
        <w:trPr>
          <w:trHeight w:val="186"/>
        </w:trPr>
        <w:tc>
          <w:tcPr>
            <w:tcW w:w="3780" w:type="dxa"/>
            <w:vAlign w:val="bottom"/>
            <w:tcBorders>
              <w:top w:val="single" w:sz="8" w:color="D1EEF5"/>
              <w:bottom w:val="single" w:sz="8" w:color="D1EEF5"/>
            </w:tcBorders>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D1EEF5"/>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240" w:type="dxa"/>
            <w:vAlign w:val="bottom"/>
            <w:tcBorders>
              <w:top w:val="single" w:sz="8" w:color="D1EEF5"/>
              <w:bottom w:val="single" w:sz="8" w:color="D1EEF5"/>
            </w:tcBorders>
            <w:shd w:val="clear" w:color="auto" w:fill="D1EEF5"/>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D1EEF5"/>
            </w:tcBorders>
            <w:shd w:val="clear" w:color="auto" w:fill="D1EEF5"/>
          </w:tcPr>
          <w:p>
            <w:pPr>
              <w:spacing w:after="0"/>
              <w:rPr>
                <w:sz w:val="16"/>
                <w:szCs w:val="16"/>
                <w:color w:val="auto"/>
              </w:rPr>
            </w:pPr>
          </w:p>
        </w:tc>
        <w:tc>
          <w:tcPr>
            <w:tcW w:w="820" w:type="dxa"/>
            <w:vAlign w:val="bottom"/>
            <w:tcBorders>
              <w:top w:val="single" w:sz="8" w:color="auto"/>
              <w:bottom w:val="single" w:sz="8" w:color="D1EEF5"/>
            </w:tcBorders>
            <w:shd w:val="clear" w:color="auto" w:fill="D1EEF5"/>
          </w:tcPr>
          <w:p>
            <w:pPr>
              <w:spacing w:after="0"/>
              <w:rPr>
                <w:sz w:val="16"/>
                <w:szCs w:val="16"/>
                <w:color w:val="auto"/>
              </w:rPr>
            </w:pPr>
          </w:p>
        </w:tc>
        <w:tc>
          <w:tcPr>
            <w:tcW w:w="20" w:type="dxa"/>
            <w:vAlign w:val="bottom"/>
            <w:tcBorders>
              <w:top w:val="single" w:sz="8" w:color="auto"/>
              <w:bottom w:val="single" w:sz="8" w:color="D1EEF5"/>
            </w:tcBorders>
            <w:shd w:val="clear" w:color="auto" w:fill="D1EEF5"/>
          </w:tcPr>
          <w:p>
            <w:pPr>
              <w:spacing w:after="0"/>
              <w:rPr>
                <w:sz w:val="16"/>
                <w:szCs w:val="16"/>
                <w:color w:val="auto"/>
              </w:rPr>
            </w:pPr>
          </w:p>
        </w:tc>
        <w:tc>
          <w:tcPr>
            <w:tcW w:w="220" w:type="dxa"/>
            <w:vAlign w:val="bottom"/>
            <w:tcBorders>
              <w:top w:val="single" w:sz="8" w:color="D1EEF5"/>
              <w:bottom w:val="single" w:sz="8" w:color="D1EEF5"/>
            </w:tcBorders>
            <w:shd w:val="clear" w:color="auto" w:fill="D1EEF5"/>
          </w:tcPr>
          <w:p>
            <w:pPr>
              <w:spacing w:after="0"/>
              <w:rPr>
                <w:sz w:val="16"/>
                <w:szCs w:val="16"/>
                <w:color w:val="auto"/>
              </w:rPr>
            </w:pPr>
          </w:p>
        </w:tc>
        <w:tc>
          <w:tcPr>
            <w:tcW w:w="220" w:type="dxa"/>
            <w:vAlign w:val="bottom"/>
            <w:tcBorders>
              <w:top w:val="single" w:sz="8" w:color="auto"/>
              <w:bottom w:val="single" w:sz="8" w:color="auto"/>
            </w:tcBorders>
            <w:shd w:val="clear" w:color="auto" w:fill="D1EEF5"/>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240" w:type="dxa"/>
            <w:vAlign w:val="bottom"/>
            <w:tcBorders>
              <w:top w:val="single" w:sz="8" w:color="D1EEF5"/>
              <w:bottom w:val="single" w:sz="8" w:color="D1EEF5"/>
            </w:tcBorders>
            <w:shd w:val="clear" w:color="auto" w:fill="D1EEF5"/>
          </w:tcPr>
          <w:p>
            <w:pPr>
              <w:spacing w:after="0"/>
              <w:rPr>
                <w:sz w:val="16"/>
                <w:szCs w:val="16"/>
                <w:color w:val="auto"/>
              </w:rPr>
            </w:pPr>
          </w:p>
        </w:tc>
        <w:tc>
          <w:tcPr>
            <w:tcW w:w="80" w:type="dxa"/>
            <w:vAlign w:val="bottom"/>
            <w:tcBorders>
              <w:top w:val="single" w:sz="8" w:color="auto"/>
              <w:bottom w:val="single" w:sz="8" w:color="D1EEF5"/>
            </w:tcBorders>
            <w:shd w:val="clear" w:color="auto" w:fill="D1EEF5"/>
          </w:tcPr>
          <w:p>
            <w:pPr>
              <w:spacing w:after="0"/>
              <w:rPr>
                <w:sz w:val="16"/>
                <w:szCs w:val="16"/>
                <w:color w:val="auto"/>
              </w:rPr>
            </w:pPr>
          </w:p>
        </w:tc>
        <w:tc>
          <w:tcPr>
            <w:tcW w:w="820" w:type="dxa"/>
            <w:vAlign w:val="bottom"/>
            <w:tcBorders>
              <w:top w:val="single" w:sz="8" w:color="auto"/>
              <w:bottom w:val="single" w:sz="8" w:color="D1EEF5"/>
            </w:tcBorders>
            <w:shd w:val="clear" w:color="auto" w:fill="D1EEF5"/>
          </w:tcPr>
          <w:p>
            <w:pPr>
              <w:spacing w:after="0"/>
              <w:rPr>
                <w:sz w:val="16"/>
                <w:szCs w:val="16"/>
                <w:color w:val="auto"/>
              </w:rPr>
            </w:pPr>
          </w:p>
        </w:tc>
        <w:tc>
          <w:tcPr>
            <w:tcW w:w="80" w:type="dxa"/>
            <w:vAlign w:val="bottom"/>
            <w:tcBorders>
              <w:top w:val="single" w:sz="8" w:color="D1EEF5"/>
              <w:bottom w:val="single" w:sz="8" w:color="D1EEF5"/>
            </w:tcBorders>
            <w:shd w:val="clear" w:color="auto" w:fill="D1EEF5"/>
          </w:tcPr>
          <w:p>
            <w:pPr>
              <w:spacing w:after="0"/>
              <w:rPr>
                <w:sz w:val="16"/>
                <w:szCs w:val="16"/>
                <w:color w:val="auto"/>
              </w:rPr>
            </w:pPr>
          </w:p>
        </w:tc>
      </w:tr>
      <w:tr>
        <w:trPr>
          <w:trHeight w:val="144"/>
        </w:trPr>
        <w:tc>
          <w:tcPr>
            <w:tcW w:w="378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Effective tax rate</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1.76%</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27.08%</w:t>
            </w:r>
          </w:p>
        </w:tc>
        <w:tc>
          <w:tcPr>
            <w:tcW w:w="80" w:type="dxa"/>
            <w:vAlign w:val="bottom"/>
          </w:tcPr>
          <w:p>
            <w:pPr>
              <w:spacing w:after="0"/>
              <w:rPr>
                <w:sz w:val="12"/>
                <w:szCs w:val="12"/>
                <w:color w:val="auto"/>
              </w:rPr>
            </w:pPr>
          </w:p>
        </w:tc>
      </w:tr>
    </w:tbl>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tax returns of the Company are open for three years form the date of filing. At the report date, the statute of limitations for federal and state tax returns are open for the Company for 2019, 2020 and 2021.</w:t>
      </w:r>
    </w:p>
    <w:p>
      <w:pPr>
        <w:spacing w:after="0" w:line="1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evaluated if section 382 was triggered.</w:t>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Subject to the limitations described below, as of December 31, 2022, the Company had federal net operating loss carryforwards of approximately $16,140, available to reduce future taxable income which do not expire, but are limited to 80% utilization against taxable income. As of December 31, 2022, the Company had state net operating loss carryforwards of approximately $6,747, available to reduce future taxable income, which start to expire in 2037. The Company also had research and development credits of $200 as of December 31, 2022 to offset future federal income taxes, which are set to expire in 2042.</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wp:posOffset>
                </wp:positionV>
                <wp:extent cx="650938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85pt" to="512.25pt,0.85pt" o:allowincell="f" strokecolor="#000000" strokeweight="1.2599pt"/>
            </w:pict>
          </mc:Fallback>
        </mc:AlternateContent>
      </w:r>
    </w:p>
    <w:p>
      <w:pPr>
        <w:sectPr>
          <w:pgSz w:w="12240" w:h="15840" w:orient="portrait"/>
          <w:cols w:equalWidth="0" w:num="1">
            <w:col w:w="10240"/>
          </w:cols>
          <w:pgMar w:left="1000" w:top="1208" w:right="1000"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Management of the Company evaluated the positive and negative evidence bearing upon the realizability of its deferred tax assets and determined that it is more likely than not that the Company will not recognize the benefits of the deferred tax assets. As a result, a full valuation allowance was recorded as of December 31, 2022. The valuation allowance as of December 31, 2022 was $7,324, primarily due to the company entering into a 3 year cumulative loss position and no expectation of income for the year ended December 31, 2023.</w:t>
      </w:r>
    </w:p>
    <w:p>
      <w:pPr>
        <w:spacing w:after="0" w:line="1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As part of the Tax Cuts and Jobs Act that was enacted in December of 2017, taxpayers are required to capitalize research and development expenses and amortize them over five years if the expense is incurred in the US and over fifteen years if incurred in a foreign jurisdiction. The effective date for that provision is for tax years beginning on or after January 1, 2022. The new capitalization requirement increased deferred tax assets related to research and development expenses and decreased taxable loss in the current year, both of which were offset by a full valuation allowance.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roll-forward of the Company’s gross uncertain tax positions is as follows:</w:t>
            </w: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88"/>
        </w:trPr>
        <w:tc>
          <w:tcPr>
            <w:tcW w:w="10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Gross Uncertain Tax</w:t>
            </w:r>
          </w:p>
        </w:tc>
      </w:tr>
      <w:tr>
        <w:trPr>
          <w:trHeight w:val="178"/>
        </w:trPr>
        <w:tc>
          <w:tcPr>
            <w:tcW w:w="10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Position</w:t>
            </w:r>
          </w:p>
        </w:tc>
      </w:tr>
      <w:tr>
        <w:trPr>
          <w:trHeight w:val="155"/>
        </w:trPr>
        <w:tc>
          <w:tcPr>
            <w:tcW w:w="1020" w:type="dxa"/>
            <w:vAlign w:val="bottom"/>
          </w:tcPr>
          <w:p>
            <w:pPr>
              <w:spacing w:after="0"/>
              <w:rPr>
                <w:sz w:val="13"/>
                <w:szCs w:val="13"/>
                <w:color w:val="auto"/>
              </w:rPr>
            </w:pPr>
          </w:p>
        </w:tc>
        <w:tc>
          <w:tcPr>
            <w:tcW w:w="4880" w:type="dxa"/>
            <w:vAlign w:val="bottom"/>
            <w:tcBorders>
              <w:top w:val="single" w:sz="8" w:color="D1EEF5"/>
            </w:tcBorders>
            <w:shd w:val="clear" w:color="auto" w:fill="D1EEF5"/>
          </w:tcPr>
          <w:p>
            <w:pPr>
              <w:spacing w:after="0" w:line="155" w:lineRule="exact"/>
              <w:rPr>
                <w:sz w:val="20"/>
                <w:szCs w:val="20"/>
                <w:color w:val="auto"/>
              </w:rPr>
            </w:pPr>
            <w:r>
              <w:rPr>
                <w:rFonts w:ascii="Times New Roman" w:cs="Times New Roman" w:eastAsia="Times New Roman" w:hAnsi="Times New Roman"/>
                <w:sz w:val="14"/>
                <w:szCs w:val="14"/>
                <w:color w:val="auto"/>
              </w:rPr>
              <w:t>Balance January 1, 2021</w:t>
            </w:r>
          </w:p>
        </w:tc>
        <w:tc>
          <w:tcPr>
            <w:tcW w:w="1660" w:type="dxa"/>
            <w:vAlign w:val="bottom"/>
            <w:tcBorders>
              <w:top w:val="single" w:sz="8" w:color="D1EEF5"/>
            </w:tcBorders>
            <w:shd w:val="clear" w:color="auto" w:fill="D1EEF5"/>
          </w:tcPr>
          <w:p>
            <w:pPr>
              <w:spacing w:after="0"/>
              <w:rPr>
                <w:sz w:val="13"/>
                <w:szCs w:val="13"/>
                <w:color w:val="auto"/>
              </w:rPr>
            </w:pPr>
          </w:p>
        </w:tc>
        <w:tc>
          <w:tcPr>
            <w:tcW w:w="140" w:type="dxa"/>
            <w:vAlign w:val="bottom"/>
            <w:tcBorders>
              <w:top w:val="single" w:sz="8" w:color="auto"/>
            </w:tcBorders>
            <w:shd w:val="clear" w:color="auto" w:fill="D1EEF5"/>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D1EEF5"/>
          </w:tcPr>
          <w:p>
            <w:pPr>
              <w:jc w:val="right"/>
              <w:spacing w:after="0" w:line="155"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top w:val="single" w:sz="8" w:color="D1EEF5"/>
            </w:tcBorders>
            <w:shd w:val="clear" w:color="auto" w:fill="D1EEF5"/>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48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Additions for current year tax positions</w:t>
            </w: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r>
      <w:tr>
        <w:trPr>
          <w:trHeight w:val="181"/>
        </w:trPr>
        <w:tc>
          <w:tcPr>
            <w:tcW w:w="1020" w:type="dxa"/>
            <w:vAlign w:val="bottom"/>
          </w:tcPr>
          <w:p>
            <w:pPr>
              <w:spacing w:after="0"/>
              <w:rPr>
                <w:sz w:val="15"/>
                <w:szCs w:val="15"/>
                <w:color w:val="auto"/>
              </w:rPr>
            </w:pPr>
          </w:p>
        </w:tc>
        <w:tc>
          <w:tcPr>
            <w:tcW w:w="488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Reductions for prior year tax positions</w:t>
            </w:r>
          </w:p>
        </w:tc>
        <w:tc>
          <w:tcPr>
            <w:tcW w:w="1660" w:type="dxa"/>
            <w:vAlign w:val="bottom"/>
            <w:shd w:val="clear" w:color="auto" w:fill="D1EEF5"/>
          </w:tcPr>
          <w:p>
            <w:pPr>
              <w:spacing w:after="0"/>
              <w:rPr>
                <w:sz w:val="15"/>
                <w:szCs w:val="15"/>
                <w:color w:val="auto"/>
              </w:rPr>
            </w:pPr>
          </w:p>
        </w:tc>
        <w:tc>
          <w:tcPr>
            <w:tcW w:w="140" w:type="dxa"/>
            <w:vAlign w:val="bottom"/>
            <w:shd w:val="clear" w:color="auto" w:fill="D1EEF5"/>
          </w:tcPr>
          <w:p>
            <w:pPr>
              <w:spacing w:after="0"/>
              <w:rPr>
                <w:sz w:val="15"/>
                <w:szCs w:val="15"/>
                <w:color w:val="auto"/>
              </w:rPr>
            </w:pPr>
          </w:p>
        </w:tc>
        <w:tc>
          <w:tcPr>
            <w:tcW w:w="1520" w:type="dxa"/>
            <w:vAlign w:val="bottom"/>
            <w:gridSpan w:val="2"/>
            <w:shd w:val="clear" w:color="auto" w:fill="D1EEF5"/>
          </w:tcPr>
          <w:p>
            <w:pPr>
              <w:jc w:val="right"/>
              <w:ind w:right="20"/>
              <w:spacing w:after="0"/>
              <w:rPr>
                <w:sz w:val="20"/>
                <w:szCs w:val="20"/>
                <w:color w:val="auto"/>
              </w:rPr>
            </w:pPr>
            <w:r>
              <w:rPr>
                <w:rFonts w:ascii="Times New Roman" w:cs="Times New Roman" w:eastAsia="Times New Roman" w:hAnsi="Times New Roman"/>
                <w:sz w:val="14"/>
                <w:szCs w:val="14"/>
                <w:color w:val="auto"/>
              </w:rPr>
              <w:t>(19)</w:t>
            </w:r>
          </w:p>
        </w:tc>
      </w:tr>
      <w:tr>
        <w:trPr>
          <w:trHeight w:val="142"/>
        </w:trPr>
        <w:tc>
          <w:tcPr>
            <w:tcW w:w="1020" w:type="dxa"/>
            <w:vAlign w:val="bottom"/>
          </w:tcPr>
          <w:p>
            <w:pPr>
              <w:spacing w:after="0"/>
              <w:rPr>
                <w:sz w:val="12"/>
                <w:szCs w:val="12"/>
                <w:color w:val="auto"/>
              </w:rPr>
            </w:pPr>
          </w:p>
        </w:tc>
        <w:tc>
          <w:tcPr>
            <w:tcW w:w="4880" w:type="dxa"/>
            <w:vAlign w:val="bottom"/>
            <w:tcBorders>
              <w:top w:val="single" w:sz="8" w:color="D1EEF5"/>
            </w:tcBorders>
          </w:tcPr>
          <w:p>
            <w:pPr>
              <w:spacing w:after="0" w:line="143" w:lineRule="exact"/>
              <w:rPr>
                <w:sz w:val="20"/>
                <w:szCs w:val="20"/>
                <w:color w:val="auto"/>
              </w:rPr>
            </w:pPr>
            <w:r>
              <w:rPr>
                <w:rFonts w:ascii="Times New Roman" w:cs="Times New Roman" w:eastAsia="Times New Roman" w:hAnsi="Times New Roman"/>
                <w:sz w:val="14"/>
                <w:szCs w:val="14"/>
                <w:color w:val="auto"/>
              </w:rPr>
              <w:t>Balance- December 31, 2021</w:t>
            </w:r>
          </w:p>
        </w:tc>
        <w:tc>
          <w:tcPr>
            <w:tcW w:w="1660" w:type="dxa"/>
            <w:vAlign w:val="bottom"/>
            <w:tcBorders>
              <w:top w:val="single" w:sz="8" w:color="D1EEF5"/>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D1EEF5"/>
            </w:tcBorders>
          </w:tcPr>
          <w:p>
            <w:pPr>
              <w:spacing w:after="0"/>
              <w:rPr>
                <w:sz w:val="12"/>
                <w:szCs w:val="12"/>
                <w:color w:val="auto"/>
              </w:rPr>
            </w:pPr>
          </w:p>
        </w:tc>
      </w:tr>
      <w:tr>
        <w:trPr>
          <w:trHeight w:val="182"/>
        </w:trPr>
        <w:tc>
          <w:tcPr>
            <w:tcW w:w="1020" w:type="dxa"/>
            <w:vAlign w:val="bottom"/>
          </w:tcPr>
          <w:p>
            <w:pPr>
              <w:spacing w:after="0"/>
              <w:rPr>
                <w:sz w:val="15"/>
                <w:szCs w:val="15"/>
                <w:color w:val="auto"/>
              </w:rPr>
            </w:pPr>
          </w:p>
        </w:tc>
        <w:tc>
          <w:tcPr>
            <w:tcW w:w="4880" w:type="dxa"/>
            <w:vAlign w:val="bottom"/>
            <w:tcBorders>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Additions for current year tax positions</w:t>
            </w:r>
          </w:p>
        </w:tc>
        <w:tc>
          <w:tcPr>
            <w:tcW w:w="1660" w:type="dxa"/>
            <w:vAlign w:val="bottom"/>
            <w:tcBorders>
              <w:bottom w:val="single" w:sz="8" w:color="D1EEF5"/>
            </w:tcBorders>
            <w:shd w:val="clear" w:color="auto" w:fill="D1EEF5"/>
          </w:tcPr>
          <w:p>
            <w:pPr>
              <w:spacing w:after="0"/>
              <w:rPr>
                <w:sz w:val="15"/>
                <w:szCs w:val="15"/>
                <w:color w:val="auto"/>
              </w:rPr>
            </w:pPr>
          </w:p>
        </w:tc>
        <w:tc>
          <w:tcPr>
            <w:tcW w:w="140" w:type="dxa"/>
            <w:vAlign w:val="bottom"/>
            <w:tcBorders>
              <w:bottom w:val="single" w:sz="8" w:color="auto"/>
            </w:tcBorders>
            <w:shd w:val="clear" w:color="auto" w:fill="D1EEF5"/>
          </w:tcPr>
          <w:p>
            <w:pPr>
              <w:spacing w:after="0"/>
              <w:rPr>
                <w:sz w:val="15"/>
                <w:szCs w:val="15"/>
                <w:color w:val="auto"/>
              </w:rPr>
            </w:pPr>
          </w:p>
        </w:tc>
        <w:tc>
          <w:tcPr>
            <w:tcW w:w="144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Borders>
              <w:bottom w:val="single" w:sz="8" w:color="D1EEF5"/>
            </w:tcBorders>
            <w:shd w:val="clear" w:color="auto" w:fill="D1EEF5"/>
          </w:tcPr>
          <w:p>
            <w:pPr>
              <w:spacing w:after="0"/>
              <w:rPr>
                <w:sz w:val="15"/>
                <w:szCs w:val="15"/>
                <w:color w:val="auto"/>
              </w:rPr>
            </w:pPr>
          </w:p>
        </w:tc>
      </w:tr>
      <w:tr>
        <w:trPr>
          <w:trHeight w:val="166"/>
        </w:trPr>
        <w:tc>
          <w:tcPr>
            <w:tcW w:w="10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2022</w:t>
            </w:r>
          </w:p>
        </w:tc>
        <w:tc>
          <w:tcPr>
            <w:tcW w:w="166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4784725</wp:posOffset>
            </wp:positionH>
            <wp:positionV relativeFrom="paragraph">
              <wp:posOffset>-29210</wp:posOffset>
            </wp:positionV>
            <wp:extent cx="1037590" cy="495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43">
                      <a:extLst>
                        <a:ext uri="{28A0092B-C50C-407E-A947-70E740481C1C}"/>
                      </a:extLst>
                    </a:blip>
                    <a:srcRect/>
                    <a:stretch>
                      <a:fillRect/>
                    </a:stretch>
                  </pic:blipFill>
                  <pic:spPr bwMode="auto">
                    <a:xfrm>
                      <a:off x="0" y="0"/>
                      <a:ext cx="1037590" cy="49530"/>
                    </a:xfrm>
                    <a:prstGeom prst="rect">
                      <a:avLst/>
                    </a:prstGeom>
                    <a:noFill/>
                  </pic:spPr>
                </pic:pic>
              </a:graphicData>
            </a:graphic>
          </wp:anchor>
        </w:drawing>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Company’s total uncertain tax positions increased during the year ended December 31, 2022 as a result of a reserve established on federal research and development credits generated in the current year. None of the uncertain tax positions that, if realized, would affect the Company’s effective tax rate in future periods due to a valuation allowance provided against the Company’s net deferred tax assets.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ASSET PURCHASE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Bourns Productions, Inc.</w:t>
      </w:r>
    </w:p>
    <w:p>
      <w:pPr>
        <w:spacing w:after="0" w:line="1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On January 1, 2022, the Company entered into an asset purchase agreement (the “</w:t>
      </w:r>
      <w:r>
        <w:rPr>
          <w:rFonts w:ascii="Times New Roman" w:cs="Times New Roman" w:eastAsia="Times New Roman" w:hAnsi="Times New Roman"/>
          <w:sz w:val="14"/>
          <w:szCs w:val="14"/>
          <w:b w:val="1"/>
          <w:bCs w:val="1"/>
          <w:color w:val="auto"/>
        </w:rPr>
        <w:t>APA</w:t>
      </w:r>
      <w:r>
        <w:rPr>
          <w:rFonts w:ascii="Times New Roman" w:cs="Times New Roman" w:eastAsia="Times New Roman" w:hAnsi="Times New Roman"/>
          <w:sz w:val="14"/>
          <w:szCs w:val="14"/>
          <w:color w:val="auto"/>
        </w:rPr>
        <w:t>”) with Bourns Productions, Inc., a Nevada corporation (“</w:t>
      </w:r>
      <w:r>
        <w:rPr>
          <w:rFonts w:ascii="Times New Roman" w:cs="Times New Roman" w:eastAsia="Times New Roman" w:hAnsi="Times New Roman"/>
          <w:sz w:val="14"/>
          <w:szCs w:val="14"/>
          <w:b w:val="1"/>
          <w:bCs w:val="1"/>
          <w:color w:val="auto"/>
        </w:rPr>
        <w:t>Bourns Productions</w:t>
      </w:r>
      <w:r>
        <w:rPr>
          <w:rFonts w:ascii="Times New Roman" w:cs="Times New Roman" w:eastAsia="Times New Roman" w:hAnsi="Times New Roman"/>
          <w:sz w:val="14"/>
          <w:szCs w:val="14"/>
          <w:color w:val="auto"/>
        </w:rPr>
        <w:t>”), pursuant to which the Company acquired machinery, equipment and a lease for a podcast studio from Bourns Production Productions as set forth in the APA for a purchase price of $197 which approximated fair market value.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Thomason Jones Company, LLC</w:t>
      </w:r>
    </w:p>
    <w:p>
      <w:pPr>
        <w:spacing w:after="0" w:line="1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In April 2022, the Company entered into an Asset Purchase Agreement with William Thomason, Richard Jones, and Thomason Jones Company, LLC (“</w:t>
      </w:r>
      <w:r>
        <w:rPr>
          <w:rFonts w:ascii="Times New Roman" w:cs="Times New Roman" w:eastAsia="Times New Roman" w:hAnsi="Times New Roman"/>
          <w:sz w:val="14"/>
          <w:szCs w:val="14"/>
          <w:b w:val="1"/>
          <w:bCs w:val="1"/>
          <w:color w:val="auto"/>
        </w:rPr>
        <w:t>Thomason Jones</w:t>
      </w:r>
      <w:r>
        <w:rPr>
          <w:rFonts w:ascii="Times New Roman" w:cs="Times New Roman" w:eastAsia="Times New Roman" w:hAnsi="Times New Roman"/>
          <w:sz w:val="14"/>
          <w:szCs w:val="14"/>
          <w:color w:val="auto"/>
        </w:rPr>
        <w:t>”), whereby the Company acquired inventory and intellectual property assets for $444 cash plus contingent payments of $1,000 each to William Thomason and Richard Jones (the “</w:t>
      </w:r>
      <w:r>
        <w:rPr>
          <w:rFonts w:ascii="Times New Roman" w:cs="Times New Roman" w:eastAsia="Times New Roman" w:hAnsi="Times New Roman"/>
          <w:sz w:val="14"/>
          <w:szCs w:val="14"/>
          <w:b w:val="1"/>
          <w:bCs w:val="1"/>
          <w:color w:val="auto"/>
        </w:rPr>
        <w:t>Earn Out</w:t>
      </w:r>
      <w:r>
        <w:rPr>
          <w:rFonts w:ascii="Times New Roman" w:cs="Times New Roman" w:eastAsia="Times New Roman" w:hAnsi="Times New Roman"/>
          <w:sz w:val="14"/>
          <w:szCs w:val="14"/>
          <w:color w:val="auto"/>
        </w:rPr>
        <w:t>”). The Company determined the contingent consideration to be recognized as contingent compensation to Mr. Thomason and Mr. Jones. The entire purchase price of $444 was allocated to inventory.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Contingent Compensation</w:t>
      </w:r>
    </w:p>
    <w:p>
      <w:pPr>
        <w:spacing w:after="0" w:line="14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If, within twenty-four months of the Agreement the Company realizes $3,000 in gross sales of product either (a) sold under the Wakespeed brand and/or (b) which incorporates any portion of Purchased IP as listed within the agreement, then the Company will pay to Thomason Jones each the amount of $1,000 as soon as reasonably practicable. This payment may be made in cash or common stock, in the sole discretion of the Company. As a result, the Company determined that a liability should be recorded ratably over the 24 month period. The Company recognized expenses in the fourth quarter related to the contingent payment as no accrual was recorded from the date of the agreement through September 30, 2022. The Company recognized immediate compensation expense within sales and marketing of $417 on October 1, 2022 for amounts that should have been accrued for during the period April 2022 through September 2022. In October 2022, the Company determined the sales goals will most likely be achieved within 18 months. As a result, the Company changed its estimate prospectively and accelerated the accrual as if the sales goals would be achieved within an 18 month period from the date of acquisition. As a result, the Company recorded a cumulative accrual in the amount of $782 as of December 31,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RELATED PARTY</w:t>
      </w:r>
    </w:p>
    <w:p>
      <w:pPr>
        <w:spacing w:after="0" w:line="1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 loaned its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spacing w:after="0" w:line="1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On October 25, 2022, the Company entered into a separation and release of claims agreement with its Chief Operating Officer (“</w:t>
      </w:r>
      <w:r>
        <w:rPr>
          <w:rFonts w:ascii="Times New Roman" w:cs="Times New Roman" w:eastAsia="Times New Roman" w:hAnsi="Times New Roman"/>
          <w:sz w:val="14"/>
          <w:szCs w:val="14"/>
          <w:b w:val="1"/>
          <w:bCs w:val="1"/>
          <w:color w:val="auto"/>
        </w:rPr>
        <w:t>COO</w:t>
      </w:r>
      <w:r>
        <w:rPr>
          <w:rFonts w:ascii="Times New Roman" w:cs="Times New Roman" w:eastAsia="Times New Roman" w:hAnsi="Times New Roman"/>
          <w:sz w:val="14"/>
          <w:szCs w:val="14"/>
          <w:color w:val="auto"/>
        </w:rPr>
        <w:t>”).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13335</wp:posOffset>
                </wp:positionV>
                <wp:extent cx="650938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05pt" to="512.25pt,1.05pt" o:allowincell="f" strokecolor="#000000" strokeweight="1.32pt"/>
            </w:pict>
          </mc:Fallback>
        </mc:AlternateContent>
      </w:r>
    </w:p>
    <w:p>
      <w:pPr>
        <w:sectPr>
          <w:pgSz w:w="12240" w:h="15840" w:orient="portrait"/>
          <w:cols w:equalWidth="0" w:num="1">
            <w:col w:w="10240"/>
          </w:cols>
          <w:pgMar w:left="1000" w:top="1208" w:right="1000"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WARRANTS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the merger discussed in Note 3, the Company assumed the outstanding public and private placement warrants of CNTQ.</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7 for further description of the warrants issued in connection with the Term Loan.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 Warrants classified as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Public Warrants</w:t>
      </w:r>
    </w:p>
    <w:p>
      <w:pPr>
        <w:spacing w:after="0" w:line="14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2"/>
          <w:szCs w:val="12"/>
          <w:color w:val="auto"/>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9,487,500 Public Warrants issued and outstanding. The Public Warrants are not precluded from equity classification, and are accounted for as such on the date of issuance, and each balance sheet date thereafter. There was no activity of public warrants from the closing date through December 31, 2022.</w:t>
      </w:r>
    </w:p>
    <w:p>
      <w:pPr>
        <w:spacing w:after="0" w:line="1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 Warrants classified as Liability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Private Placement Warrants</w:t>
      </w:r>
    </w:p>
    <w:p>
      <w:pPr>
        <w:spacing w:after="0" w:line="1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Private Placement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On the Closing Date and as of December 31, 2022, there were 4,627,858 Private Warrants issued and outstanding.</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17145</wp:posOffset>
                </wp:positionV>
                <wp:extent cx="650938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5pt" to="512.25pt,1.35pt" o:allowincell="f" strokecolor="#000000" strokeweight="1.32pt"/>
            </w:pict>
          </mc:Fallback>
        </mc:AlternateContent>
      </w:r>
    </w:p>
    <w:p>
      <w:pPr>
        <w:sectPr>
          <w:pgSz w:w="12240" w:h="15840" w:orient="portrait"/>
          <w:cols w:equalWidth="0" w:num="1">
            <w:col w:w="10240"/>
          </w:cols>
          <w:pgMar w:left="1000" w:top="1208" w:right="1000"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w w:val="94"/>
              </w:rPr>
              <w:t>Inception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Initial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Warrant Class</w:t>
            </w:r>
          </w:p>
        </w:tc>
        <w:tc>
          <w:tcPr>
            <w:tcW w:w="200" w:type="dxa"/>
            <w:vAlign w:val="bottom"/>
          </w:tcPr>
          <w:p>
            <w:pPr>
              <w:spacing w:after="0"/>
              <w:rPr>
                <w:sz w:val="13"/>
                <w:szCs w:val="13"/>
                <w:color w:val="auto"/>
              </w:rPr>
            </w:pPr>
          </w:p>
        </w:tc>
        <w:tc>
          <w:tcPr>
            <w:tcW w:w="112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color w:val="auto"/>
              </w:rPr>
              <w:t>Shares</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480"/>
              <w:spacing w:after="0" w:line="157" w:lineRule="exact"/>
              <w:rPr>
                <w:sz w:val="20"/>
                <w:szCs w:val="20"/>
                <w:color w:val="auto"/>
              </w:rPr>
            </w:pPr>
            <w:r>
              <w:rPr>
                <w:rFonts w:ascii="Times New Roman" w:cs="Times New Roman" w:eastAsia="Times New Roman" w:hAnsi="Times New Roman"/>
                <w:sz w:val="14"/>
                <w:szCs w:val="14"/>
                <w:color w:val="auto"/>
                <w:w w:val="98"/>
              </w:rPr>
              <w:t>Date</w:t>
            </w:r>
          </w:p>
        </w:tc>
        <w:tc>
          <w:tcPr>
            <w:tcW w:w="10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w w:val="96"/>
              </w:rPr>
              <w:t>Recognition</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32"/>
              <w:spacing w:after="0" w:line="157" w:lineRule="exact"/>
              <w:rPr>
                <w:sz w:val="20"/>
                <w:szCs w:val="20"/>
                <w:color w:val="auto"/>
              </w:rPr>
            </w:pPr>
            <w:r>
              <w:rPr>
                <w:rFonts w:ascii="Times New Roman" w:cs="Times New Roman" w:eastAsia="Times New Roman" w:hAnsi="Times New Roman"/>
                <w:sz w:val="14"/>
                <w:szCs w:val="14"/>
                <w:color w:val="auto"/>
                <w:w w:val="95"/>
              </w:rPr>
              <w:t>Exercise</w:t>
            </w:r>
          </w:p>
        </w:tc>
        <w:tc>
          <w:tcPr>
            <w:tcW w:w="30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w w:val="98"/>
              </w:rPr>
              <w:t>Expiration</w:t>
            </w:r>
          </w:p>
        </w:tc>
        <w:tc>
          <w:tcPr>
            <w:tcW w:w="0" w:type="dxa"/>
            <w:vAlign w:val="bottom"/>
          </w:tcPr>
          <w:p>
            <w:pPr>
              <w:spacing w:after="0"/>
              <w:rPr>
                <w:sz w:val="1"/>
                <w:szCs w:val="1"/>
                <w:color w:val="auto"/>
              </w:rPr>
            </w:pPr>
          </w:p>
        </w:tc>
      </w:tr>
      <w:tr>
        <w:trPr>
          <w:trHeight w:val="182"/>
        </w:trPr>
        <w:tc>
          <w:tcPr>
            <w:tcW w:w="3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w w:val="97"/>
              </w:rPr>
              <w:t>Fair Value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52"/>
              <w:spacing w:after="0"/>
              <w:rPr>
                <w:sz w:val="20"/>
                <w:szCs w:val="20"/>
                <w:color w:val="auto"/>
              </w:rPr>
            </w:pPr>
            <w:r>
              <w:rPr>
                <w:rFonts w:ascii="Times New Roman" w:cs="Times New Roman" w:eastAsia="Times New Roman" w:hAnsi="Times New Roman"/>
                <w:sz w:val="14"/>
                <w:szCs w:val="14"/>
                <w:color w:val="auto"/>
                <w:w w:val="97"/>
              </w:rPr>
              <w:t>Price</w:t>
            </w:r>
          </w:p>
        </w:tc>
        <w:tc>
          <w:tcPr>
            <w:tcW w:w="3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0" w:type="dxa"/>
            <w:vAlign w:val="bottom"/>
          </w:tcPr>
          <w:p>
            <w:pPr>
              <w:spacing w:after="0"/>
              <w:rPr>
                <w:sz w:val="1"/>
                <w:szCs w:val="1"/>
                <w:color w:val="auto"/>
              </w:rPr>
            </w:pPr>
          </w:p>
        </w:tc>
      </w:tr>
      <w:tr>
        <w:trPr>
          <w:trHeight w:val="150"/>
        </w:trPr>
        <w:tc>
          <w:tcPr>
            <w:tcW w:w="3700" w:type="dxa"/>
            <w:vAlign w:val="bottom"/>
            <w:tcBorders>
              <w:top w:val="single" w:sz="8" w:color="auto"/>
            </w:tcBorders>
            <w:shd w:val="clear" w:color="auto" w:fill="D1EEF5"/>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Private Placement Warrants</w:t>
            </w:r>
          </w:p>
        </w:tc>
        <w:tc>
          <w:tcPr>
            <w:tcW w:w="200" w:type="dxa"/>
            <w:vAlign w:val="bottom"/>
            <w:tcBorders>
              <w:top w:val="single" w:sz="8" w:color="D1EEF5"/>
            </w:tcBorders>
            <w:shd w:val="clear" w:color="auto" w:fill="D1EEF5"/>
          </w:tcPr>
          <w:p>
            <w:pPr>
              <w:spacing w:after="0"/>
              <w:rPr>
                <w:sz w:val="13"/>
                <w:szCs w:val="13"/>
                <w:color w:val="auto"/>
              </w:rPr>
            </w:pPr>
          </w:p>
        </w:tc>
        <w:tc>
          <w:tcPr>
            <w:tcW w:w="1120" w:type="dxa"/>
            <w:vAlign w:val="bottom"/>
            <w:tcBorders>
              <w:top w:val="single" w:sz="8" w:color="auto"/>
            </w:tcBorders>
            <w:shd w:val="clear" w:color="auto" w:fill="D1EEF5"/>
          </w:tcPr>
          <w:p>
            <w:pPr>
              <w:jc w:val="right"/>
              <w:spacing w:after="0" w:line="150" w:lineRule="exact"/>
              <w:rPr>
                <w:sz w:val="20"/>
                <w:szCs w:val="20"/>
                <w:color w:val="auto"/>
              </w:rPr>
            </w:pPr>
            <w:r>
              <w:rPr>
                <w:rFonts w:ascii="Times New Roman" w:cs="Times New Roman" w:eastAsia="Times New Roman" w:hAnsi="Times New Roman"/>
                <w:sz w:val="14"/>
                <w:szCs w:val="14"/>
                <w:color w:val="auto"/>
              </w:rPr>
              <w:t>4,627,858</w:t>
            </w:r>
          </w:p>
        </w:tc>
        <w:tc>
          <w:tcPr>
            <w:tcW w:w="300" w:type="dxa"/>
            <w:vAlign w:val="bottom"/>
            <w:tcBorders>
              <w:top w:val="single" w:sz="8" w:color="D1EEF5"/>
            </w:tcBorders>
            <w:shd w:val="clear" w:color="auto" w:fill="D1EEF5"/>
          </w:tcPr>
          <w:p>
            <w:pPr>
              <w:spacing w:after="0"/>
              <w:rPr>
                <w:sz w:val="13"/>
                <w:szCs w:val="13"/>
                <w:color w:val="auto"/>
              </w:rPr>
            </w:pPr>
          </w:p>
        </w:tc>
        <w:tc>
          <w:tcPr>
            <w:tcW w:w="180" w:type="dxa"/>
            <w:vAlign w:val="bottom"/>
            <w:tcBorders>
              <w:top w:val="single" w:sz="8" w:color="auto"/>
            </w:tcBorders>
            <w:shd w:val="clear" w:color="auto" w:fill="D1EEF5"/>
          </w:tcPr>
          <w:p>
            <w:pPr>
              <w:jc w:val="right"/>
              <w:ind w:right="32"/>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D1EEF5"/>
          </w:tcPr>
          <w:p>
            <w:pPr>
              <w:jc w:val="right"/>
              <w:spacing w:after="0" w:line="150" w:lineRule="exact"/>
              <w:rPr>
                <w:sz w:val="20"/>
                <w:szCs w:val="20"/>
                <w:color w:val="auto"/>
              </w:rPr>
            </w:pPr>
            <w:r>
              <w:rPr>
                <w:rFonts w:ascii="Times New Roman" w:cs="Times New Roman" w:eastAsia="Times New Roman" w:hAnsi="Times New Roman"/>
                <w:sz w:val="14"/>
                <w:szCs w:val="14"/>
                <w:color w:val="auto"/>
              </w:rPr>
              <w:t>1,990</w:t>
            </w:r>
          </w:p>
        </w:tc>
        <w:tc>
          <w:tcPr>
            <w:tcW w:w="320" w:type="dxa"/>
            <w:vAlign w:val="bottom"/>
            <w:tcBorders>
              <w:top w:val="single" w:sz="8" w:color="D1EEF5"/>
            </w:tcBorders>
            <w:shd w:val="clear" w:color="auto" w:fill="D1EEF5"/>
          </w:tcPr>
          <w:p>
            <w:pPr>
              <w:spacing w:after="0"/>
              <w:rPr>
                <w:sz w:val="13"/>
                <w:szCs w:val="13"/>
                <w:color w:val="auto"/>
              </w:rPr>
            </w:pPr>
          </w:p>
        </w:tc>
        <w:tc>
          <w:tcPr>
            <w:tcW w:w="1020" w:type="dxa"/>
            <w:vAlign w:val="bottom"/>
            <w:tcBorders>
              <w:top w:val="single" w:sz="8" w:color="auto"/>
            </w:tcBorders>
            <w:shd w:val="clear" w:color="auto" w:fill="D1EEF5"/>
          </w:tcPr>
          <w:p>
            <w:pPr>
              <w:jc w:val="center"/>
              <w:spacing w:after="0" w:line="150" w:lineRule="exact"/>
              <w:rPr>
                <w:sz w:val="20"/>
                <w:szCs w:val="20"/>
                <w:color w:val="auto"/>
              </w:rPr>
            </w:pPr>
            <w:r>
              <w:rPr>
                <w:rFonts w:ascii="Times New Roman" w:cs="Times New Roman" w:eastAsia="Times New Roman" w:hAnsi="Times New Roman"/>
                <w:sz w:val="14"/>
                <w:szCs w:val="14"/>
                <w:color w:val="auto"/>
                <w:w w:val="95"/>
              </w:rPr>
              <w:t>10/7/2022</w:t>
            </w:r>
          </w:p>
        </w:tc>
        <w:tc>
          <w:tcPr>
            <w:tcW w:w="200" w:type="dxa"/>
            <w:vAlign w:val="bottom"/>
            <w:tcBorders>
              <w:top w:val="single" w:sz="8" w:color="D1EEF5"/>
            </w:tcBorders>
            <w:shd w:val="clear" w:color="auto" w:fill="D1EEF5"/>
          </w:tcPr>
          <w:p>
            <w:pPr>
              <w:spacing w:after="0"/>
              <w:rPr>
                <w:sz w:val="13"/>
                <w:szCs w:val="13"/>
                <w:color w:val="auto"/>
              </w:rPr>
            </w:pPr>
          </w:p>
        </w:tc>
        <w:tc>
          <w:tcPr>
            <w:tcW w:w="200" w:type="dxa"/>
            <w:vAlign w:val="bottom"/>
            <w:tcBorders>
              <w:top w:val="single" w:sz="8" w:color="auto"/>
            </w:tcBorders>
            <w:shd w:val="clear" w:color="auto" w:fill="D1EEF5"/>
          </w:tcPr>
          <w:p>
            <w:pPr>
              <w:jc w:val="right"/>
              <w:ind w:right="52"/>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D1EEF5"/>
          </w:tcPr>
          <w:p>
            <w:pPr>
              <w:jc w:val="right"/>
              <w:ind w:right="332"/>
              <w:spacing w:after="0" w:line="150" w:lineRule="exact"/>
              <w:rPr>
                <w:sz w:val="20"/>
                <w:szCs w:val="20"/>
                <w:color w:val="auto"/>
              </w:rPr>
            </w:pPr>
            <w:r>
              <w:rPr>
                <w:rFonts w:ascii="Times New Roman" w:cs="Times New Roman" w:eastAsia="Times New Roman" w:hAnsi="Times New Roman"/>
                <w:sz w:val="14"/>
                <w:szCs w:val="14"/>
                <w:color w:val="auto"/>
              </w:rPr>
              <w:t>11.5</w:t>
            </w:r>
          </w:p>
        </w:tc>
        <w:tc>
          <w:tcPr>
            <w:tcW w:w="300" w:type="dxa"/>
            <w:vAlign w:val="bottom"/>
            <w:tcBorders>
              <w:top w:val="single" w:sz="8" w:color="D1EEF5"/>
            </w:tcBorders>
            <w:shd w:val="clear" w:color="auto" w:fill="D1EEF5"/>
          </w:tcPr>
          <w:p>
            <w:pPr>
              <w:spacing w:after="0"/>
              <w:rPr>
                <w:sz w:val="13"/>
                <w:szCs w:val="13"/>
                <w:color w:val="auto"/>
              </w:rPr>
            </w:pPr>
          </w:p>
        </w:tc>
        <w:tc>
          <w:tcPr>
            <w:tcW w:w="820" w:type="dxa"/>
            <w:vAlign w:val="bottom"/>
            <w:tcBorders>
              <w:top w:val="single" w:sz="8" w:color="auto"/>
            </w:tcBorders>
            <w:shd w:val="clear" w:color="auto" w:fill="D1EEF5"/>
          </w:tcPr>
          <w:p>
            <w:pPr>
              <w:jc w:val="center"/>
              <w:spacing w:after="0" w:line="150" w:lineRule="exact"/>
              <w:rPr>
                <w:sz w:val="20"/>
                <w:szCs w:val="20"/>
                <w:color w:val="auto"/>
              </w:rPr>
            </w:pPr>
            <w:r>
              <w:rPr>
                <w:rFonts w:ascii="Times New Roman" w:cs="Times New Roman" w:eastAsia="Times New Roman" w:hAnsi="Times New Roman"/>
                <w:sz w:val="14"/>
                <w:szCs w:val="14"/>
                <w:color w:val="auto"/>
                <w:w w:val="95"/>
              </w:rPr>
              <w:t>8/11/2026</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Term Loan Warrants</w:t>
      </w:r>
    </w:p>
    <w:p>
      <w:pPr>
        <w:spacing w:after="0" w:line="1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 connection with the entry into the Term Loan Agreement, and as a required term and condition thereof, the Company issued (i) the penny warrants to the Term Loan Lenders exercisable to purchase an aggregate of 2,593,056 shares (the “</w:t>
      </w:r>
      <w:r>
        <w:rPr>
          <w:rFonts w:ascii="Times New Roman" w:cs="Times New Roman" w:eastAsia="Times New Roman" w:hAnsi="Times New Roman"/>
          <w:sz w:val="14"/>
          <w:szCs w:val="14"/>
          <w:b w:val="1"/>
          <w:bCs w:val="1"/>
          <w:color w:val="auto"/>
        </w:rPr>
        <w:t>Penny Warrants</w:t>
      </w:r>
      <w:r>
        <w:rPr>
          <w:rFonts w:ascii="Times New Roman" w:cs="Times New Roman" w:eastAsia="Times New Roman" w:hAnsi="Times New Roman"/>
          <w:sz w:val="14"/>
          <w:szCs w:val="14"/>
          <w:color w:val="auto"/>
        </w:rPr>
        <w:t>”) and (ii) the $10 warrants to issue warrants to the Term Loan Lenders exercisable to purchase an aggregate of 1,600,000 shares of common stock at $10 per share (the “$10 Warrants” and, together with the Penny Warrants, the “ Term Loan Warrants”). The $10 Warrants were exercised on a cashless basis on October 10, 2022, with the Company agreeing to issue 457,142 shares of common stock in connection with such exercise. The Company concluded the warrants are not considered indexed to the Company’s stock and to be accounted for as liabilities under ASC 815. As such, the estimated fair value is recognized as a liability each reporting period, with changes in the fair value recognized within income each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the significant inputs to the Black-Scholes method for the fair value of the Penny Warrants: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532"/>
              <w:spacing w:after="0"/>
              <w:rPr>
                <w:sz w:val="20"/>
                <w:szCs w:val="20"/>
                <w:color w:val="auto"/>
              </w:rPr>
            </w:pPr>
            <w:r>
              <w:rPr>
                <w:rFonts w:ascii="Times New Roman" w:cs="Times New Roman" w:eastAsia="Times New Roman" w:hAnsi="Times New Roman"/>
                <w:sz w:val="14"/>
                <w:szCs w:val="14"/>
                <w:color w:val="auto"/>
              </w:rPr>
              <w:t>As of</w:t>
            </w:r>
          </w:p>
        </w:tc>
        <w:tc>
          <w:tcPr>
            <w:tcW w:w="2580" w:type="dxa"/>
            <w:vAlign w:val="bottom"/>
          </w:tcPr>
          <w:p>
            <w:pPr>
              <w:spacing w:after="0"/>
              <w:rPr>
                <w:sz w:val="13"/>
                <w:szCs w:val="13"/>
                <w:color w:val="auto"/>
              </w:rPr>
            </w:pPr>
          </w:p>
        </w:tc>
      </w:tr>
      <w:tr>
        <w:trPr>
          <w:trHeight w:val="175"/>
        </w:trPr>
        <w:tc>
          <w:tcPr>
            <w:tcW w:w="4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98"/>
              </w:rPr>
              <w:t>Initial Measurement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w w:val="98"/>
              </w:rPr>
              <w:t>December 31, 2022</w:t>
            </w:r>
          </w:p>
        </w:tc>
        <w:tc>
          <w:tcPr>
            <w:tcW w:w="2580" w:type="dxa"/>
            <w:vAlign w:val="bottom"/>
          </w:tcPr>
          <w:p>
            <w:pPr>
              <w:spacing w:after="0"/>
              <w:rPr>
                <w:sz w:val="15"/>
                <w:szCs w:val="15"/>
                <w:color w:val="auto"/>
              </w:rPr>
            </w:pPr>
          </w:p>
        </w:tc>
      </w:tr>
      <w:tr>
        <w:trPr>
          <w:trHeight w:val="157"/>
        </w:trPr>
        <w:tc>
          <w:tcPr>
            <w:tcW w:w="480" w:type="dxa"/>
            <w:vAlign w:val="bottom"/>
          </w:tcPr>
          <w:p>
            <w:pPr>
              <w:spacing w:after="0"/>
              <w:rPr>
                <w:sz w:val="13"/>
                <w:szCs w:val="13"/>
                <w:color w:val="auto"/>
              </w:rPr>
            </w:pPr>
          </w:p>
        </w:tc>
        <w:tc>
          <w:tcPr>
            <w:tcW w:w="4160" w:type="dxa"/>
            <w:vAlign w:val="bottom"/>
            <w:tcBorders>
              <w:top w:val="single" w:sz="8" w:color="D1EEF5"/>
            </w:tcBorders>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Common stock price</w:t>
            </w:r>
          </w:p>
        </w:tc>
        <w:tc>
          <w:tcPr>
            <w:tcW w:w="10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14.00</w:t>
            </w:r>
          </w:p>
        </w:tc>
        <w:tc>
          <w:tcPr>
            <w:tcW w:w="200" w:type="dxa"/>
            <w:vAlign w:val="bottom"/>
            <w:tcBorders>
              <w:top w:val="single" w:sz="8" w:color="D1EEF5"/>
            </w:tcBorders>
            <w:shd w:val="clear" w:color="auto" w:fill="D1EEF5"/>
          </w:tcPr>
          <w:p>
            <w:pPr>
              <w:spacing w:after="0"/>
              <w:rPr>
                <w:sz w:val="13"/>
                <w:szCs w:val="13"/>
                <w:color w:val="auto"/>
              </w:rPr>
            </w:pPr>
          </w:p>
        </w:tc>
        <w:tc>
          <w:tcPr>
            <w:tcW w:w="120" w:type="dxa"/>
            <w:vAlign w:val="bottom"/>
            <w:tcBorders>
              <w:top w:val="single" w:sz="8" w:color="auto"/>
            </w:tcBorders>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right w:val="single" w:sz="8" w:color="D1EEF5"/>
            </w:tcBorders>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11.09</w:t>
            </w:r>
          </w:p>
        </w:tc>
        <w:tc>
          <w:tcPr>
            <w:tcW w:w="2580" w:type="dxa"/>
            <w:vAlign w:val="bottom"/>
          </w:tcPr>
          <w:p>
            <w:pPr>
              <w:spacing w:after="0"/>
              <w:rPr>
                <w:sz w:val="13"/>
                <w:szCs w:val="13"/>
                <w:color w:val="auto"/>
              </w:rPr>
            </w:pPr>
          </w:p>
        </w:tc>
      </w:tr>
      <w:tr>
        <w:trPr>
          <w:trHeight w:val="157"/>
        </w:trPr>
        <w:tc>
          <w:tcPr>
            <w:tcW w:w="480" w:type="dxa"/>
            <w:vAlign w:val="bottom"/>
          </w:tcPr>
          <w:p>
            <w:pPr>
              <w:spacing w:after="0"/>
              <w:rPr>
                <w:sz w:val="13"/>
                <w:szCs w:val="13"/>
                <w:color w:val="auto"/>
              </w:rPr>
            </w:pPr>
          </w:p>
        </w:tc>
        <w:tc>
          <w:tcPr>
            <w:tcW w:w="41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Exercise price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0.01</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0.01</w:t>
            </w:r>
          </w:p>
        </w:tc>
        <w:tc>
          <w:tcPr>
            <w:tcW w:w="2580" w:type="dxa"/>
            <w:vAlign w:val="bottom"/>
          </w:tcPr>
          <w:p>
            <w:pPr>
              <w:spacing w:after="0"/>
              <w:rPr>
                <w:sz w:val="13"/>
                <w:szCs w:val="13"/>
                <w:color w:val="auto"/>
              </w:rPr>
            </w:pPr>
          </w:p>
        </w:tc>
      </w:tr>
      <w:tr>
        <w:trPr>
          <w:trHeight w:val="156"/>
        </w:trPr>
        <w:tc>
          <w:tcPr>
            <w:tcW w:w="480" w:type="dxa"/>
            <w:vAlign w:val="bottom"/>
          </w:tcPr>
          <w:p>
            <w:pPr>
              <w:spacing w:after="0"/>
              <w:rPr>
                <w:sz w:val="13"/>
                <w:szCs w:val="13"/>
                <w:color w:val="auto"/>
              </w:rPr>
            </w:pPr>
          </w:p>
        </w:tc>
        <w:tc>
          <w:tcPr>
            <w:tcW w:w="41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Dividend yield</w:t>
            </w:r>
          </w:p>
        </w:tc>
        <w:tc>
          <w:tcPr>
            <w:tcW w:w="100" w:type="dxa"/>
            <w:vAlign w:val="bottom"/>
            <w:shd w:val="clear" w:color="auto" w:fill="D1EEF5"/>
          </w:tcPr>
          <w:p>
            <w:pPr>
              <w:spacing w:after="0"/>
              <w:rPr>
                <w:sz w:val="13"/>
                <w:szCs w:val="13"/>
                <w:color w:val="auto"/>
              </w:rPr>
            </w:pPr>
          </w:p>
        </w:tc>
        <w:tc>
          <w:tcPr>
            <w:tcW w:w="12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D1EEF5"/>
          </w:tcPr>
          <w:p>
            <w:pPr>
              <w:spacing w:after="0"/>
              <w:rPr>
                <w:sz w:val="13"/>
                <w:szCs w:val="13"/>
                <w:color w:val="auto"/>
              </w:rPr>
            </w:pPr>
          </w:p>
        </w:tc>
        <w:tc>
          <w:tcPr>
            <w:tcW w:w="120" w:type="dxa"/>
            <w:vAlign w:val="bottom"/>
            <w:shd w:val="clear" w:color="auto" w:fill="D1EEF5"/>
          </w:tcPr>
          <w:p>
            <w:pPr>
              <w:spacing w:after="0"/>
              <w:rPr>
                <w:sz w:val="13"/>
                <w:szCs w:val="13"/>
                <w:color w:val="auto"/>
              </w:rPr>
            </w:pPr>
          </w:p>
        </w:tc>
        <w:tc>
          <w:tcPr>
            <w:tcW w:w="1320" w:type="dxa"/>
            <w:vAlign w:val="bottom"/>
            <w:tcBorders>
              <w:right w:val="single" w:sz="8" w:color="D1EEF5"/>
            </w:tcBorders>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0%</w:t>
            </w:r>
          </w:p>
        </w:tc>
        <w:tc>
          <w:tcPr>
            <w:tcW w:w="2580" w:type="dxa"/>
            <w:vAlign w:val="bottom"/>
          </w:tcPr>
          <w:p>
            <w:pPr>
              <w:spacing w:after="0"/>
              <w:rPr>
                <w:sz w:val="13"/>
                <w:szCs w:val="13"/>
                <w:color w:val="auto"/>
              </w:rPr>
            </w:pPr>
          </w:p>
        </w:tc>
      </w:tr>
      <w:tr>
        <w:trPr>
          <w:trHeight w:val="156"/>
        </w:trPr>
        <w:tc>
          <w:tcPr>
            <w:tcW w:w="480" w:type="dxa"/>
            <w:vAlign w:val="bottom"/>
          </w:tcPr>
          <w:p>
            <w:pPr>
              <w:spacing w:after="0"/>
              <w:rPr>
                <w:sz w:val="13"/>
                <w:szCs w:val="13"/>
                <w:color w:val="auto"/>
              </w:rPr>
            </w:pPr>
          </w:p>
        </w:tc>
        <w:tc>
          <w:tcPr>
            <w:tcW w:w="41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Term</w:t>
            </w:r>
          </w:p>
        </w:tc>
        <w:tc>
          <w:tcPr>
            <w:tcW w:w="100" w:type="dxa"/>
            <w:vAlign w:val="bottom"/>
          </w:tcPr>
          <w:p>
            <w:pPr>
              <w:spacing w:after="0"/>
              <w:rPr>
                <w:sz w:val="13"/>
                <w:szCs w:val="13"/>
                <w:color w:val="auto"/>
              </w:rPr>
            </w:pPr>
          </w:p>
        </w:tc>
        <w:tc>
          <w:tcPr>
            <w:tcW w:w="12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9.77</w:t>
            </w:r>
          </w:p>
        </w:tc>
        <w:tc>
          <w:tcPr>
            <w:tcW w:w="2580" w:type="dxa"/>
            <w:vAlign w:val="bottom"/>
          </w:tcPr>
          <w:p>
            <w:pPr>
              <w:spacing w:after="0"/>
              <w:rPr>
                <w:sz w:val="13"/>
                <w:szCs w:val="13"/>
                <w:color w:val="auto"/>
              </w:rPr>
            </w:pPr>
          </w:p>
        </w:tc>
      </w:tr>
      <w:tr>
        <w:trPr>
          <w:trHeight w:val="157"/>
        </w:trPr>
        <w:tc>
          <w:tcPr>
            <w:tcW w:w="480" w:type="dxa"/>
            <w:vAlign w:val="bottom"/>
          </w:tcPr>
          <w:p>
            <w:pPr>
              <w:spacing w:after="0"/>
              <w:rPr>
                <w:sz w:val="13"/>
                <w:szCs w:val="13"/>
                <w:color w:val="auto"/>
              </w:rPr>
            </w:pPr>
          </w:p>
        </w:tc>
        <w:tc>
          <w:tcPr>
            <w:tcW w:w="416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Volatility</w:t>
            </w:r>
          </w:p>
        </w:tc>
        <w:tc>
          <w:tcPr>
            <w:tcW w:w="100" w:type="dxa"/>
            <w:vAlign w:val="bottom"/>
            <w:shd w:val="clear" w:color="auto" w:fill="D1EEF5"/>
          </w:tcPr>
          <w:p>
            <w:pPr>
              <w:spacing w:after="0"/>
              <w:rPr>
                <w:sz w:val="13"/>
                <w:szCs w:val="13"/>
                <w:color w:val="auto"/>
              </w:rPr>
            </w:pPr>
          </w:p>
        </w:tc>
        <w:tc>
          <w:tcPr>
            <w:tcW w:w="128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94.00%</w:t>
            </w:r>
          </w:p>
        </w:tc>
        <w:tc>
          <w:tcPr>
            <w:tcW w:w="200" w:type="dxa"/>
            <w:vAlign w:val="bottom"/>
            <w:shd w:val="clear" w:color="auto" w:fill="D1EEF5"/>
          </w:tcPr>
          <w:p>
            <w:pPr>
              <w:spacing w:after="0"/>
              <w:rPr>
                <w:sz w:val="13"/>
                <w:szCs w:val="13"/>
                <w:color w:val="auto"/>
              </w:rPr>
            </w:pPr>
          </w:p>
        </w:tc>
        <w:tc>
          <w:tcPr>
            <w:tcW w:w="120" w:type="dxa"/>
            <w:vAlign w:val="bottom"/>
            <w:shd w:val="clear" w:color="auto" w:fill="D1EEF5"/>
          </w:tcPr>
          <w:p>
            <w:pPr>
              <w:spacing w:after="0"/>
              <w:rPr>
                <w:sz w:val="13"/>
                <w:szCs w:val="13"/>
                <w:color w:val="auto"/>
              </w:rPr>
            </w:pPr>
          </w:p>
        </w:tc>
        <w:tc>
          <w:tcPr>
            <w:tcW w:w="1320" w:type="dxa"/>
            <w:vAlign w:val="bottom"/>
            <w:tcBorders>
              <w:right w:val="single" w:sz="8" w:color="D1EEF5"/>
            </w:tcBorders>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90.00%</w:t>
            </w:r>
          </w:p>
        </w:tc>
        <w:tc>
          <w:tcPr>
            <w:tcW w:w="2580" w:type="dxa"/>
            <w:vAlign w:val="bottom"/>
          </w:tcPr>
          <w:p>
            <w:pPr>
              <w:spacing w:after="0"/>
              <w:rPr>
                <w:sz w:val="13"/>
                <w:szCs w:val="13"/>
                <w:color w:val="auto"/>
              </w:rPr>
            </w:pPr>
          </w:p>
        </w:tc>
      </w:tr>
      <w:tr>
        <w:trPr>
          <w:trHeight w:val="156"/>
        </w:trPr>
        <w:tc>
          <w:tcPr>
            <w:tcW w:w="480" w:type="dxa"/>
            <w:vAlign w:val="bottom"/>
          </w:tcPr>
          <w:p>
            <w:pPr>
              <w:spacing w:after="0"/>
              <w:rPr>
                <w:sz w:val="13"/>
                <w:szCs w:val="13"/>
                <w:color w:val="auto"/>
              </w:rPr>
            </w:pPr>
          </w:p>
        </w:tc>
        <w:tc>
          <w:tcPr>
            <w:tcW w:w="41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Risk-free rate</w:t>
            </w:r>
          </w:p>
        </w:tc>
        <w:tc>
          <w:tcPr>
            <w:tcW w:w="100" w:type="dxa"/>
            <w:vAlign w:val="bottom"/>
          </w:tcPr>
          <w:p>
            <w:pPr>
              <w:spacing w:after="0"/>
              <w:rPr>
                <w:sz w:val="13"/>
                <w:szCs w:val="13"/>
                <w:color w:val="auto"/>
              </w:rPr>
            </w:pPr>
          </w:p>
        </w:tc>
        <w:tc>
          <w:tcPr>
            <w:tcW w:w="12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3.90%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3.90%</w:t>
            </w:r>
          </w:p>
        </w:tc>
        <w:tc>
          <w:tcPr>
            <w:tcW w:w="2580" w:type="dxa"/>
            <w:vAlign w:val="bottom"/>
          </w:tcPr>
          <w:p>
            <w:pPr>
              <w:spacing w:after="0"/>
              <w:rPr>
                <w:sz w:val="13"/>
                <w:szCs w:val="13"/>
                <w:color w:val="auto"/>
              </w:rPr>
            </w:pPr>
          </w:p>
        </w:tc>
      </w:tr>
      <w:tr>
        <w:trPr>
          <w:trHeight w:val="156"/>
        </w:trPr>
        <w:tc>
          <w:tcPr>
            <w:tcW w:w="480" w:type="dxa"/>
            <w:vAlign w:val="bottom"/>
          </w:tcPr>
          <w:p>
            <w:pPr>
              <w:spacing w:after="0"/>
              <w:rPr>
                <w:sz w:val="13"/>
                <w:szCs w:val="13"/>
                <w:color w:val="auto"/>
              </w:rPr>
            </w:pPr>
          </w:p>
        </w:tc>
        <w:tc>
          <w:tcPr>
            <w:tcW w:w="416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13.99</w:t>
            </w:r>
          </w:p>
        </w:tc>
        <w:tc>
          <w:tcPr>
            <w:tcW w:w="320" w:type="dxa"/>
            <w:vAlign w:val="bottom"/>
            <w:gridSpan w:val="2"/>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right w:val="single" w:sz="8" w:color="D1EEF5"/>
            </w:tcBorders>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11.89</w:t>
            </w:r>
          </w:p>
        </w:tc>
        <w:tc>
          <w:tcPr>
            <w:tcW w:w="2580" w:type="dxa"/>
            <w:vAlign w:val="bottom"/>
          </w:tcPr>
          <w:p>
            <w:pPr>
              <w:spacing w:after="0"/>
              <w:rPr>
                <w:sz w:val="13"/>
                <w:szCs w:val="13"/>
                <w:color w:val="auto"/>
              </w:rPr>
            </w:pPr>
          </w:p>
        </w:tc>
      </w:tr>
      <w:tr>
        <w:trPr>
          <w:trHeight w:val="312"/>
        </w:trPr>
        <w:tc>
          <w:tcPr>
            <w:tcW w:w="4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color w:val="auto"/>
              </w:rPr>
              <w:t>F-26</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2240" w:h="15840" w:orient="portrait"/>
          <w:cols w:equalWidth="0" w:num="1">
            <w:col w:w="10240"/>
          </w:cols>
          <w:pgMar w:left="1000" w:top="1208" w:right="100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the significant inputs to the Black-Scholes method for the fair value of the $10 Warrants:</w:t>
      </w:r>
    </w:p>
    <w:p>
      <w:pPr>
        <w:spacing w:after="0" w:line="147"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Initial</w:t>
            </w:r>
          </w:p>
        </w:tc>
      </w:tr>
      <w:tr>
        <w:trPr>
          <w:trHeight w:val="186"/>
        </w:trPr>
        <w:tc>
          <w:tcPr>
            <w:tcW w:w="3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7"/>
              </w:rPr>
              <w:t>Measurement</w:t>
            </w:r>
          </w:p>
        </w:tc>
      </w:tr>
      <w:tr>
        <w:trPr>
          <w:trHeight w:val="147"/>
        </w:trPr>
        <w:tc>
          <w:tcPr>
            <w:tcW w:w="3500" w:type="dxa"/>
            <w:vAlign w:val="bottom"/>
            <w:tcBorders>
              <w:top w:val="single" w:sz="8" w:color="D1EEF5"/>
            </w:tcBorders>
            <w:shd w:val="clear" w:color="auto" w:fill="D1EEF5"/>
          </w:tcPr>
          <w:p>
            <w:pPr>
              <w:spacing w:after="0" w:line="147" w:lineRule="exact"/>
              <w:rPr>
                <w:sz w:val="20"/>
                <w:szCs w:val="20"/>
                <w:color w:val="auto"/>
              </w:rPr>
            </w:pPr>
            <w:r>
              <w:rPr>
                <w:rFonts w:ascii="Times New Roman" w:cs="Times New Roman" w:eastAsia="Times New Roman" w:hAnsi="Times New Roman"/>
                <w:sz w:val="14"/>
                <w:szCs w:val="14"/>
                <w:color w:val="auto"/>
              </w:rPr>
              <w:t>Common stock price</w:t>
            </w:r>
          </w:p>
        </w:tc>
        <w:tc>
          <w:tcPr>
            <w:tcW w:w="2380" w:type="dxa"/>
            <w:vAlign w:val="bottom"/>
            <w:tcBorders>
              <w:top w:val="single" w:sz="8" w:color="D1EEF5"/>
            </w:tcBorders>
            <w:shd w:val="clear" w:color="auto" w:fill="D1EEF5"/>
          </w:tcPr>
          <w:p>
            <w:pPr>
              <w:spacing w:after="0"/>
              <w:rPr>
                <w:sz w:val="12"/>
                <w:szCs w:val="12"/>
                <w:color w:val="auto"/>
              </w:rPr>
            </w:pPr>
          </w:p>
        </w:tc>
        <w:tc>
          <w:tcPr>
            <w:tcW w:w="160" w:type="dxa"/>
            <w:vAlign w:val="bottom"/>
            <w:tcBorders>
              <w:top w:val="single" w:sz="8" w:color="auto"/>
            </w:tcBorders>
            <w:shd w:val="clear" w:color="auto" w:fill="D1EEF5"/>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D1EEF5"/>
          </w:tcPr>
          <w:p>
            <w:pPr>
              <w:jc w:val="right"/>
              <w:spacing w:after="0" w:line="147" w:lineRule="exact"/>
              <w:rPr>
                <w:sz w:val="20"/>
                <w:szCs w:val="20"/>
                <w:color w:val="auto"/>
              </w:rPr>
            </w:pPr>
            <w:r>
              <w:rPr>
                <w:rFonts w:ascii="Times New Roman" w:cs="Times New Roman" w:eastAsia="Times New Roman" w:hAnsi="Times New Roman"/>
                <w:sz w:val="14"/>
                <w:szCs w:val="14"/>
                <w:color w:val="auto"/>
              </w:rPr>
              <w:t>14.00</w:t>
            </w:r>
          </w:p>
        </w:tc>
        <w:tc>
          <w:tcPr>
            <w:tcW w:w="60" w:type="dxa"/>
            <w:vAlign w:val="bottom"/>
            <w:tcBorders>
              <w:top w:val="single" w:sz="8" w:color="D1EEF5"/>
            </w:tcBorders>
            <w:shd w:val="clear" w:color="auto" w:fill="D1EEF5"/>
          </w:tcPr>
          <w:p>
            <w:pPr>
              <w:spacing w:after="0"/>
              <w:rPr>
                <w:sz w:val="12"/>
                <w:szCs w:val="12"/>
                <w:color w:val="auto"/>
              </w:rPr>
            </w:pPr>
          </w:p>
        </w:tc>
      </w:tr>
      <w:tr>
        <w:trPr>
          <w:trHeight w:val="156"/>
        </w:trPr>
        <w:tc>
          <w:tcPr>
            <w:tcW w:w="35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Exercise price</w:t>
            </w:r>
          </w:p>
        </w:tc>
        <w:tc>
          <w:tcPr>
            <w:tcW w:w="2540" w:type="dxa"/>
            <w:vAlign w:val="bottom"/>
            <w:gridSpan w:val="2"/>
          </w:tcPr>
          <w:p>
            <w:pPr>
              <w:jc w:val="right"/>
              <w:ind w:right="44"/>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10.00</w:t>
            </w:r>
          </w:p>
        </w:tc>
        <w:tc>
          <w:tcPr>
            <w:tcW w:w="60" w:type="dxa"/>
            <w:vAlign w:val="bottom"/>
          </w:tcPr>
          <w:p>
            <w:pPr>
              <w:spacing w:after="0"/>
              <w:rPr>
                <w:sz w:val="13"/>
                <w:szCs w:val="13"/>
                <w:color w:val="auto"/>
              </w:rPr>
            </w:pPr>
          </w:p>
        </w:tc>
      </w:tr>
      <w:tr>
        <w:trPr>
          <w:trHeight w:val="156"/>
        </w:trPr>
        <w:tc>
          <w:tcPr>
            <w:tcW w:w="350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Dividend yield</w:t>
            </w:r>
          </w:p>
        </w:tc>
        <w:tc>
          <w:tcPr>
            <w:tcW w:w="2380" w:type="dxa"/>
            <w:vAlign w:val="bottom"/>
            <w:shd w:val="clear" w:color="auto" w:fill="D1EEF5"/>
          </w:tcPr>
          <w:p>
            <w:pPr>
              <w:spacing w:after="0"/>
              <w:rPr>
                <w:sz w:val="13"/>
                <w:szCs w:val="13"/>
                <w:color w:val="auto"/>
              </w:rPr>
            </w:pPr>
          </w:p>
        </w:tc>
        <w:tc>
          <w:tcPr>
            <w:tcW w:w="160" w:type="dxa"/>
            <w:vAlign w:val="bottom"/>
            <w:shd w:val="clear" w:color="auto" w:fill="D1EEF5"/>
          </w:tcPr>
          <w:p>
            <w:pPr>
              <w:spacing w:after="0"/>
              <w:rPr>
                <w:sz w:val="13"/>
                <w:szCs w:val="13"/>
                <w:color w:val="auto"/>
              </w:rPr>
            </w:pPr>
          </w:p>
        </w:tc>
        <w:tc>
          <w:tcPr>
            <w:tcW w:w="1140" w:type="dxa"/>
            <w:vAlign w:val="bottom"/>
            <w:gridSpan w:val="2"/>
            <w:shd w:val="clear" w:color="auto" w:fill="D1EEF5"/>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0%</w:t>
            </w:r>
          </w:p>
        </w:tc>
      </w:tr>
      <w:tr>
        <w:trPr>
          <w:trHeight w:val="157"/>
        </w:trPr>
        <w:tc>
          <w:tcPr>
            <w:tcW w:w="35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Term</w:t>
            </w: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3"/>
                <w:szCs w:val="13"/>
                <w:color w:val="auto"/>
              </w:rPr>
            </w:pPr>
          </w:p>
        </w:tc>
      </w:tr>
      <w:tr>
        <w:trPr>
          <w:trHeight w:val="156"/>
        </w:trPr>
        <w:tc>
          <w:tcPr>
            <w:tcW w:w="350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Volatility</w:t>
            </w:r>
          </w:p>
        </w:tc>
        <w:tc>
          <w:tcPr>
            <w:tcW w:w="2380" w:type="dxa"/>
            <w:vAlign w:val="bottom"/>
            <w:shd w:val="clear" w:color="auto" w:fill="D1EEF5"/>
          </w:tcPr>
          <w:p>
            <w:pPr>
              <w:spacing w:after="0"/>
              <w:rPr>
                <w:sz w:val="13"/>
                <w:szCs w:val="13"/>
                <w:color w:val="auto"/>
              </w:rPr>
            </w:pPr>
          </w:p>
        </w:tc>
        <w:tc>
          <w:tcPr>
            <w:tcW w:w="160" w:type="dxa"/>
            <w:vAlign w:val="bottom"/>
            <w:shd w:val="clear" w:color="auto" w:fill="D1EEF5"/>
          </w:tcPr>
          <w:p>
            <w:pPr>
              <w:spacing w:after="0"/>
              <w:rPr>
                <w:sz w:val="13"/>
                <w:szCs w:val="13"/>
                <w:color w:val="auto"/>
              </w:rPr>
            </w:pPr>
          </w:p>
        </w:tc>
        <w:tc>
          <w:tcPr>
            <w:tcW w:w="1140" w:type="dxa"/>
            <w:vAlign w:val="bottom"/>
            <w:gridSpan w:val="2"/>
            <w:shd w:val="clear" w:color="auto" w:fill="D1EEF5"/>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85.00%</w:t>
            </w:r>
          </w:p>
        </w:tc>
      </w:tr>
      <w:tr>
        <w:trPr>
          <w:trHeight w:val="156"/>
        </w:trPr>
        <w:tc>
          <w:tcPr>
            <w:tcW w:w="35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Risk-free rate</w:t>
            </w: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4.10%</w:t>
            </w:r>
          </w:p>
        </w:tc>
      </w:tr>
      <w:tr>
        <w:trPr>
          <w:trHeight w:val="157"/>
        </w:trPr>
        <w:tc>
          <w:tcPr>
            <w:tcW w:w="350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Fair value</w:t>
            </w:r>
          </w:p>
        </w:tc>
        <w:tc>
          <w:tcPr>
            <w:tcW w:w="2540" w:type="dxa"/>
            <w:vAlign w:val="bottom"/>
            <w:gridSpan w:val="2"/>
            <w:shd w:val="clear" w:color="auto" w:fill="D1EEF5"/>
          </w:tcPr>
          <w:p>
            <w:pPr>
              <w:jc w:val="right"/>
              <w:ind w:right="44"/>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10.42</w:t>
            </w:r>
          </w:p>
        </w:tc>
        <w:tc>
          <w:tcPr>
            <w:tcW w:w="60" w:type="dxa"/>
            <w:vAlign w:val="bottom"/>
            <w:shd w:val="clear" w:color="auto" w:fill="D1EEF5"/>
          </w:tcPr>
          <w:p>
            <w:pPr>
              <w:spacing w:after="0"/>
              <w:rPr>
                <w:sz w:val="13"/>
                <w:szCs w:val="13"/>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presents a roll-forward of the Company’s warrants from January 1, 2022 to December 31, 2022: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Private Warrants:</w:t>
      </w:r>
    </w:p>
    <w:p>
      <w:pPr>
        <w:sectPr>
          <w:pgSz w:w="12240" w:h="15840" w:orient="portrait"/>
          <w:cols w:equalWidth="0" w:num="1">
            <w:col w:w="10240"/>
          </w:cols>
          <w:pgMar w:left="1000" w:top="1208" w:right="1000" w:bottom="1440" w:gutter="0" w:footer="0" w:header="0"/>
        </w:sectPr>
      </w:pPr>
    </w:p>
    <w:p>
      <w:pPr>
        <w:spacing w:after="0" w:line="3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**Warrants Outstanding, January 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309880</wp:posOffset>
                </wp:positionH>
                <wp:positionV relativeFrom="paragraph">
                  <wp:posOffset>-95250</wp:posOffset>
                </wp:positionV>
                <wp:extent cx="5202555" cy="104775"/>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2555" cy="104775"/>
                        </a:xfrm>
                        <a:prstGeom prst="rect">
                          <a:avLst/>
                        </a:prstGeom>
                        <a:solidFill>
                          <a:srgbClr val="D1EEF5"/>
                        </a:solidFill>
                      </wps:spPr>
                      <wps:bodyPr/>
                    </wps:wsp>
                  </a:graphicData>
                </a:graphic>
              </wp:anchor>
            </w:drawing>
          </mc:Choice>
          <mc:Fallback>
            <w:pict>
              <v:rect id="Shape 167" o:spid="_x0000_s1192" style="position:absolute;margin-left:24.4pt;margin-top:-7.4999pt;width:409.65pt;height:8.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ind w:left="480"/>
        <w:spacing w:after="0"/>
        <w:rPr>
          <w:sz w:val="20"/>
          <w:szCs w:val="20"/>
          <w:color w:val="auto"/>
        </w:rPr>
      </w:pPr>
      <w:r>
        <w:rPr>
          <w:rFonts w:ascii="Times New Roman" w:cs="Times New Roman" w:eastAsia="Times New Roman" w:hAnsi="Times New Roman"/>
          <w:sz w:val="14"/>
          <w:szCs w:val="14"/>
          <w:color w:val="auto"/>
        </w:rPr>
        <w:t>Assumed in the merger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309880</wp:posOffset>
                </wp:positionH>
                <wp:positionV relativeFrom="paragraph">
                  <wp:posOffset>0</wp:posOffset>
                </wp:positionV>
                <wp:extent cx="5202555" cy="111125"/>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2555" cy="111125"/>
                        </a:xfrm>
                        <a:prstGeom prst="rect">
                          <a:avLst/>
                        </a:prstGeom>
                        <a:solidFill>
                          <a:srgbClr val="D1EEF5"/>
                        </a:solidFill>
                      </wps:spPr>
                      <wps:bodyPr/>
                    </wps:wsp>
                  </a:graphicData>
                </a:graphic>
              </wp:anchor>
            </w:drawing>
          </mc:Choice>
          <mc:Fallback>
            <w:pict>
              <v:rect id="Shape 168" o:spid="_x0000_s1193" style="position:absolute;margin-left:24.4pt;margin-top:0pt;width:409.65pt;height:8.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ind w:left="480"/>
        <w:spacing w:after="0"/>
        <w:rPr>
          <w:sz w:val="20"/>
          <w:szCs w:val="20"/>
          <w:color w:val="auto"/>
        </w:rPr>
      </w:pPr>
      <w:r>
        <w:rPr>
          <w:rFonts w:ascii="Times New Roman" w:cs="Times New Roman" w:eastAsia="Times New Roman" w:hAnsi="Times New Roman"/>
          <w:sz w:val="14"/>
          <w:szCs w:val="14"/>
          <w:color w:val="auto"/>
        </w:rPr>
        <w:t>Exercised subsequent to the merger</w:t>
      </w:r>
    </w:p>
    <w:p>
      <w:pPr>
        <w:ind w:left="480"/>
        <w:spacing w:after="0"/>
        <w:rPr>
          <w:sz w:val="20"/>
          <w:szCs w:val="20"/>
          <w:color w:val="auto"/>
        </w:rPr>
      </w:pPr>
      <w:r>
        <w:rPr>
          <w:rFonts w:ascii="Times New Roman" w:cs="Times New Roman" w:eastAsia="Times New Roman" w:hAnsi="Times New Roman"/>
          <w:sz w:val="14"/>
          <w:szCs w:val="14"/>
          <w:color w:val="auto"/>
        </w:rPr>
        <w:t>Warrants Outstanding, December 31, 2022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**There were no warrants issued, exercised and outstanding prior to January 1,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Public Warrants:</w:t>
      </w:r>
    </w:p>
    <w:p>
      <w:pPr>
        <w:spacing w:after="0" w:line="3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**Warrants Outstanding, January 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309880</wp:posOffset>
                </wp:positionH>
                <wp:positionV relativeFrom="paragraph">
                  <wp:posOffset>-95250</wp:posOffset>
                </wp:positionV>
                <wp:extent cx="5202555" cy="104775"/>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2555" cy="104775"/>
                        </a:xfrm>
                        <a:prstGeom prst="rect">
                          <a:avLst/>
                        </a:prstGeom>
                        <a:solidFill>
                          <a:srgbClr val="D1EEF5"/>
                        </a:solidFill>
                      </wps:spPr>
                      <wps:bodyPr/>
                    </wps:wsp>
                  </a:graphicData>
                </a:graphic>
              </wp:anchor>
            </w:drawing>
          </mc:Choice>
          <mc:Fallback>
            <w:pict>
              <v:rect id="Shape 169" o:spid="_x0000_s1194" style="position:absolute;margin-left:24.4pt;margin-top:-7.4999pt;width:409.65pt;height:8.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ind w:left="480"/>
        <w:spacing w:after="0"/>
        <w:rPr>
          <w:sz w:val="20"/>
          <w:szCs w:val="20"/>
          <w:color w:val="auto"/>
        </w:rPr>
      </w:pPr>
      <w:r>
        <w:rPr>
          <w:rFonts w:ascii="Times New Roman" w:cs="Times New Roman" w:eastAsia="Times New Roman" w:hAnsi="Times New Roman"/>
          <w:sz w:val="14"/>
          <w:szCs w:val="14"/>
          <w:color w:val="auto"/>
        </w:rPr>
        <w:t>Assumed in the merger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309880</wp:posOffset>
                </wp:positionH>
                <wp:positionV relativeFrom="paragraph">
                  <wp:posOffset>0</wp:posOffset>
                </wp:positionV>
                <wp:extent cx="5202555" cy="11176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2555" cy="111760"/>
                        </a:xfrm>
                        <a:prstGeom prst="rect">
                          <a:avLst/>
                        </a:prstGeom>
                        <a:solidFill>
                          <a:srgbClr val="D1EEF5"/>
                        </a:solidFill>
                      </wps:spPr>
                      <wps:bodyPr/>
                    </wps:wsp>
                  </a:graphicData>
                </a:graphic>
              </wp:anchor>
            </w:drawing>
          </mc:Choice>
          <mc:Fallback>
            <w:pict>
              <v:rect id="Shape 170" o:spid="_x0000_s1195" style="position:absolute;margin-left:24.4pt;margin-top:0pt;width:409.65pt;height:8.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ind w:left="480"/>
        <w:spacing w:after="0"/>
        <w:rPr>
          <w:sz w:val="20"/>
          <w:szCs w:val="20"/>
          <w:color w:val="auto"/>
        </w:rPr>
      </w:pPr>
      <w:r>
        <w:rPr>
          <w:rFonts w:ascii="Times New Roman" w:cs="Times New Roman" w:eastAsia="Times New Roman" w:hAnsi="Times New Roman"/>
          <w:sz w:val="14"/>
          <w:szCs w:val="14"/>
          <w:color w:val="auto"/>
        </w:rPr>
        <w:t>Exercised subsequent to the merger</w:t>
      </w:r>
    </w:p>
    <w:p>
      <w:pPr>
        <w:ind w:left="480"/>
        <w:spacing w:after="0"/>
        <w:rPr>
          <w:sz w:val="20"/>
          <w:szCs w:val="20"/>
          <w:color w:val="auto"/>
        </w:rPr>
      </w:pPr>
      <w:r>
        <w:rPr>
          <w:rFonts w:ascii="Times New Roman" w:cs="Times New Roman" w:eastAsia="Times New Roman" w:hAnsi="Times New Roman"/>
          <w:sz w:val="14"/>
          <w:szCs w:val="14"/>
          <w:color w:val="auto"/>
        </w:rPr>
        <w:t>Warrants Outstanding, December 31, 2022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**There were no warrants issued, exercised and outstanding prior to January 1,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Term Loan Warrants:</w:t>
      </w:r>
    </w:p>
    <w:p>
      <w:pPr>
        <w:spacing w:after="0" w:line="3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**Warrants Outstanding, January 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309880</wp:posOffset>
                </wp:positionH>
                <wp:positionV relativeFrom="paragraph">
                  <wp:posOffset>-95250</wp:posOffset>
                </wp:positionV>
                <wp:extent cx="5202555" cy="10414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2555" cy="104140"/>
                        </a:xfrm>
                        <a:prstGeom prst="rect">
                          <a:avLst/>
                        </a:prstGeom>
                        <a:solidFill>
                          <a:srgbClr val="D1EEF5"/>
                        </a:solidFill>
                      </wps:spPr>
                      <wps:bodyPr/>
                    </wps:wsp>
                  </a:graphicData>
                </a:graphic>
              </wp:anchor>
            </w:drawing>
          </mc:Choice>
          <mc:Fallback>
            <w:pict>
              <v:rect id="Shape 171" o:spid="_x0000_s1196" style="position:absolute;margin-left:24.4pt;margin-top:-7.4999pt;width:409.65pt;height:8.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ind w:left="480"/>
        <w:spacing w:after="0"/>
        <w:rPr>
          <w:sz w:val="20"/>
          <w:szCs w:val="20"/>
          <w:color w:val="auto"/>
        </w:rPr>
      </w:pPr>
      <w:r>
        <w:rPr>
          <w:rFonts w:ascii="Times New Roman" w:cs="Times New Roman" w:eastAsia="Times New Roman" w:hAnsi="Times New Roman"/>
          <w:sz w:val="14"/>
          <w:szCs w:val="14"/>
          <w:color w:val="auto"/>
        </w:rPr>
        <w:t>Issued in conjunction with merger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309880</wp:posOffset>
                </wp:positionH>
                <wp:positionV relativeFrom="paragraph">
                  <wp:posOffset>0</wp:posOffset>
                </wp:positionV>
                <wp:extent cx="5202555" cy="11176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2555" cy="111760"/>
                        </a:xfrm>
                        <a:prstGeom prst="rect">
                          <a:avLst/>
                        </a:prstGeom>
                        <a:solidFill>
                          <a:srgbClr val="D1EEF5"/>
                        </a:solidFill>
                      </wps:spPr>
                      <wps:bodyPr/>
                    </wps:wsp>
                  </a:graphicData>
                </a:graphic>
              </wp:anchor>
            </w:drawing>
          </mc:Choice>
          <mc:Fallback>
            <w:pict>
              <v:rect id="Shape 172" o:spid="_x0000_s1197" style="position:absolute;margin-left:24.4pt;margin-top:0pt;width:409.65pt;height:8.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ind w:left="480"/>
        <w:spacing w:after="0"/>
        <w:rPr>
          <w:sz w:val="20"/>
          <w:szCs w:val="20"/>
          <w:color w:val="auto"/>
        </w:rPr>
      </w:pPr>
      <w:r>
        <w:rPr>
          <w:rFonts w:ascii="Times New Roman" w:cs="Times New Roman" w:eastAsia="Times New Roman" w:hAnsi="Times New Roman"/>
          <w:sz w:val="14"/>
          <w:szCs w:val="14"/>
          <w:color w:val="auto"/>
        </w:rPr>
        <w:t>Exercised subsequent to the merger</w:t>
      </w:r>
    </w:p>
    <w:p>
      <w:pPr>
        <w:ind w:left="480"/>
        <w:spacing w:after="0"/>
        <w:rPr>
          <w:sz w:val="20"/>
          <w:szCs w:val="20"/>
          <w:color w:val="auto"/>
        </w:rPr>
      </w:pPr>
      <w:r>
        <w:rPr>
          <w:rFonts w:ascii="Times New Roman" w:cs="Times New Roman" w:eastAsia="Times New Roman" w:hAnsi="Times New Roman"/>
          <w:sz w:val="14"/>
          <w:szCs w:val="14"/>
          <w:color w:val="auto"/>
        </w:rPr>
        <w:t>Warrants Outstanding, December 31, 2022</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i w:val="1"/>
          <w:iCs w:val="1"/>
          <w:color w:val="auto"/>
        </w:rPr>
        <w:t>**There were no warrants issued, exercised and outstanding prior to January 1, 2022.</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Common Stock Warrants</w:t>
      </w:r>
    </w:p>
    <w:p>
      <w:pPr>
        <w:spacing w:after="0" w:line="43"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4"/>
          <w:szCs w:val="14"/>
          <w:color w:val="auto"/>
        </w:rPr>
        <w:t>-</w:t>
      </w:r>
    </w:p>
    <w:p>
      <w:pPr>
        <w:spacing w:after="0" w:line="12"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4"/>
          <w:szCs w:val="14"/>
          <w:color w:val="auto"/>
        </w:rPr>
        <w:t>4,627,858</w:t>
      </w:r>
    </w:p>
    <w:p>
      <w:pPr>
        <w:jc w:val="right"/>
        <w:ind w:right="164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3175</wp:posOffset>
                </wp:positionV>
                <wp:extent cx="88201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2015" cy="4763"/>
                        </a:xfrm>
                        <a:prstGeom prst="line">
                          <a:avLst/>
                        </a:prstGeom>
                        <a:solidFill>
                          <a:srgbClr val="FFFFFF"/>
                        </a:solidFill>
                        <a:ln w="16762">
                          <a:solidFill>
                            <a:srgbClr val="00000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0.25pt" to="69pt,0.25pt" o:allowincell="f" strokecolor="#000000" strokeweight="1.3198pt"/>
            </w:pict>
          </mc:Fallback>
        </mc:AlternateContent>
      </w:r>
    </w:p>
    <w:p>
      <w:pPr>
        <w:jc w:val="right"/>
        <w:ind w:right="1640"/>
        <w:spacing w:after="0"/>
        <w:rPr>
          <w:sz w:val="20"/>
          <w:szCs w:val="20"/>
          <w:color w:val="auto"/>
        </w:rPr>
      </w:pPr>
      <w:r>
        <w:rPr>
          <w:rFonts w:ascii="Times New Roman" w:cs="Times New Roman" w:eastAsia="Times New Roman" w:hAnsi="Times New Roman"/>
          <w:sz w:val="14"/>
          <w:szCs w:val="14"/>
          <w:color w:val="auto"/>
        </w:rPr>
        <w:t>4,627,858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-1905</wp:posOffset>
            </wp:positionV>
            <wp:extent cx="908050" cy="495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44">
                      <a:extLst>
                        <a:ext uri="{28A0092B-C50C-407E-A947-70E740481C1C}"/>
                      </a:extLst>
                    </a:blip>
                    <a:srcRect/>
                    <a:stretch>
                      <a:fillRect/>
                    </a:stretch>
                  </pic:blipFill>
                  <pic:spPr bwMode="auto">
                    <a:xfrm>
                      <a:off x="0" y="0"/>
                      <a:ext cx="908050" cy="4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Common Stock Warrants</w:t>
      </w:r>
    </w:p>
    <w:p>
      <w:pPr>
        <w:spacing w:after="0" w:line="43"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4"/>
          <w:szCs w:val="14"/>
          <w:color w:val="auto"/>
        </w:rPr>
        <w:t>-</w:t>
      </w:r>
    </w:p>
    <w:p>
      <w:pPr>
        <w:spacing w:after="0" w:line="12"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4"/>
          <w:szCs w:val="14"/>
          <w:color w:val="auto"/>
        </w:rPr>
        <w:t>9,487,500</w:t>
      </w:r>
    </w:p>
    <w:p>
      <w:pPr>
        <w:jc w:val="right"/>
        <w:ind w:right="164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6350</wp:posOffset>
                </wp:positionV>
                <wp:extent cx="88201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2015" cy="4763"/>
                        </a:xfrm>
                        <a:prstGeom prst="line">
                          <a:avLst/>
                        </a:prstGeom>
                        <a:solidFill>
                          <a:srgbClr val="FFFFFF"/>
                        </a:solidFill>
                        <a:ln w="16763">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0.5pt" to="69pt,0.5pt" o:allowincell="f" strokecolor="#000000" strokeweight="1.3199pt"/>
            </w:pict>
          </mc:Fallback>
        </mc:AlternateContent>
      </w:r>
    </w:p>
    <w:p>
      <w:pPr>
        <w:jc w:val="right"/>
        <w:ind w:right="1640"/>
        <w:spacing w:after="0"/>
        <w:rPr>
          <w:sz w:val="20"/>
          <w:szCs w:val="20"/>
          <w:color w:val="auto"/>
        </w:rPr>
      </w:pPr>
      <w:r>
        <w:rPr>
          <w:rFonts w:ascii="Times New Roman" w:cs="Times New Roman" w:eastAsia="Times New Roman" w:hAnsi="Times New Roman"/>
          <w:sz w:val="14"/>
          <w:szCs w:val="14"/>
          <w:color w:val="auto"/>
        </w:rPr>
        <w:t>9,487,500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-7620</wp:posOffset>
            </wp:positionV>
            <wp:extent cx="908050" cy="495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45">
                      <a:extLst>
                        <a:ext uri="{28A0092B-C50C-407E-A947-70E740481C1C}"/>
                      </a:extLst>
                    </a:blip>
                    <a:srcRect/>
                    <a:stretch>
                      <a:fillRect/>
                    </a:stretch>
                  </pic:blipFill>
                  <pic:spPr bwMode="auto">
                    <a:xfrm>
                      <a:off x="0" y="0"/>
                      <a:ext cx="908050" cy="4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Common Stock Warrants</w:t>
      </w:r>
    </w:p>
    <w:p>
      <w:pPr>
        <w:spacing w:after="0" w:line="43"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4"/>
          <w:szCs w:val="14"/>
          <w:color w:val="auto"/>
        </w:rPr>
        <w:t>-</w:t>
      </w:r>
    </w:p>
    <w:p>
      <w:pPr>
        <w:spacing w:after="0" w:line="7"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4"/>
          <w:szCs w:val="14"/>
          <w:color w:val="auto"/>
        </w:rPr>
        <w:t>4,193,056</w:t>
      </w:r>
    </w:p>
    <w:p>
      <w:pPr>
        <w:jc w:val="right"/>
        <w:ind w:right="1600"/>
        <w:spacing w:after="0"/>
        <w:rPr>
          <w:sz w:val="20"/>
          <w:szCs w:val="20"/>
          <w:color w:val="auto"/>
        </w:rPr>
      </w:pPr>
      <w:r>
        <w:rPr>
          <w:rFonts w:ascii="Times New Roman" w:cs="Times New Roman" w:eastAsia="Times New Roman" w:hAnsi="Times New Roman"/>
          <w:sz w:val="14"/>
          <w:szCs w:val="14"/>
          <w:color w:val="auto"/>
        </w:rPr>
        <w:t>(1,600,000)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4445</wp:posOffset>
                </wp:positionV>
                <wp:extent cx="88201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201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0.35pt" to="69pt,0.35pt" o:allowincell="f" strokecolor="#000000" strokeweight="1.26pt"/>
            </w:pict>
          </mc:Fallback>
        </mc:AlternateContent>
      </w:r>
    </w:p>
    <w:p>
      <w:pPr>
        <w:ind w:left="840"/>
        <w:spacing w:after="0"/>
        <w:rPr>
          <w:sz w:val="20"/>
          <w:szCs w:val="20"/>
          <w:color w:val="auto"/>
        </w:rPr>
      </w:pPr>
      <w:r>
        <w:rPr>
          <w:rFonts w:ascii="Times New Roman" w:cs="Times New Roman" w:eastAsia="Times New Roman" w:hAnsi="Times New Roman"/>
          <w:sz w:val="14"/>
          <w:szCs w:val="14"/>
          <w:color w:val="auto"/>
        </w:rPr>
        <w:t>2,593,056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-4445</wp:posOffset>
            </wp:positionV>
            <wp:extent cx="908050" cy="495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46">
                      <a:extLst>
                        <a:ext uri="{28A0092B-C50C-407E-A947-70E740481C1C}"/>
                      </a:extLst>
                    </a:blip>
                    <a:srcRect/>
                    <a:stretch>
                      <a:fillRect/>
                    </a:stretch>
                  </pic:blipFill>
                  <pic:spPr bwMode="auto">
                    <a:xfrm>
                      <a:off x="0" y="0"/>
                      <a:ext cx="908050" cy="49530"/>
                    </a:xfrm>
                    <a:prstGeom prst="rect">
                      <a:avLst/>
                    </a:prstGeom>
                    <a:noFill/>
                  </pic:spPr>
                </pic:pic>
              </a:graphicData>
            </a:graphic>
          </wp:anchor>
        </w:drawing>
      </w:r>
    </w:p>
    <w:p>
      <w:pPr>
        <w:spacing w:after="0" w:line="497" w:lineRule="exact"/>
        <w:rPr>
          <w:sz w:val="20"/>
          <w:szCs w:val="20"/>
          <w:color w:val="auto"/>
        </w:rPr>
      </w:pPr>
    </w:p>
    <w:p>
      <w:pPr>
        <w:sectPr>
          <w:pgSz w:w="12240" w:h="15840" w:orient="portrait"/>
          <w:cols w:equalWidth="0" w:num="2">
            <w:col w:w="6500" w:space="720"/>
            <w:col w:w="3020"/>
          </w:cols>
          <w:pgMar w:left="1000" w:top="1208" w:right="1000" w:bottom="1440" w:gutter="0" w:footer="0" w:header="0"/>
          <w:type w:val="continuous"/>
        </w:sectPr>
      </w:pPr>
    </w:p>
    <w:p>
      <w:pPr>
        <w:spacing w:after="0" w:line="263" w:lineRule="auto"/>
        <w:rPr>
          <w:sz w:val="20"/>
          <w:szCs w:val="20"/>
          <w:color w:val="auto"/>
        </w:rPr>
      </w:pPr>
      <w:r>
        <w:rPr>
          <w:rFonts w:ascii="Times New Roman" w:cs="Times New Roman" w:eastAsia="Times New Roman" w:hAnsi="Times New Roman"/>
          <w:sz w:val="14"/>
          <w:szCs w:val="14"/>
          <w:color w:val="auto"/>
        </w:rPr>
        <w:t>The following table presents a roll- forward of the aggregate fair values of the Company’s warrant liabilities for which fair value is determined by Level 3 Inputs. The only class of warrants that were determined to be Level 3 are the term loan warrants.</w:t>
      </w:r>
    </w:p>
    <w:p>
      <w:pPr>
        <w:spacing w:after="0" w:line="127" w:lineRule="exact"/>
        <w:rPr>
          <w:sz w:val="20"/>
          <w:szCs w:val="20"/>
          <w:color w:val="auto"/>
        </w:rPr>
      </w:pPr>
    </w:p>
    <w:tbl>
      <w:tblPr>
        <w:tblLayout w:type="fixed"/>
        <w:tblInd w:w="48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Warrant Liability</w:t>
            </w:r>
          </w:p>
        </w:tc>
      </w:tr>
      <w:tr>
        <w:trPr>
          <w:trHeight w:val="157"/>
        </w:trPr>
        <w:tc>
          <w:tcPr>
            <w:tcW w:w="5740" w:type="dxa"/>
            <w:vAlign w:val="bottom"/>
            <w:tcBorders>
              <w:top w:val="single" w:sz="8" w:color="D1EEF5"/>
            </w:tcBorders>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Balances, January 1, 2022**</w:t>
            </w:r>
          </w:p>
        </w:tc>
        <w:tc>
          <w:tcPr>
            <w:tcW w:w="140" w:type="dxa"/>
            <w:vAlign w:val="bottom"/>
            <w:tcBorders>
              <w:top w:val="single" w:sz="8" w:color="auto"/>
            </w:tcBorders>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D1EEF5"/>
            </w:tcBorders>
            <w:shd w:val="clear" w:color="auto" w:fill="D1EEF5"/>
          </w:tcPr>
          <w:p>
            <w:pPr>
              <w:spacing w:after="0"/>
              <w:rPr>
                <w:sz w:val="13"/>
                <w:szCs w:val="13"/>
                <w:color w:val="auto"/>
              </w:rPr>
            </w:pPr>
          </w:p>
        </w:tc>
      </w:tr>
      <w:tr>
        <w:trPr>
          <w:trHeight w:val="157"/>
        </w:trPr>
        <w:tc>
          <w:tcPr>
            <w:tcW w:w="57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Issuance of warrants</w:t>
            </w:r>
          </w:p>
        </w:tc>
        <w:tc>
          <w:tcPr>
            <w:tcW w:w="140" w:type="dxa"/>
            <w:vAlign w:val="bottom"/>
          </w:tcPr>
          <w:p>
            <w:pPr>
              <w:spacing w:after="0"/>
              <w:rPr>
                <w:sz w:val="13"/>
                <w:szCs w:val="13"/>
                <w:color w:val="auto"/>
              </w:rPr>
            </w:pPr>
          </w:p>
        </w:tc>
        <w:tc>
          <w:tcPr>
            <w:tcW w:w="1300" w:type="dxa"/>
            <w:vAlign w:val="bottom"/>
            <w:gridSpan w:val="2"/>
          </w:tcPr>
          <w:p>
            <w:pPr>
              <w:jc w:val="right"/>
              <w:ind w:right="80"/>
              <w:spacing w:after="0" w:line="157" w:lineRule="exact"/>
              <w:rPr>
                <w:sz w:val="20"/>
                <w:szCs w:val="20"/>
                <w:color w:val="auto"/>
              </w:rPr>
            </w:pPr>
            <w:r>
              <w:rPr>
                <w:rFonts w:ascii="Times New Roman" w:cs="Times New Roman" w:eastAsia="Times New Roman" w:hAnsi="Times New Roman"/>
                <w:sz w:val="14"/>
                <w:szCs w:val="14"/>
                <w:color w:val="auto"/>
              </w:rPr>
              <w:t>52,956</w:t>
            </w:r>
          </w:p>
        </w:tc>
      </w:tr>
      <w:tr>
        <w:trPr>
          <w:trHeight w:val="156"/>
        </w:trPr>
        <w:tc>
          <w:tcPr>
            <w:tcW w:w="574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Exercise of warrants</w:t>
            </w:r>
          </w:p>
        </w:tc>
        <w:tc>
          <w:tcPr>
            <w:tcW w:w="140" w:type="dxa"/>
            <w:vAlign w:val="bottom"/>
            <w:shd w:val="clear" w:color="auto" w:fill="D1EEF5"/>
          </w:tcPr>
          <w:p>
            <w:pPr>
              <w:spacing w:after="0"/>
              <w:rPr>
                <w:sz w:val="13"/>
                <w:szCs w:val="13"/>
                <w:color w:val="auto"/>
              </w:rPr>
            </w:pPr>
          </w:p>
        </w:tc>
        <w:tc>
          <w:tcPr>
            <w:tcW w:w="1300" w:type="dxa"/>
            <w:vAlign w:val="bottom"/>
            <w:gridSpan w:val="2"/>
            <w:shd w:val="clear" w:color="auto" w:fill="D1EEF5"/>
          </w:tcPr>
          <w:p>
            <w:pPr>
              <w:jc w:val="right"/>
              <w:ind w:right="20"/>
              <w:spacing w:after="0" w:line="156" w:lineRule="exact"/>
              <w:rPr>
                <w:sz w:val="20"/>
                <w:szCs w:val="20"/>
                <w:color w:val="auto"/>
              </w:rPr>
            </w:pPr>
            <w:r>
              <w:rPr>
                <w:rFonts w:ascii="Times New Roman" w:cs="Times New Roman" w:eastAsia="Times New Roman" w:hAnsi="Times New Roman"/>
                <w:sz w:val="14"/>
                <w:szCs w:val="14"/>
                <w:color w:val="auto"/>
              </w:rPr>
              <w:t>(16,669)</w:t>
            </w:r>
          </w:p>
        </w:tc>
      </w:tr>
      <w:tr>
        <w:trPr>
          <w:trHeight w:val="172"/>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140" w:type="dxa"/>
            <w:vAlign w:val="bottom"/>
          </w:tcPr>
          <w:p>
            <w:pPr>
              <w:spacing w:after="0"/>
              <w:rPr>
                <w:sz w:val="14"/>
                <w:szCs w:val="1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(5,446)</w:t>
            </w:r>
          </w:p>
        </w:tc>
      </w:tr>
      <w:tr>
        <w:trPr>
          <w:trHeight w:val="175"/>
        </w:trPr>
        <w:tc>
          <w:tcPr>
            <w:tcW w:w="574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Balances, December 31, 2022</w:t>
            </w:r>
          </w:p>
        </w:tc>
        <w:tc>
          <w:tcPr>
            <w:tcW w:w="14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30,841</w:t>
            </w:r>
          </w:p>
        </w:tc>
        <w:tc>
          <w:tcPr>
            <w:tcW w:w="80" w:type="dxa"/>
            <w:vAlign w:val="bottom"/>
            <w:tcBorders>
              <w:top w:val="single" w:sz="8" w:color="D1EEF5"/>
            </w:tcBorders>
            <w:shd w:val="clear" w:color="auto" w:fill="D1EEF5"/>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-26035</wp:posOffset>
            </wp:positionV>
            <wp:extent cx="883285" cy="495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47">
                      <a:extLst>
                        <a:ext uri="{28A0092B-C50C-407E-A947-70E740481C1C}"/>
                      </a:extLst>
                    </a:blip>
                    <a:srcRect/>
                    <a:stretch>
                      <a:fillRect/>
                    </a:stretch>
                  </pic:blipFill>
                  <pic:spPr bwMode="auto">
                    <a:xfrm>
                      <a:off x="0" y="0"/>
                      <a:ext cx="883285" cy="49530"/>
                    </a:xfrm>
                    <a:prstGeom prst="rect">
                      <a:avLst/>
                    </a:prstGeom>
                    <a:noFill/>
                  </pic:spPr>
                </pic:pic>
              </a:graphicData>
            </a:graphic>
          </wp:anchor>
        </w:drawing>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**There were no warrants issued, exercised and outstanding prior to January 1, 2022.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13335</wp:posOffset>
                </wp:positionV>
                <wp:extent cx="650938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3">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05pt" to="512.25pt,1.05pt" o:allowincell="f" strokecolor="#000000" strokeweight="1.2601pt"/>
            </w:pict>
          </mc:Fallback>
        </mc:AlternateContent>
      </w:r>
    </w:p>
    <w:p>
      <w:pPr>
        <w:sectPr>
          <w:pgSz w:w="12240" w:h="15840" w:orient="portrait"/>
          <w:cols w:equalWidth="0" w:num="1">
            <w:col w:w="10240"/>
          </w:cols>
          <w:pgMar w:left="1000" w:top="1208" w:right="1000" w:bottom="144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COMMON STOCK</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 is authorized to issue up to 170,000,000 shares of common stock with $0.0001 par value. Common stockholders are entitled to dividends if and when declared by the Board of Directors subject to the rights of the preferred stockholders. As of December 31, 2022 and 2021, there were 43,272,728 and 36,496,998 shares issued and outstanding retroactively adjusted and no dividends on common stock had been declared by the Company.</w:t>
      </w:r>
    </w:p>
    <w:p>
      <w:pPr>
        <w:spacing w:after="0" w:line="1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June 12, 2022, Dragonfly entered into a Stock Purchase Agreement with THOR Industries, whereby THOR purchased shares of Dragonfly common stock for $15,000 in cash. The Stock Purchase agreement was issued in connection with a binding agreement among the parties whereby the parties would use commercially reasonable efforts to enter into a mutually agreed distribution and joint development agreement. The final terms of the agreement have not yet been determined.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of December 31, 2022 and 2021, the Company had reserved shares of common stock for issuance as follows:</w:t>
            </w: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88"/>
        </w:trPr>
        <w:tc>
          <w:tcPr>
            <w:tcW w:w="10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December 31,</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December 31,</w:t>
            </w:r>
          </w:p>
        </w:tc>
      </w:tr>
      <w:tr>
        <w:trPr>
          <w:trHeight w:val="175"/>
        </w:trPr>
        <w:tc>
          <w:tcPr>
            <w:tcW w:w="1020" w:type="dxa"/>
            <w:vAlign w:val="bottom"/>
          </w:tcPr>
          <w:p>
            <w:pPr>
              <w:spacing w:after="0"/>
              <w:rPr>
                <w:sz w:val="15"/>
                <w:szCs w:val="15"/>
                <w:color w:val="auto"/>
              </w:rPr>
            </w:pPr>
          </w:p>
        </w:tc>
        <w:tc>
          <w:tcPr>
            <w:tcW w:w="5420" w:type="dxa"/>
            <w:vAlign w:val="bottom"/>
            <w:tcBorders>
              <w:bottom w:val="single" w:sz="8" w:color="D1EEF5"/>
            </w:tcBorders>
          </w:tcPr>
          <w:p>
            <w:pPr>
              <w:spacing w:after="0"/>
              <w:rPr>
                <w:sz w:val="15"/>
                <w:szCs w:val="15"/>
                <w:color w:val="auto"/>
              </w:rPr>
            </w:pPr>
          </w:p>
        </w:tc>
        <w:tc>
          <w:tcPr>
            <w:tcW w:w="12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tcBorders>
              <w:bottom w:val="single" w:sz="8" w:color="D1EEF5"/>
            </w:tcBorders>
          </w:tcPr>
          <w:p>
            <w:pPr>
              <w:spacing w:after="0"/>
              <w:rPr>
                <w:sz w:val="15"/>
                <w:szCs w:val="15"/>
                <w:color w:val="auto"/>
              </w:rPr>
            </w:pPr>
          </w:p>
        </w:tc>
        <w:tc>
          <w:tcPr>
            <w:tcW w:w="12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D1EEF5"/>
            </w:tcBorders>
          </w:tcPr>
          <w:p>
            <w:pPr>
              <w:spacing w:after="0"/>
              <w:rPr>
                <w:sz w:val="15"/>
                <w:szCs w:val="15"/>
                <w:color w:val="auto"/>
              </w:rPr>
            </w:pPr>
          </w:p>
        </w:tc>
      </w:tr>
      <w:tr>
        <w:trPr>
          <w:trHeight w:val="158"/>
        </w:trPr>
        <w:tc>
          <w:tcPr>
            <w:tcW w:w="1020" w:type="dxa"/>
            <w:vAlign w:val="bottom"/>
          </w:tcPr>
          <w:p>
            <w:pPr>
              <w:spacing w:after="0"/>
              <w:rPr>
                <w:sz w:val="13"/>
                <w:szCs w:val="13"/>
                <w:color w:val="auto"/>
              </w:rPr>
            </w:pPr>
          </w:p>
        </w:tc>
        <w:tc>
          <w:tcPr>
            <w:tcW w:w="5420" w:type="dxa"/>
            <w:vAlign w:val="bottom"/>
            <w:shd w:val="clear" w:color="auto" w:fill="D1EEF5"/>
          </w:tcPr>
          <w:p>
            <w:pPr>
              <w:spacing w:after="0" w:line="159" w:lineRule="exact"/>
              <w:rPr>
                <w:sz w:val="20"/>
                <w:szCs w:val="20"/>
                <w:color w:val="auto"/>
              </w:rPr>
            </w:pPr>
            <w:r>
              <w:rPr>
                <w:rFonts w:ascii="Times New Roman" w:cs="Times New Roman" w:eastAsia="Times New Roman" w:hAnsi="Times New Roman"/>
                <w:sz w:val="14"/>
                <w:szCs w:val="14"/>
                <w:color w:val="auto"/>
              </w:rPr>
              <w:t>Options issued and outstanding</w:t>
            </w:r>
          </w:p>
        </w:tc>
        <w:tc>
          <w:tcPr>
            <w:tcW w:w="1220" w:type="dxa"/>
            <w:vAlign w:val="bottom"/>
            <w:shd w:val="clear" w:color="auto" w:fill="D1EEF5"/>
          </w:tcPr>
          <w:p>
            <w:pPr>
              <w:jc w:val="right"/>
              <w:spacing w:after="0" w:line="159" w:lineRule="exact"/>
              <w:rPr>
                <w:sz w:val="20"/>
                <w:szCs w:val="20"/>
                <w:color w:val="auto"/>
              </w:rPr>
            </w:pPr>
            <w:r>
              <w:rPr>
                <w:rFonts w:ascii="Times New Roman" w:cs="Times New Roman" w:eastAsia="Times New Roman" w:hAnsi="Times New Roman"/>
                <w:sz w:val="14"/>
                <w:szCs w:val="14"/>
                <w:color w:val="auto"/>
              </w:rPr>
              <w:t>3,642,958</w:t>
            </w:r>
          </w:p>
        </w:tc>
        <w:tc>
          <w:tcPr>
            <w:tcW w:w="240" w:type="dxa"/>
            <w:vAlign w:val="bottom"/>
            <w:shd w:val="clear" w:color="auto" w:fill="D1EEF5"/>
          </w:tcPr>
          <w:p>
            <w:pPr>
              <w:spacing w:after="0"/>
              <w:rPr>
                <w:sz w:val="13"/>
                <w:szCs w:val="13"/>
                <w:color w:val="auto"/>
              </w:rPr>
            </w:pPr>
          </w:p>
        </w:tc>
        <w:tc>
          <w:tcPr>
            <w:tcW w:w="1240" w:type="dxa"/>
            <w:vAlign w:val="bottom"/>
            <w:shd w:val="clear" w:color="auto" w:fill="D1EEF5"/>
          </w:tcPr>
          <w:p>
            <w:pPr>
              <w:jc w:val="right"/>
              <w:spacing w:after="0" w:line="159" w:lineRule="exact"/>
              <w:rPr>
                <w:sz w:val="20"/>
                <w:szCs w:val="20"/>
                <w:color w:val="auto"/>
              </w:rPr>
            </w:pPr>
            <w:r>
              <w:rPr>
                <w:rFonts w:ascii="Times New Roman" w:cs="Times New Roman" w:eastAsia="Times New Roman" w:hAnsi="Times New Roman"/>
                <w:sz w:val="14"/>
                <w:szCs w:val="14"/>
                <w:color w:val="auto"/>
              </w:rPr>
              <w:t>3,690,955</w:t>
            </w:r>
          </w:p>
        </w:tc>
        <w:tc>
          <w:tcPr>
            <w:tcW w:w="80" w:type="dxa"/>
            <w:vAlign w:val="bottom"/>
            <w:shd w:val="clear" w:color="auto" w:fill="D1EEF5"/>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2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Common stock outstanding</w:t>
            </w:r>
          </w:p>
        </w:tc>
        <w:tc>
          <w:tcPr>
            <w:tcW w:w="1460" w:type="dxa"/>
            <w:vAlign w:val="bottom"/>
            <w:gridSpan w:val="2"/>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43,272,728</w:t>
            </w:r>
          </w:p>
        </w:tc>
        <w:tc>
          <w:tcPr>
            <w:tcW w:w="12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36,496,998</w:t>
            </w:r>
          </w:p>
        </w:tc>
        <w:tc>
          <w:tcPr>
            <w:tcW w:w="80" w:type="dxa"/>
            <w:vAlign w:val="bottom"/>
          </w:tcPr>
          <w:p>
            <w:pPr>
              <w:spacing w:after="0"/>
              <w:rPr>
                <w:sz w:val="13"/>
                <w:szCs w:val="13"/>
                <w:color w:val="auto"/>
              </w:rPr>
            </w:pPr>
          </w:p>
        </w:tc>
      </w:tr>
      <w:tr>
        <w:trPr>
          <w:trHeight w:val="176"/>
        </w:trPr>
        <w:tc>
          <w:tcPr>
            <w:tcW w:w="1020" w:type="dxa"/>
            <w:vAlign w:val="bottom"/>
          </w:tcPr>
          <w:p>
            <w:pPr>
              <w:spacing w:after="0"/>
              <w:rPr>
                <w:sz w:val="15"/>
                <w:szCs w:val="15"/>
                <w:color w:val="auto"/>
              </w:rPr>
            </w:pPr>
          </w:p>
        </w:tc>
        <w:tc>
          <w:tcPr>
            <w:tcW w:w="542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Warrants outstanding</w:t>
            </w:r>
          </w:p>
        </w:tc>
        <w:tc>
          <w:tcPr>
            <w:tcW w:w="1460" w:type="dxa"/>
            <w:vAlign w:val="bottom"/>
            <w:gridSpan w:val="2"/>
            <w:shd w:val="clear" w:color="auto" w:fill="D1EEF5"/>
          </w:tcPr>
          <w:p>
            <w:pPr>
              <w:jc w:val="right"/>
              <w:ind w:right="240"/>
              <w:spacing w:after="0"/>
              <w:rPr>
                <w:sz w:val="20"/>
                <w:szCs w:val="20"/>
                <w:color w:val="auto"/>
              </w:rPr>
            </w:pPr>
            <w:r>
              <w:rPr>
                <w:rFonts w:ascii="Times New Roman" w:cs="Times New Roman" w:eastAsia="Times New Roman" w:hAnsi="Times New Roman"/>
                <w:sz w:val="14"/>
                <w:szCs w:val="14"/>
                <w:color w:val="auto"/>
              </w:rPr>
              <w:t>16,708,414</w:t>
            </w:r>
          </w:p>
        </w:tc>
        <w:tc>
          <w:tcPr>
            <w:tcW w:w="12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1EEF5"/>
          </w:tcPr>
          <w:p>
            <w:pPr>
              <w:spacing w:after="0"/>
              <w:rPr>
                <w:sz w:val="15"/>
                <w:szCs w:val="15"/>
                <w:color w:val="auto"/>
              </w:rPr>
            </w:pPr>
          </w:p>
        </w:tc>
      </w:tr>
      <w:tr>
        <w:trPr>
          <w:trHeight w:val="178"/>
        </w:trPr>
        <w:tc>
          <w:tcPr>
            <w:tcW w:w="102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Earnout shares</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40,000,000</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206"/>
        </w:trPr>
        <w:tc>
          <w:tcPr>
            <w:tcW w:w="1020" w:type="dxa"/>
            <w:vAlign w:val="bottom"/>
          </w:tcPr>
          <w:p>
            <w:pPr>
              <w:spacing w:after="0"/>
              <w:rPr>
                <w:sz w:val="17"/>
                <w:szCs w:val="17"/>
                <w:color w:val="auto"/>
              </w:rPr>
            </w:pPr>
          </w:p>
        </w:tc>
        <w:tc>
          <w:tcPr>
            <w:tcW w:w="5420" w:type="dxa"/>
            <w:vAlign w:val="bottom"/>
            <w:shd w:val="clear" w:color="auto" w:fill="D1EEF5"/>
          </w:tcPr>
          <w:p>
            <w:pPr>
              <w:spacing w:after="0" w:line="186" w:lineRule="exact"/>
              <w:rPr>
                <w:sz w:val="20"/>
                <w:szCs w:val="20"/>
                <w:color w:val="auto"/>
              </w:rPr>
            </w:pPr>
            <w:r>
              <w:rPr>
                <w:rFonts w:ascii="Times New Roman" w:cs="Times New Roman" w:eastAsia="Times New Roman" w:hAnsi="Times New Roman"/>
                <w:sz w:val="14"/>
                <w:szCs w:val="14"/>
                <w:color w:val="auto"/>
              </w:rPr>
              <w:t xml:space="preserve">Shares available for future issuance </w:t>
            </w:r>
            <w:r>
              <w:rPr>
                <w:rFonts w:ascii="Times New Roman" w:cs="Times New Roman" w:eastAsia="Times New Roman" w:hAnsi="Times New Roman"/>
                <w:sz w:val="18"/>
                <w:szCs w:val="18"/>
                <w:color w:val="auto"/>
                <w:vertAlign w:val="superscript"/>
              </w:rPr>
              <w:t>1</w:t>
            </w:r>
          </w:p>
        </w:tc>
        <w:tc>
          <w:tcPr>
            <w:tcW w:w="1460" w:type="dxa"/>
            <w:vAlign w:val="bottom"/>
            <w:gridSpan w:val="2"/>
            <w:shd w:val="clear" w:color="auto" w:fill="D1EEF5"/>
          </w:tcPr>
          <w:p>
            <w:pPr>
              <w:jc w:val="right"/>
              <w:ind w:right="240"/>
              <w:spacing w:after="0"/>
              <w:rPr>
                <w:sz w:val="20"/>
                <w:szCs w:val="20"/>
                <w:color w:val="auto"/>
              </w:rPr>
            </w:pPr>
            <w:r>
              <w:rPr>
                <w:rFonts w:ascii="Times New Roman" w:cs="Times New Roman" w:eastAsia="Times New Roman" w:hAnsi="Times New Roman"/>
                <w:sz w:val="14"/>
                <w:szCs w:val="14"/>
                <w:color w:val="auto"/>
              </w:rPr>
              <w:t>4,924,914</w:t>
            </w:r>
          </w:p>
        </w:tc>
        <w:tc>
          <w:tcPr>
            <w:tcW w:w="12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12,207</w:t>
            </w:r>
          </w:p>
        </w:tc>
        <w:tc>
          <w:tcPr>
            <w:tcW w:w="80" w:type="dxa"/>
            <w:vAlign w:val="bottom"/>
            <w:shd w:val="clear" w:color="auto" w:fill="D1EEF5"/>
          </w:tcPr>
          <w:p>
            <w:pPr>
              <w:spacing w:after="0"/>
              <w:rPr>
                <w:sz w:val="17"/>
                <w:szCs w:val="17"/>
                <w:color w:val="auto"/>
              </w:rPr>
            </w:pPr>
          </w:p>
        </w:tc>
      </w:tr>
      <w:tr>
        <w:trPr>
          <w:trHeight w:val="164"/>
        </w:trPr>
        <w:tc>
          <w:tcPr>
            <w:tcW w:w="1020" w:type="dxa"/>
            <w:vAlign w:val="bottom"/>
          </w:tcPr>
          <w:p>
            <w:pPr>
              <w:spacing w:after="0"/>
              <w:rPr>
                <w:sz w:val="14"/>
                <w:szCs w:val="14"/>
                <w:color w:val="auto"/>
              </w:rPr>
            </w:pPr>
          </w:p>
        </w:tc>
        <w:tc>
          <w:tcPr>
            <w:tcW w:w="5420" w:type="dxa"/>
            <w:vAlign w:val="bottom"/>
            <w:tcBorders>
              <w:top w:val="single" w:sz="8" w:color="D1EEF5"/>
            </w:tcBorders>
          </w:tcPr>
          <w:p>
            <w:pPr>
              <w:spacing w:after="0"/>
              <w:rPr>
                <w:sz w:val="20"/>
                <w:szCs w:val="20"/>
                <w:color w:val="auto"/>
              </w:rPr>
            </w:pPr>
            <w:r>
              <w:rPr>
                <w:rFonts w:ascii="Times New Roman" w:cs="Times New Roman" w:eastAsia="Times New Roman" w:hAnsi="Times New Roman"/>
                <w:sz w:val="14"/>
                <w:szCs w:val="14"/>
                <w:color w:val="auto"/>
              </w:rPr>
              <w:t>Total</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108,549,014</w:t>
            </w:r>
          </w:p>
        </w:tc>
        <w:tc>
          <w:tcPr>
            <w:tcW w:w="240" w:type="dxa"/>
            <w:vAlign w:val="bottom"/>
            <w:tcBorders>
              <w:top w:val="single" w:sz="8" w:color="D1EEF5"/>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40,200,160</w:t>
            </w:r>
          </w:p>
        </w:tc>
        <w:tc>
          <w:tcPr>
            <w:tcW w:w="80" w:type="dxa"/>
            <w:vAlign w:val="bottom"/>
            <w:tcBorders>
              <w:top w:val="single" w:sz="8" w:color="D1EEF5"/>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4072255</wp:posOffset>
            </wp:positionH>
            <wp:positionV relativeFrom="paragraph">
              <wp:posOffset>-27940</wp:posOffset>
            </wp:positionV>
            <wp:extent cx="1741170" cy="495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48">
                      <a:extLst>
                        <a:ext uri="{28A0092B-C50C-407E-A947-70E740481C1C}"/>
                      </a:extLst>
                    </a:blip>
                    <a:srcRect/>
                    <a:stretch>
                      <a:fillRect/>
                    </a:stretch>
                  </pic:blipFill>
                  <pic:spPr bwMode="auto">
                    <a:xfrm>
                      <a:off x="0" y="0"/>
                      <a:ext cx="1741170" cy="49530"/>
                    </a:xfrm>
                    <a:prstGeom prst="rect">
                      <a:avLst/>
                    </a:prstGeom>
                    <a:noFill/>
                  </pic:spPr>
                </pic:pic>
              </a:graphicData>
            </a:graphic>
          </wp:anchor>
        </w:drawing>
      </w:r>
    </w:p>
    <w:p>
      <w:pPr>
        <w:spacing w:after="0" w:line="137" w:lineRule="exact"/>
        <w:rPr>
          <w:sz w:val="20"/>
          <w:szCs w:val="20"/>
          <w:color w:val="auto"/>
        </w:rPr>
      </w:pPr>
    </w:p>
    <w:p>
      <w:pPr>
        <w:ind w:right="7120" w:firstLine="44"/>
        <w:spacing w:after="0" w:line="461" w:lineRule="auto"/>
        <w:tabs>
          <w:tab w:leader="none" w:pos="272" w:val="left"/>
        </w:tabs>
        <w:numPr>
          <w:ilvl w:val="0"/>
          <w:numId w:val="4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Refer to Stock Incentive Plan amendment at Note 14 ChEF Equity Facility</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Company and CCM LLC entered into a purchase agreement (the “</w:t>
      </w:r>
      <w:r>
        <w:rPr>
          <w:rFonts w:ascii="Times New Roman" w:cs="Times New Roman" w:eastAsia="Times New Roman" w:hAnsi="Times New Roman"/>
          <w:sz w:val="14"/>
          <w:szCs w:val="14"/>
          <w:b w:val="1"/>
          <w:bCs w:val="1"/>
          <w:color w:val="auto"/>
        </w:rPr>
        <w:t>Purchase Agreement</w:t>
      </w:r>
      <w:r>
        <w:rPr>
          <w:rFonts w:ascii="Times New Roman" w:cs="Times New Roman" w:eastAsia="Times New Roman" w:hAnsi="Times New Roman"/>
          <w:sz w:val="14"/>
          <w:szCs w:val="14"/>
          <w:color w:val="auto"/>
        </w:rPr>
        <w:t>”) and a Registration Rights Agreement (the “</w:t>
      </w:r>
      <w:r>
        <w:rPr>
          <w:rFonts w:ascii="Times New Roman" w:cs="Times New Roman" w:eastAsia="Times New Roman" w:hAnsi="Times New Roman"/>
          <w:sz w:val="14"/>
          <w:szCs w:val="14"/>
          <w:b w:val="1"/>
          <w:bCs w:val="1"/>
          <w:color w:val="auto"/>
        </w:rPr>
        <w:t>ChEF RRA</w:t>
      </w:r>
      <w:r>
        <w:rPr>
          <w:rFonts w:ascii="Times New Roman" w:cs="Times New Roman" w:eastAsia="Times New Roman" w:hAnsi="Times New Roman"/>
          <w:sz w:val="14"/>
          <w:szCs w:val="14"/>
          <w:color w:val="auto"/>
        </w:rPr>
        <w:t xml:space="preserve"> ”) in connection with the merger. Pursuant to the Purchase Agreement, the Company has the right to sell to CCM LLC an amount of shares of common stock, up to a maximum aggregate purchase price of $150,000, from time to time, pursuant to the terms of the Purchase Agreement.</w:t>
      </w:r>
    </w:p>
    <w:p>
      <w:pPr>
        <w:spacing w:after="0" w:line="1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$150,000, over the term of the equity facility (“</w:t>
      </w:r>
      <w:r>
        <w:rPr>
          <w:rFonts w:ascii="Times New Roman" w:cs="Times New Roman" w:eastAsia="Times New Roman" w:hAnsi="Times New Roman"/>
          <w:sz w:val="14"/>
          <w:szCs w:val="14"/>
          <w:b w:val="1"/>
          <w:bCs w:val="1"/>
          <w:color w:val="auto"/>
        </w:rPr>
        <w:t>ChEF Equity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Facility</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Under the terms of the Purchase Agreement, CCM LLC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LLC, together with its affiliates, of more than 9.9%, (ii) which would cause the aggregate purchase price on the applicable VWAP Purchase Date (as defined in the Purchase Agreement) for such purchases to exceed $3,000 and (iii) equal to 20% of the total number of shares of common stock that would count towards VWAP on the applicable Purchase Date of such purchase.</w:t>
      </w:r>
    </w:p>
    <w:p>
      <w:pPr>
        <w:spacing w:after="0" w:line="1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net proceeds from any sales under the Purchase Agreement will depend on the frequency with, and prices at, which shares of common stock are sold to CCM LLC. To the extent the Company sells shares of common stock under the Purchase Agreement, it currently plans to use any proceeds therefrom for working capital and other general corporate purposes.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addition, pursuant to the ChEF RRA, the Company has agreed to provide CCM LLC with certain registration rights with respect to the shares of common stock issued subject to the Purchase Agreement.</w:t>
      </w:r>
    </w:p>
    <w:p>
      <w:pPr>
        <w:spacing w:after="0" w:line="1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Purchase Agreement will automatically terminate on the earliest to occur of (i) the 36-month anniversary of the later of (x) the closing of the merger and (y) effective date of the Initial Registration Statement (as defined in the Purchase Agreement), (ii) the date on which CCM LLC shall have purchased 150,000,000 of shares of common stock pursuant to the Purchase Agreement, (iii) the date on which common stock shall have failed to be listed or quoted on Nasdaq or any successor principal market and (iv) the commencement of certain bankruptcy proceedings or similar transactions with respect to the Company or all or substantially all of its property.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11430</wp:posOffset>
                </wp:positionV>
                <wp:extent cx="6509385"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3">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9pt" to="512.25pt,0.9pt" o:allowincell="f" strokecolor="#000000" strokeweight="1.2601pt"/>
            </w:pict>
          </mc:Fallback>
        </mc:AlternateContent>
      </w:r>
    </w:p>
    <w:p>
      <w:pPr>
        <w:sectPr>
          <w:pgSz w:w="12240" w:h="15840" w:orient="portrait"/>
          <w:cols w:equalWidth="0" w:num="1">
            <w:col w:w="10240"/>
          </w:cols>
          <w:pgMar w:left="1000" w:top="1208" w:right="1000"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STOCK-BASED COMPENSATION</w:t>
      </w:r>
    </w:p>
    <w:p>
      <w:pPr>
        <w:spacing w:after="0" w:line="1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On August 12, 2019, the Board of Directors approved the 2019 Stock Incentive Plan (the “</w:t>
      </w:r>
      <w:r>
        <w:rPr>
          <w:rFonts w:ascii="Times New Roman" w:cs="Times New Roman" w:eastAsia="Times New Roman" w:hAnsi="Times New Roman"/>
          <w:sz w:val="14"/>
          <w:szCs w:val="14"/>
          <w:b w:val="1"/>
          <w:bCs w:val="1"/>
          <w:color w:val="auto"/>
        </w:rPr>
        <w:t>2019 Plan</w:t>
      </w:r>
      <w:r>
        <w:rPr>
          <w:rFonts w:ascii="Times New Roman" w:cs="Times New Roman" w:eastAsia="Times New Roman" w:hAnsi="Times New Roman"/>
          <w:sz w:val="14"/>
          <w:szCs w:val="14"/>
          <w:color w:val="auto"/>
        </w:rPr>
        <w:t>”) with a term of ten years. The Plan was administered by the Board of Directors, which was authorized to grant, at its discretion, awards to employees, directors, and consultants. The maximum number of common shares that were reserved for grants of awards under the Plan was 3,000,000 shares. The Plan provided for the grant of stock options (both incentive stock options and nonqualified stock options), and the grants and sale of restricted stock units (“</w:t>
      </w:r>
      <w:r>
        <w:rPr>
          <w:rFonts w:ascii="Times New Roman" w:cs="Times New Roman" w:eastAsia="Times New Roman" w:hAnsi="Times New Roman"/>
          <w:sz w:val="14"/>
          <w:szCs w:val="14"/>
          <w:b w:val="1"/>
          <w:bCs w:val="1"/>
          <w:color w:val="auto"/>
        </w:rPr>
        <w:t>RSUs</w:t>
      </w:r>
      <w:r>
        <w:rPr>
          <w:rFonts w:ascii="Times New Roman" w:cs="Times New Roman" w:eastAsia="Times New Roman" w:hAnsi="Times New Roman"/>
          <w:sz w:val="14"/>
          <w:szCs w:val="14"/>
          <w:color w:val="auto"/>
        </w:rPr>
        <w:t>”). Shares issued under this Plan may be drawn from authorized and unissued shares, or shares reacquired by the Company.</w:t>
      </w:r>
    </w:p>
    <w:p>
      <w:pPr>
        <w:spacing w:after="0" w:line="12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In July of 2021, the Board of Directors approved the 2021 Stock Incentive Plan (the “</w:t>
      </w:r>
      <w:r>
        <w:rPr>
          <w:rFonts w:ascii="Times New Roman" w:cs="Times New Roman" w:eastAsia="Times New Roman" w:hAnsi="Times New Roman"/>
          <w:sz w:val="14"/>
          <w:szCs w:val="14"/>
          <w:b w:val="1"/>
          <w:bCs w:val="1"/>
          <w:color w:val="auto"/>
        </w:rPr>
        <w:t>2021 Plan</w:t>
      </w:r>
      <w:r>
        <w:rPr>
          <w:rFonts w:ascii="Times New Roman" w:cs="Times New Roman" w:eastAsia="Times New Roman" w:hAnsi="Times New Roman"/>
          <w:sz w:val="14"/>
          <w:szCs w:val="14"/>
          <w:color w:val="auto"/>
        </w:rPr>
        <w:t>” and, together with the 2019 Plan, the “</w:t>
      </w:r>
      <w:r>
        <w:rPr>
          <w:rFonts w:ascii="Times New Roman" w:cs="Times New Roman" w:eastAsia="Times New Roman" w:hAnsi="Times New Roman"/>
          <w:sz w:val="14"/>
          <w:szCs w:val="14"/>
          <w:b w:val="1"/>
          <w:bCs w:val="1"/>
          <w:color w:val="auto"/>
        </w:rPr>
        <w:t>Prior Plans</w:t>
      </w:r>
      <w:r>
        <w:rPr>
          <w:rFonts w:ascii="Times New Roman" w:cs="Times New Roman" w:eastAsia="Times New Roman" w:hAnsi="Times New Roman"/>
          <w:sz w:val="14"/>
          <w:szCs w:val="14"/>
          <w:color w:val="auto"/>
        </w:rPr>
        <w:t>”) with a term of ten years. The Plan was administered by the Board of Directors, which was authorized to grant, at its discretion, awards to employees, directors, and consultants. The maximum number of common shares reserved for grants of awards under the Plan was 1,000,000 shares which was amended and increased to 2,000,000 in May of 2022. The Plan provides for the grant of stock options (both incentive stock options and nonqualified stock options), and the grants and sale of RSUs. Shares issued under this Plan may be drawn from authorized and unissued shares, or shares reacquired by the Company.</w:t>
      </w:r>
    </w:p>
    <w:p>
      <w:pPr>
        <w:spacing w:after="0" w:line="1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In connection with the merger, shareholders and board members approved the 2022 Equity Incentive Plan (the “</w:t>
      </w:r>
      <w:r>
        <w:rPr>
          <w:rFonts w:ascii="Times New Roman" w:cs="Times New Roman" w:eastAsia="Times New Roman" w:hAnsi="Times New Roman"/>
          <w:sz w:val="14"/>
          <w:szCs w:val="14"/>
          <w:b w:val="1"/>
          <w:bCs w:val="1"/>
          <w:color w:val="auto"/>
        </w:rPr>
        <w:t>2022 Plan</w:t>
      </w:r>
      <w:r>
        <w:rPr>
          <w:rFonts w:ascii="Times New Roman" w:cs="Times New Roman" w:eastAsia="Times New Roman" w:hAnsi="Times New Roman"/>
          <w:sz w:val="14"/>
          <w:szCs w:val="14"/>
          <w:color w:val="auto"/>
        </w:rPr>
        <w:t>”). A total of 2,785,950 shares of common stock was initially reserved for issuance under the 2022 Plan, with the potential for additional shares to be issued under the plan. The 2022 Plan replaced the Prior Plans, which the Company assumed in the merger. Following the Closing, no additional awards will be granted under the Prior Plans, although all stock awards granted under the Prior Plans that are outstanding immediately prior to the Closing will be assumed by the Company and continue to be subject to the terms and conditions as set forth in the agreements evidencing such stock awards and the terms of the applicable Prior Plan.</w:t>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If an incentive award granted under the 2022 Plan expires, terminates, is unexercised or is forfeited, or if any shares are surrendered to us in connection with an incentive award, the shares subject to such award and the surrendered shares will become available for future awards under the 2022 Plan. The number of shares subject to the 2022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spacing w:after="0" w:line="12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2"/>
          <w:szCs w:val="12"/>
          <w:color w:val="auto"/>
        </w:rPr>
        <w:t>The Company maintains an Employee Stock Purchase Plan (“</w:t>
      </w:r>
      <w:r>
        <w:rPr>
          <w:rFonts w:ascii="Times New Roman" w:cs="Times New Roman" w:eastAsia="Times New Roman" w:hAnsi="Times New Roman"/>
          <w:sz w:val="12"/>
          <w:szCs w:val="12"/>
          <w:b w:val="1"/>
          <w:bCs w:val="1"/>
          <w:color w:val="auto"/>
        </w:rPr>
        <w:t>ESPP</w:t>
      </w:r>
      <w:r>
        <w:rPr>
          <w:rFonts w:ascii="Times New Roman" w:cs="Times New Roman" w:eastAsia="Times New Roman" w:hAnsi="Times New Roman"/>
          <w:sz w:val="12"/>
          <w:szCs w:val="12"/>
          <w:color w:val="auto"/>
        </w:rPr>
        <w:t>”) which is designed to allow eligible employees and the eligible employees of our participating subsidiaries to purchase shares of our common stock, at semi-annual intervals, with their accumulated payroll deductions. A total of 2,464,400 shares of the Company’s common stock will initially be available for issuance under the ESPP. The share limit will automatically increase on the first trading day in January of each year by an amount equal to lesser of (1) 1% of the total number of outstanding shares of our common stock on December 31 in the prior year, (2) 1,500,000 shares, or (3) such number as determined by the Company’s board of directors.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Company’s option activity and related information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Weighted-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14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color w:val="auto"/>
              </w:rPr>
              <w:t>Number of</w:t>
            </w:r>
          </w:p>
        </w:tc>
        <w:tc>
          <w:tcPr>
            <w:tcW w:w="80" w:type="dxa"/>
            <w:vAlign w:val="bottom"/>
          </w:tcPr>
          <w:p>
            <w:pPr>
              <w:spacing w:after="0"/>
              <w:rPr>
                <w:sz w:val="13"/>
                <w:szCs w:val="13"/>
                <w:color w:val="auto"/>
              </w:rPr>
            </w:pPr>
          </w:p>
        </w:tc>
        <w:tc>
          <w:tcPr>
            <w:tcW w:w="1060" w:type="dxa"/>
            <w:vAlign w:val="bottom"/>
          </w:tcPr>
          <w:p>
            <w:pPr>
              <w:jc w:val="center"/>
              <w:ind w:right="12"/>
              <w:spacing w:after="0" w:line="156" w:lineRule="exact"/>
              <w:rPr>
                <w:sz w:val="20"/>
                <w:szCs w:val="20"/>
                <w:color w:val="auto"/>
              </w:rPr>
            </w:pPr>
            <w:r>
              <w:rPr>
                <w:rFonts w:ascii="Times New Roman" w:cs="Times New Roman" w:eastAsia="Times New Roman" w:hAnsi="Times New Roman"/>
                <w:sz w:val="14"/>
                <w:szCs w:val="14"/>
                <w:color w:val="auto"/>
                <w:w w:val="98"/>
              </w:rPr>
              <w:t>Weighted-</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212"/>
              <w:spacing w:after="0" w:line="156" w:lineRule="exact"/>
              <w:rPr>
                <w:sz w:val="20"/>
                <w:szCs w:val="20"/>
                <w:color w:val="auto"/>
              </w:rPr>
            </w:pPr>
            <w:r>
              <w:rPr>
                <w:rFonts w:ascii="Times New Roman" w:cs="Times New Roman" w:eastAsia="Times New Roman" w:hAnsi="Times New Roman"/>
                <w:sz w:val="14"/>
                <w:szCs w:val="14"/>
                <w:color w:val="auto"/>
              </w:rPr>
              <w:t>Weighted-</w:t>
            </w:r>
          </w:p>
        </w:tc>
        <w:tc>
          <w:tcPr>
            <w:tcW w:w="300" w:type="dxa"/>
            <w:vAlign w:val="bottom"/>
          </w:tcPr>
          <w:p>
            <w:pPr>
              <w:spacing w:after="0"/>
              <w:rPr>
                <w:sz w:val="13"/>
                <w:szCs w:val="13"/>
                <w:color w:val="auto"/>
              </w:rPr>
            </w:pPr>
          </w:p>
        </w:tc>
        <w:tc>
          <w:tcPr>
            <w:tcW w:w="1280" w:type="dxa"/>
            <w:vAlign w:val="bottom"/>
            <w:gridSpan w:val="2"/>
          </w:tcPr>
          <w:p>
            <w:pPr>
              <w:jc w:val="center"/>
              <w:ind w:right="140"/>
              <w:spacing w:after="0" w:line="156" w:lineRule="exact"/>
              <w:rPr>
                <w:sz w:val="20"/>
                <w:szCs w:val="20"/>
                <w:color w:val="auto"/>
              </w:rPr>
            </w:pPr>
            <w:r>
              <w:rPr>
                <w:rFonts w:ascii="Times New Roman" w:cs="Times New Roman" w:eastAsia="Times New Roman" w:hAnsi="Times New Roman"/>
                <w:sz w:val="14"/>
                <w:szCs w:val="14"/>
                <w:color w:val="auto"/>
                <w:w w:val="97"/>
              </w:rPr>
              <w:t>Average Remaining</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4"/>
                <w:szCs w:val="14"/>
                <w:color w:val="auto"/>
                <w:w w:val="96"/>
              </w:rPr>
              <w:t>Average Exercise</w:t>
            </w:r>
          </w:p>
        </w:tc>
        <w:tc>
          <w:tcPr>
            <w:tcW w:w="300" w:type="dxa"/>
            <w:vAlign w:val="bottom"/>
          </w:tcPr>
          <w:p>
            <w:pPr>
              <w:spacing w:after="0"/>
              <w:rPr>
                <w:sz w:val="12"/>
                <w:szCs w:val="12"/>
                <w:color w:val="auto"/>
              </w:rPr>
            </w:pPr>
          </w:p>
        </w:tc>
        <w:tc>
          <w:tcPr>
            <w:tcW w:w="112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w w:val="97"/>
              </w:rPr>
              <w:t>Average Grant Date</w:t>
            </w:r>
          </w:p>
        </w:tc>
        <w:tc>
          <w:tcPr>
            <w:tcW w:w="300" w:type="dxa"/>
            <w:vAlign w:val="bottom"/>
          </w:tcPr>
          <w:p>
            <w:pPr>
              <w:spacing w:after="0"/>
              <w:rPr>
                <w:sz w:val="12"/>
                <w:szCs w:val="12"/>
                <w:color w:val="auto"/>
              </w:rPr>
            </w:pPr>
          </w:p>
        </w:tc>
        <w:tc>
          <w:tcPr>
            <w:tcW w:w="128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color w:val="auto"/>
                <w:w w:val="97"/>
              </w:rPr>
              <w:t>Contractual Life (in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color w:val="auto"/>
                <w:w w:val="99"/>
              </w:rPr>
              <w:t>Aggregate</w:t>
            </w:r>
          </w:p>
        </w:tc>
        <w:tc>
          <w:tcPr>
            <w:tcW w:w="0" w:type="dxa"/>
            <w:vAlign w:val="bottom"/>
          </w:tcPr>
          <w:p>
            <w:pPr>
              <w:spacing w:after="0"/>
              <w:rPr>
                <w:sz w:val="1"/>
                <w:szCs w:val="1"/>
                <w:color w:val="auto"/>
              </w:rPr>
            </w:pPr>
          </w:p>
        </w:tc>
      </w:tr>
      <w:tr>
        <w:trPr>
          <w:trHeight w:val="197"/>
        </w:trPr>
        <w:tc>
          <w:tcPr>
            <w:tcW w:w="3280" w:type="dxa"/>
            <w:vAlign w:val="bottom"/>
          </w:tcPr>
          <w:p>
            <w:pPr>
              <w:spacing w:after="0"/>
              <w:rPr>
                <w:sz w:val="17"/>
                <w:szCs w:val="17"/>
                <w:color w:val="auto"/>
              </w:rPr>
            </w:pPr>
          </w:p>
        </w:tc>
        <w:tc>
          <w:tcPr>
            <w:tcW w:w="1420" w:type="dxa"/>
            <w:vAlign w:val="bottom"/>
            <w:gridSpan w:val="2"/>
          </w:tcPr>
          <w:p>
            <w:pPr>
              <w:jc w:val="right"/>
              <w:ind w:right="600"/>
              <w:spacing w:after="0" w:line="190" w:lineRule="exact"/>
              <w:rPr>
                <w:sz w:val="20"/>
                <w:szCs w:val="20"/>
                <w:color w:val="auto"/>
              </w:rPr>
            </w:pPr>
            <w:r>
              <w:rPr>
                <w:rFonts w:ascii="Times New Roman" w:cs="Times New Roman" w:eastAsia="Times New Roman" w:hAnsi="Times New Roman"/>
                <w:sz w:val="14"/>
                <w:szCs w:val="14"/>
                <w:color w:val="auto"/>
              </w:rPr>
              <w:t>Options</w:t>
            </w:r>
            <w:r>
              <w:rPr>
                <w:rFonts w:ascii="Times New Roman" w:cs="Times New Roman" w:eastAsia="Times New Roman" w:hAnsi="Times New Roman"/>
                <w:sz w:val="18"/>
                <w:szCs w:val="18"/>
                <w:color w:val="auto"/>
                <w:vertAlign w:val="superscript"/>
              </w:rPr>
              <w:t>(1)</w:t>
            </w:r>
          </w:p>
        </w:tc>
        <w:tc>
          <w:tcPr>
            <w:tcW w:w="80" w:type="dxa"/>
            <w:vAlign w:val="bottom"/>
          </w:tcPr>
          <w:p>
            <w:pPr>
              <w:spacing w:after="0"/>
              <w:rPr>
                <w:sz w:val="17"/>
                <w:szCs w:val="17"/>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7"/>
              </w:rPr>
              <w:t>Price</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Fair Value</w:t>
            </w:r>
          </w:p>
        </w:tc>
        <w:tc>
          <w:tcPr>
            <w:tcW w:w="30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years)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6"/>
              </w:rPr>
              <w:t>Intrinsic value</w:t>
            </w:r>
          </w:p>
        </w:tc>
        <w:tc>
          <w:tcPr>
            <w:tcW w:w="0" w:type="dxa"/>
            <w:vAlign w:val="bottom"/>
          </w:tcPr>
          <w:p>
            <w:pPr>
              <w:spacing w:after="0"/>
              <w:rPr>
                <w:sz w:val="1"/>
                <w:szCs w:val="1"/>
                <w:color w:val="auto"/>
              </w:rPr>
            </w:pPr>
          </w:p>
        </w:tc>
      </w:tr>
      <w:tr>
        <w:trPr>
          <w:trHeight w:val="151"/>
        </w:trPr>
        <w:tc>
          <w:tcPr>
            <w:tcW w:w="3280" w:type="dxa"/>
            <w:vAlign w:val="bottom"/>
            <w:tcBorders>
              <w:top w:val="single" w:sz="8" w:color="D1EEF5"/>
            </w:tcBorders>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auto"/>
              </w:rPr>
              <w:t>Balances, January 1, 2021</w:t>
            </w:r>
          </w:p>
        </w:tc>
        <w:tc>
          <w:tcPr>
            <w:tcW w:w="1120" w:type="dxa"/>
            <w:vAlign w:val="bottom"/>
            <w:tcBorders>
              <w:top w:val="single" w:sz="8" w:color="auto"/>
            </w:tcBorders>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3,029,791</w:t>
            </w:r>
          </w:p>
        </w:tc>
        <w:tc>
          <w:tcPr>
            <w:tcW w:w="300" w:type="dxa"/>
            <w:vAlign w:val="bottom"/>
            <w:tcBorders>
              <w:top w:val="single" w:sz="8" w:color="D1EEF5"/>
            </w:tcBorders>
            <w:shd w:val="clear" w:color="auto" w:fill="D1EEF5"/>
          </w:tcPr>
          <w:p>
            <w:pPr>
              <w:spacing w:after="0"/>
              <w:rPr>
                <w:sz w:val="13"/>
                <w:szCs w:val="13"/>
                <w:color w:val="auto"/>
              </w:rPr>
            </w:pPr>
          </w:p>
        </w:tc>
        <w:tc>
          <w:tcPr>
            <w:tcW w:w="80" w:type="dxa"/>
            <w:vAlign w:val="bottom"/>
            <w:tcBorders>
              <w:top w:val="single" w:sz="8" w:color="auto"/>
            </w:tcBorders>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0.45</w:t>
            </w:r>
          </w:p>
        </w:tc>
        <w:tc>
          <w:tcPr>
            <w:tcW w:w="300" w:type="dxa"/>
            <w:vAlign w:val="bottom"/>
            <w:tcBorders>
              <w:top w:val="single" w:sz="8" w:color="D1EEF5"/>
            </w:tcBorders>
            <w:shd w:val="clear" w:color="auto" w:fill="D1EEF5"/>
          </w:tcPr>
          <w:p>
            <w:pPr>
              <w:spacing w:after="0"/>
              <w:rPr>
                <w:sz w:val="13"/>
                <w:szCs w:val="13"/>
                <w:color w:val="auto"/>
              </w:rPr>
            </w:pPr>
          </w:p>
        </w:tc>
        <w:tc>
          <w:tcPr>
            <w:tcW w:w="160" w:type="dxa"/>
            <w:vAlign w:val="bottom"/>
            <w:tcBorders>
              <w:top w:val="single" w:sz="8" w:color="auto"/>
            </w:tcBorders>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0.72</w:t>
            </w:r>
          </w:p>
        </w:tc>
        <w:tc>
          <w:tcPr>
            <w:tcW w:w="300" w:type="dxa"/>
            <w:vAlign w:val="bottom"/>
            <w:tcBorders>
              <w:top w:val="single" w:sz="8" w:color="D1EEF5"/>
            </w:tcBorders>
            <w:shd w:val="clear" w:color="auto" w:fill="D1EEF5"/>
          </w:tcPr>
          <w:p>
            <w:pPr>
              <w:spacing w:after="0"/>
              <w:rPr>
                <w:sz w:val="13"/>
                <w:szCs w:val="13"/>
                <w:color w:val="auto"/>
              </w:rPr>
            </w:pPr>
          </w:p>
        </w:tc>
        <w:tc>
          <w:tcPr>
            <w:tcW w:w="1140" w:type="dxa"/>
            <w:vAlign w:val="bottom"/>
            <w:tcBorders>
              <w:top w:val="single" w:sz="8" w:color="auto"/>
            </w:tcBorders>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7.92</w:t>
            </w:r>
          </w:p>
        </w:tc>
        <w:tc>
          <w:tcPr>
            <w:tcW w:w="140" w:type="dxa"/>
            <w:vAlign w:val="bottom"/>
            <w:tcBorders>
              <w:top w:val="single" w:sz="8" w:color="D1EEF5"/>
            </w:tcBorders>
            <w:shd w:val="clear" w:color="auto" w:fill="D1EEF5"/>
          </w:tcPr>
          <w:p>
            <w:pPr>
              <w:spacing w:after="0"/>
              <w:rPr>
                <w:sz w:val="13"/>
                <w:szCs w:val="13"/>
                <w:color w:val="auto"/>
              </w:rPr>
            </w:pPr>
          </w:p>
        </w:tc>
        <w:tc>
          <w:tcPr>
            <w:tcW w:w="160" w:type="dxa"/>
            <w:vAlign w:val="bottom"/>
            <w:tcBorders>
              <w:top w:val="single" w:sz="8" w:color="D1EEF5"/>
            </w:tcBorders>
            <w:shd w:val="clear" w:color="auto" w:fill="D1EEF5"/>
          </w:tcPr>
          <w:p>
            <w:pPr>
              <w:spacing w:after="0"/>
              <w:rPr>
                <w:sz w:val="13"/>
                <w:szCs w:val="13"/>
                <w:color w:val="auto"/>
              </w:rPr>
            </w:pPr>
          </w:p>
        </w:tc>
        <w:tc>
          <w:tcPr>
            <w:tcW w:w="120" w:type="dxa"/>
            <w:vAlign w:val="bottom"/>
            <w:tcBorders>
              <w:top w:val="single" w:sz="8" w:color="auto"/>
            </w:tcBorders>
            <w:shd w:val="clear" w:color="auto" w:fill="D1EEF5"/>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651</w:t>
            </w:r>
          </w:p>
        </w:tc>
        <w:tc>
          <w:tcPr>
            <w:tcW w:w="100" w:type="dxa"/>
            <w:vAlign w:val="bottom"/>
            <w:tcBorders>
              <w:top w:val="single" w:sz="8" w:color="D1EEF5"/>
            </w:tcBorders>
            <w:shd w:val="clear" w:color="auto" w:fill="D1EEF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Options granted</w:t>
            </w:r>
          </w:p>
        </w:tc>
        <w:tc>
          <w:tcPr>
            <w:tcW w:w="142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4"/>
                <w:szCs w:val="14"/>
                <w:color w:val="auto"/>
              </w:rPr>
              <w:t>2,069,309</w:t>
            </w:r>
          </w:p>
        </w:tc>
        <w:tc>
          <w:tcPr>
            <w:tcW w:w="8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3.41</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2.03</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3,551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8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Options forfeited</w:t>
            </w:r>
          </w:p>
        </w:tc>
        <w:tc>
          <w:tcPr>
            <w:tcW w:w="1420" w:type="dxa"/>
            <w:vAlign w:val="bottom"/>
            <w:gridSpan w:val="2"/>
            <w:shd w:val="clear" w:color="auto" w:fill="D1EEF5"/>
          </w:tcPr>
          <w:p>
            <w:pPr>
              <w:jc w:val="right"/>
              <w:ind w:right="260"/>
              <w:spacing w:after="0" w:line="156" w:lineRule="exact"/>
              <w:rPr>
                <w:sz w:val="20"/>
                <w:szCs w:val="20"/>
                <w:color w:val="auto"/>
              </w:rPr>
            </w:pPr>
            <w:r>
              <w:rPr>
                <w:rFonts w:ascii="Times New Roman" w:cs="Times New Roman" w:eastAsia="Times New Roman" w:hAnsi="Times New Roman"/>
                <w:sz w:val="14"/>
                <w:szCs w:val="14"/>
                <w:color w:val="auto"/>
              </w:rPr>
              <w:t>(421,094)</w:t>
            </w:r>
          </w:p>
        </w:tc>
        <w:tc>
          <w:tcPr>
            <w:tcW w:w="80" w:type="dxa"/>
            <w:vAlign w:val="bottom"/>
            <w:shd w:val="clear" w:color="auto" w:fill="D1EEF5"/>
          </w:tcPr>
          <w:p>
            <w:pPr>
              <w:spacing w:after="0"/>
              <w:rPr>
                <w:sz w:val="13"/>
                <w:szCs w:val="13"/>
                <w:color w:val="auto"/>
              </w:rPr>
            </w:pPr>
          </w:p>
        </w:tc>
        <w:tc>
          <w:tcPr>
            <w:tcW w:w="106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1.44</w:t>
            </w:r>
          </w:p>
        </w:tc>
        <w:tc>
          <w:tcPr>
            <w:tcW w:w="300" w:type="dxa"/>
            <w:vAlign w:val="bottom"/>
            <w:shd w:val="clear" w:color="auto" w:fill="D1EEF5"/>
          </w:tcPr>
          <w:p>
            <w:pPr>
              <w:spacing w:after="0"/>
              <w:rPr>
                <w:sz w:val="13"/>
                <w:szCs w:val="13"/>
                <w:color w:val="auto"/>
              </w:rPr>
            </w:pPr>
          </w:p>
        </w:tc>
        <w:tc>
          <w:tcPr>
            <w:tcW w:w="160" w:type="dxa"/>
            <w:vAlign w:val="bottom"/>
            <w:shd w:val="clear" w:color="auto" w:fill="D1EEF5"/>
          </w:tcPr>
          <w:p>
            <w:pPr>
              <w:spacing w:after="0"/>
              <w:rPr>
                <w:sz w:val="13"/>
                <w:szCs w:val="13"/>
                <w:color w:val="auto"/>
              </w:rPr>
            </w:pPr>
          </w:p>
        </w:tc>
        <w:tc>
          <w:tcPr>
            <w:tcW w:w="96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1.82</w:t>
            </w:r>
          </w:p>
        </w:tc>
        <w:tc>
          <w:tcPr>
            <w:tcW w:w="300" w:type="dxa"/>
            <w:vAlign w:val="bottom"/>
            <w:shd w:val="clear" w:color="auto" w:fill="D1EEF5"/>
          </w:tcPr>
          <w:p>
            <w:pPr>
              <w:spacing w:after="0"/>
              <w:rPr>
                <w:sz w:val="13"/>
                <w:szCs w:val="13"/>
                <w:color w:val="auto"/>
              </w:rPr>
            </w:pPr>
          </w:p>
        </w:tc>
        <w:tc>
          <w:tcPr>
            <w:tcW w:w="1140" w:type="dxa"/>
            <w:vAlign w:val="bottom"/>
            <w:shd w:val="clear" w:color="auto" w:fill="D1EEF5"/>
          </w:tcPr>
          <w:p>
            <w:pPr>
              <w:spacing w:after="0"/>
              <w:rPr>
                <w:sz w:val="13"/>
                <w:szCs w:val="13"/>
                <w:color w:val="auto"/>
              </w:rPr>
            </w:pPr>
          </w:p>
        </w:tc>
        <w:tc>
          <w:tcPr>
            <w:tcW w:w="140" w:type="dxa"/>
            <w:vAlign w:val="bottom"/>
            <w:shd w:val="clear" w:color="auto" w:fill="D1EEF5"/>
          </w:tcPr>
          <w:p>
            <w:pPr>
              <w:spacing w:after="0"/>
              <w:rPr>
                <w:sz w:val="13"/>
                <w:szCs w:val="13"/>
                <w:color w:val="auto"/>
              </w:rPr>
            </w:pPr>
          </w:p>
        </w:tc>
        <w:tc>
          <w:tcPr>
            <w:tcW w:w="160" w:type="dxa"/>
            <w:vAlign w:val="bottom"/>
            <w:shd w:val="clear" w:color="auto" w:fill="D1EEF5"/>
          </w:tcPr>
          <w:p>
            <w:pPr>
              <w:spacing w:after="0"/>
              <w:rPr>
                <w:sz w:val="13"/>
                <w:szCs w:val="13"/>
                <w:color w:val="auto"/>
              </w:rPr>
            </w:pPr>
          </w:p>
        </w:tc>
        <w:tc>
          <w:tcPr>
            <w:tcW w:w="120" w:type="dxa"/>
            <w:vAlign w:val="bottom"/>
            <w:shd w:val="clear" w:color="auto" w:fill="D1EEF5"/>
          </w:tcPr>
          <w:p>
            <w:pPr>
              <w:spacing w:after="0"/>
              <w:rPr>
                <w:sz w:val="13"/>
                <w:szCs w:val="13"/>
                <w:color w:val="auto"/>
              </w:rPr>
            </w:pPr>
          </w:p>
        </w:tc>
        <w:tc>
          <w:tcPr>
            <w:tcW w:w="102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EF5"/>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Options exercised</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(987,051)</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80" w:type="dxa"/>
            <w:vAlign w:val="bottom"/>
            <w:tcBorders>
              <w:top w:val="single" w:sz="8" w:color="D1EEF5"/>
            </w:tcBorders>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Balances, December 31, 2021</w:t>
            </w:r>
          </w:p>
        </w:tc>
        <w:tc>
          <w:tcPr>
            <w:tcW w:w="1120" w:type="dxa"/>
            <w:vAlign w:val="bottom"/>
            <w:tcBorders>
              <w:top w:val="single" w:sz="8" w:color="auto"/>
            </w:tcBorders>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3,690,955</w:t>
            </w:r>
          </w:p>
        </w:tc>
        <w:tc>
          <w:tcPr>
            <w:tcW w:w="300" w:type="dxa"/>
            <w:vAlign w:val="bottom"/>
            <w:tcBorders>
              <w:top w:val="single" w:sz="8" w:color="D1EEF5"/>
            </w:tcBorders>
            <w:shd w:val="clear" w:color="auto" w:fill="D1EEF5"/>
          </w:tcPr>
          <w:p>
            <w:pPr>
              <w:spacing w:after="0"/>
              <w:rPr>
                <w:sz w:val="13"/>
                <w:szCs w:val="13"/>
                <w:color w:val="auto"/>
              </w:rPr>
            </w:pPr>
          </w:p>
        </w:tc>
        <w:tc>
          <w:tcPr>
            <w:tcW w:w="80" w:type="dxa"/>
            <w:vAlign w:val="bottom"/>
            <w:tcBorders>
              <w:top w:val="single" w:sz="8" w:color="auto"/>
            </w:tcBorders>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1.98</w:t>
            </w:r>
          </w:p>
        </w:tc>
        <w:tc>
          <w:tcPr>
            <w:tcW w:w="300" w:type="dxa"/>
            <w:vAlign w:val="bottom"/>
            <w:tcBorders>
              <w:top w:val="single" w:sz="8" w:color="D1EEF5"/>
            </w:tcBorders>
            <w:shd w:val="clear" w:color="auto" w:fill="D1EEF5"/>
          </w:tcPr>
          <w:p>
            <w:pPr>
              <w:spacing w:after="0"/>
              <w:rPr>
                <w:sz w:val="13"/>
                <w:szCs w:val="13"/>
                <w:color w:val="auto"/>
              </w:rPr>
            </w:pPr>
          </w:p>
        </w:tc>
        <w:tc>
          <w:tcPr>
            <w:tcW w:w="160" w:type="dxa"/>
            <w:vAlign w:val="bottom"/>
            <w:tcBorders>
              <w:top w:val="single" w:sz="8" w:color="auto"/>
            </w:tcBorders>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1.38</w:t>
            </w:r>
          </w:p>
        </w:tc>
        <w:tc>
          <w:tcPr>
            <w:tcW w:w="1440" w:type="dxa"/>
            <w:vAlign w:val="bottom"/>
            <w:tcBorders>
              <w:top w:val="single" w:sz="8" w:color="D1EEF5"/>
            </w:tcBorders>
            <w:gridSpan w:val="2"/>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8.52</w:t>
            </w:r>
          </w:p>
        </w:tc>
        <w:tc>
          <w:tcPr>
            <w:tcW w:w="140" w:type="dxa"/>
            <w:vAlign w:val="bottom"/>
            <w:tcBorders>
              <w:top w:val="single" w:sz="8" w:color="D1EEF5"/>
            </w:tcBorders>
            <w:shd w:val="clear" w:color="auto" w:fill="D1EEF5"/>
          </w:tcPr>
          <w:p>
            <w:pPr>
              <w:spacing w:after="0"/>
              <w:rPr>
                <w:sz w:val="13"/>
                <w:szCs w:val="13"/>
                <w:color w:val="auto"/>
              </w:rPr>
            </w:pPr>
          </w:p>
        </w:tc>
        <w:tc>
          <w:tcPr>
            <w:tcW w:w="160" w:type="dxa"/>
            <w:vAlign w:val="bottom"/>
            <w:tcBorders>
              <w:top w:val="single" w:sz="8" w:color="D1EEF5"/>
            </w:tcBorders>
            <w:shd w:val="clear" w:color="auto" w:fill="D1EEF5"/>
          </w:tcPr>
          <w:p>
            <w:pPr>
              <w:spacing w:after="0"/>
              <w:rPr>
                <w:sz w:val="13"/>
                <w:szCs w:val="13"/>
                <w:color w:val="auto"/>
              </w:rPr>
            </w:pPr>
          </w:p>
        </w:tc>
        <w:tc>
          <w:tcPr>
            <w:tcW w:w="120" w:type="dxa"/>
            <w:vAlign w:val="bottom"/>
            <w:tcBorders>
              <w:top w:val="single" w:sz="8" w:color="auto"/>
            </w:tcBorders>
            <w:shd w:val="clear" w:color="auto" w:fill="D1EEF5"/>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6,550</w:t>
            </w:r>
          </w:p>
        </w:tc>
        <w:tc>
          <w:tcPr>
            <w:tcW w:w="100" w:type="dxa"/>
            <w:vAlign w:val="bottom"/>
            <w:tcBorders>
              <w:top w:val="single" w:sz="8" w:color="D1EEF5"/>
            </w:tcBorders>
            <w:shd w:val="clear" w:color="auto" w:fill="D1EEF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8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Balances, January 1, 2022</w:t>
            </w:r>
          </w:p>
        </w:tc>
        <w:tc>
          <w:tcPr>
            <w:tcW w:w="1420" w:type="dxa"/>
            <w:vAlign w:val="bottom"/>
            <w:gridSpan w:val="2"/>
            <w:shd w:val="clear" w:color="auto" w:fill="D1EEF5"/>
          </w:tcPr>
          <w:p>
            <w:pPr>
              <w:jc w:val="right"/>
              <w:ind w:right="300"/>
              <w:spacing w:after="0" w:line="156" w:lineRule="exact"/>
              <w:rPr>
                <w:sz w:val="20"/>
                <w:szCs w:val="20"/>
                <w:color w:val="auto"/>
              </w:rPr>
            </w:pPr>
            <w:r>
              <w:rPr>
                <w:rFonts w:ascii="Times New Roman" w:cs="Times New Roman" w:eastAsia="Times New Roman" w:hAnsi="Times New Roman"/>
                <w:sz w:val="14"/>
                <w:szCs w:val="14"/>
                <w:color w:val="auto"/>
              </w:rPr>
              <w:t>3,690,955</w:t>
            </w:r>
          </w:p>
        </w:tc>
        <w:tc>
          <w:tcPr>
            <w:tcW w:w="8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1.98</w:t>
            </w:r>
          </w:p>
        </w:tc>
        <w:tc>
          <w:tcPr>
            <w:tcW w:w="460" w:type="dxa"/>
            <w:vAlign w:val="bottom"/>
            <w:gridSpan w:val="2"/>
            <w:shd w:val="clear" w:color="auto" w:fill="D1EEF5"/>
          </w:tcPr>
          <w:p>
            <w:pPr>
              <w:ind w:left="3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1.38</w:t>
            </w:r>
          </w:p>
        </w:tc>
        <w:tc>
          <w:tcPr>
            <w:tcW w:w="1580" w:type="dxa"/>
            <w:vAlign w:val="bottom"/>
            <w:gridSpan w:val="3"/>
            <w:shd w:val="clear" w:color="auto" w:fill="D1EEF5"/>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8.52</w:t>
            </w:r>
          </w:p>
        </w:tc>
        <w:tc>
          <w:tcPr>
            <w:tcW w:w="280" w:type="dxa"/>
            <w:vAlign w:val="bottom"/>
            <w:gridSpan w:val="2"/>
            <w:shd w:val="clear" w:color="auto" w:fill="D1EEF5"/>
          </w:tcPr>
          <w:p>
            <w:pPr>
              <w:jc w:val="right"/>
              <w:ind w:right="3"/>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6,550</w:t>
            </w:r>
          </w:p>
        </w:tc>
        <w:tc>
          <w:tcPr>
            <w:tcW w:w="100" w:type="dxa"/>
            <w:vAlign w:val="bottom"/>
            <w:shd w:val="clear" w:color="auto" w:fill="D1EEF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Options granted</w:t>
            </w:r>
          </w:p>
        </w:tc>
        <w:tc>
          <w:tcPr>
            <w:tcW w:w="142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4"/>
                <w:szCs w:val="14"/>
                <w:color w:val="auto"/>
              </w:rPr>
              <w:t>572,428</w:t>
            </w:r>
          </w:p>
        </w:tc>
        <w:tc>
          <w:tcPr>
            <w:tcW w:w="8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3.46</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1.57</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8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Options forfeited</w:t>
            </w:r>
          </w:p>
        </w:tc>
        <w:tc>
          <w:tcPr>
            <w:tcW w:w="1420" w:type="dxa"/>
            <w:vAlign w:val="bottom"/>
            <w:gridSpan w:val="2"/>
            <w:shd w:val="clear" w:color="auto" w:fill="D1EEF5"/>
          </w:tcPr>
          <w:p>
            <w:pPr>
              <w:jc w:val="right"/>
              <w:ind w:right="260"/>
              <w:spacing w:after="0" w:line="157" w:lineRule="exact"/>
              <w:rPr>
                <w:sz w:val="20"/>
                <w:szCs w:val="20"/>
                <w:color w:val="auto"/>
              </w:rPr>
            </w:pPr>
            <w:r>
              <w:rPr>
                <w:rFonts w:ascii="Times New Roman" w:cs="Times New Roman" w:eastAsia="Times New Roman" w:hAnsi="Times New Roman"/>
                <w:sz w:val="14"/>
                <w:szCs w:val="14"/>
                <w:color w:val="auto"/>
              </w:rPr>
              <w:t>(39,074)</w:t>
            </w:r>
          </w:p>
        </w:tc>
        <w:tc>
          <w:tcPr>
            <w:tcW w:w="80" w:type="dxa"/>
            <w:vAlign w:val="bottom"/>
            <w:shd w:val="clear" w:color="auto" w:fill="D1EEF5"/>
          </w:tcPr>
          <w:p>
            <w:pPr>
              <w:spacing w:after="0"/>
              <w:rPr>
                <w:sz w:val="13"/>
                <w:szCs w:val="13"/>
                <w:color w:val="auto"/>
              </w:rPr>
            </w:pPr>
          </w:p>
        </w:tc>
        <w:tc>
          <w:tcPr>
            <w:tcW w:w="106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3.13</w:t>
            </w:r>
          </w:p>
        </w:tc>
        <w:tc>
          <w:tcPr>
            <w:tcW w:w="300" w:type="dxa"/>
            <w:vAlign w:val="bottom"/>
            <w:shd w:val="clear" w:color="auto" w:fill="D1EEF5"/>
          </w:tcPr>
          <w:p>
            <w:pPr>
              <w:spacing w:after="0"/>
              <w:rPr>
                <w:sz w:val="13"/>
                <w:szCs w:val="13"/>
                <w:color w:val="auto"/>
              </w:rPr>
            </w:pPr>
          </w:p>
        </w:tc>
        <w:tc>
          <w:tcPr>
            <w:tcW w:w="160" w:type="dxa"/>
            <w:vAlign w:val="bottom"/>
            <w:shd w:val="clear" w:color="auto" w:fill="D1EEF5"/>
          </w:tcPr>
          <w:p>
            <w:pPr>
              <w:spacing w:after="0"/>
              <w:rPr>
                <w:sz w:val="13"/>
                <w:szCs w:val="13"/>
                <w:color w:val="auto"/>
              </w:rPr>
            </w:pPr>
          </w:p>
        </w:tc>
        <w:tc>
          <w:tcPr>
            <w:tcW w:w="96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1.73</w:t>
            </w:r>
          </w:p>
        </w:tc>
        <w:tc>
          <w:tcPr>
            <w:tcW w:w="300" w:type="dxa"/>
            <w:vAlign w:val="bottom"/>
            <w:shd w:val="clear" w:color="auto" w:fill="D1EEF5"/>
          </w:tcPr>
          <w:p>
            <w:pPr>
              <w:spacing w:after="0"/>
              <w:rPr>
                <w:sz w:val="13"/>
                <w:szCs w:val="13"/>
                <w:color w:val="auto"/>
              </w:rPr>
            </w:pPr>
          </w:p>
        </w:tc>
        <w:tc>
          <w:tcPr>
            <w:tcW w:w="1140" w:type="dxa"/>
            <w:vAlign w:val="bottom"/>
            <w:shd w:val="clear" w:color="auto" w:fill="D1EEF5"/>
          </w:tcPr>
          <w:p>
            <w:pPr>
              <w:spacing w:after="0"/>
              <w:rPr>
                <w:sz w:val="13"/>
                <w:szCs w:val="13"/>
                <w:color w:val="auto"/>
              </w:rPr>
            </w:pPr>
          </w:p>
        </w:tc>
        <w:tc>
          <w:tcPr>
            <w:tcW w:w="140" w:type="dxa"/>
            <w:vAlign w:val="bottom"/>
            <w:shd w:val="clear" w:color="auto" w:fill="D1EEF5"/>
          </w:tcPr>
          <w:p>
            <w:pPr>
              <w:spacing w:after="0"/>
              <w:rPr>
                <w:sz w:val="13"/>
                <w:szCs w:val="13"/>
                <w:color w:val="auto"/>
              </w:rPr>
            </w:pPr>
          </w:p>
        </w:tc>
        <w:tc>
          <w:tcPr>
            <w:tcW w:w="160" w:type="dxa"/>
            <w:vAlign w:val="bottom"/>
            <w:shd w:val="clear" w:color="auto" w:fill="D1EEF5"/>
          </w:tcPr>
          <w:p>
            <w:pPr>
              <w:spacing w:after="0"/>
              <w:rPr>
                <w:sz w:val="13"/>
                <w:szCs w:val="13"/>
                <w:color w:val="auto"/>
              </w:rPr>
            </w:pPr>
          </w:p>
        </w:tc>
        <w:tc>
          <w:tcPr>
            <w:tcW w:w="120" w:type="dxa"/>
            <w:vAlign w:val="bottom"/>
            <w:shd w:val="clear" w:color="auto" w:fill="D1EEF5"/>
          </w:tcPr>
          <w:p>
            <w:pPr>
              <w:spacing w:after="0"/>
              <w:rPr>
                <w:sz w:val="13"/>
                <w:szCs w:val="13"/>
                <w:color w:val="auto"/>
              </w:rPr>
            </w:pPr>
          </w:p>
        </w:tc>
        <w:tc>
          <w:tcPr>
            <w:tcW w:w="102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EF5"/>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Options exercised</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(581,351)</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0.89</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8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Balances, December 31, 2022</w:t>
            </w:r>
          </w:p>
        </w:tc>
        <w:tc>
          <w:tcPr>
            <w:tcW w:w="112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3,642,958</w:t>
            </w:r>
          </w:p>
        </w:tc>
        <w:tc>
          <w:tcPr>
            <w:tcW w:w="300" w:type="dxa"/>
            <w:vAlign w:val="bottom"/>
            <w:tcBorders>
              <w:top w:val="single" w:sz="8" w:color="D1EEF5"/>
            </w:tcBorders>
            <w:shd w:val="clear" w:color="auto" w:fill="D1EEF5"/>
          </w:tcPr>
          <w:p>
            <w:pPr>
              <w:spacing w:after="0"/>
              <w:rPr>
                <w:sz w:val="15"/>
                <w:szCs w:val="15"/>
                <w:color w:val="auto"/>
              </w:rPr>
            </w:pPr>
          </w:p>
        </w:tc>
        <w:tc>
          <w:tcPr>
            <w:tcW w:w="8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300" w:type="dxa"/>
            <w:vAlign w:val="bottom"/>
            <w:tcBorders>
              <w:top w:val="single" w:sz="8" w:color="D1EEF5"/>
            </w:tcBorders>
            <w:shd w:val="clear" w:color="auto" w:fill="D1EEF5"/>
          </w:tcPr>
          <w:p>
            <w:pPr>
              <w:spacing w:after="0"/>
              <w:rPr>
                <w:sz w:val="15"/>
                <w:szCs w:val="15"/>
                <w:color w:val="auto"/>
              </w:rPr>
            </w:pPr>
          </w:p>
        </w:tc>
        <w:tc>
          <w:tcPr>
            <w:tcW w:w="160" w:type="dxa"/>
            <w:vAlign w:val="bottom"/>
            <w:tcBorders>
              <w:top w:val="single" w:sz="8" w:color="auto"/>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440" w:type="dxa"/>
            <w:vAlign w:val="bottom"/>
            <w:tcBorders>
              <w:top w:val="single" w:sz="8" w:color="D1EEF5"/>
            </w:tcBorders>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40" w:type="dxa"/>
            <w:vAlign w:val="bottom"/>
            <w:tcBorders>
              <w:top w:val="single" w:sz="8" w:color="D1EEF5"/>
            </w:tcBorders>
            <w:shd w:val="clear" w:color="auto" w:fill="D1EEF5"/>
          </w:tcPr>
          <w:p>
            <w:pPr>
              <w:spacing w:after="0"/>
              <w:rPr>
                <w:sz w:val="15"/>
                <w:szCs w:val="15"/>
                <w:color w:val="auto"/>
              </w:rPr>
            </w:pPr>
          </w:p>
        </w:tc>
        <w:tc>
          <w:tcPr>
            <w:tcW w:w="160" w:type="dxa"/>
            <w:vAlign w:val="bottom"/>
            <w:tcBorders>
              <w:top w:val="single" w:sz="8" w:color="D1EEF5"/>
            </w:tcBorders>
            <w:shd w:val="clear" w:color="auto" w:fill="D1EEF5"/>
          </w:tcPr>
          <w:p>
            <w:pPr>
              <w:spacing w:after="0"/>
              <w:rPr>
                <w:sz w:val="15"/>
                <w:szCs w:val="15"/>
                <w:color w:val="auto"/>
              </w:rPr>
            </w:pPr>
          </w:p>
        </w:tc>
        <w:tc>
          <w:tcPr>
            <w:tcW w:w="120" w:type="dxa"/>
            <w:vAlign w:val="bottom"/>
            <w:tcBorders>
              <w:top w:val="single" w:sz="8" w:color="auto"/>
            </w:tcBorders>
            <w:shd w:val="clear" w:color="auto" w:fill="D1EEF5"/>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35,898</w:t>
            </w:r>
          </w:p>
        </w:tc>
        <w:tc>
          <w:tcPr>
            <w:tcW w:w="100" w:type="dxa"/>
            <w:vAlign w:val="bottom"/>
            <w:tcBorders>
              <w:top w:val="single" w:sz="8" w:color="D1EEF5"/>
            </w:tcBorders>
            <w:shd w:val="clear" w:color="auto" w:fill="D1EEF5"/>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8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At December 31, 2022</w:t>
            </w:r>
          </w:p>
        </w:tc>
        <w:tc>
          <w:tcPr>
            <w:tcW w:w="1120" w:type="dxa"/>
            <w:vAlign w:val="bottom"/>
            <w:shd w:val="clear" w:color="auto" w:fill="D1EEF5"/>
          </w:tcPr>
          <w:p>
            <w:pPr>
              <w:spacing w:after="0"/>
              <w:rPr>
                <w:sz w:val="13"/>
                <w:szCs w:val="13"/>
                <w:color w:val="auto"/>
              </w:rPr>
            </w:pPr>
          </w:p>
        </w:tc>
        <w:tc>
          <w:tcPr>
            <w:tcW w:w="300" w:type="dxa"/>
            <w:vAlign w:val="bottom"/>
            <w:shd w:val="clear" w:color="auto" w:fill="D1EEF5"/>
          </w:tcPr>
          <w:p>
            <w:pPr>
              <w:spacing w:after="0"/>
              <w:rPr>
                <w:sz w:val="13"/>
                <w:szCs w:val="13"/>
                <w:color w:val="auto"/>
              </w:rPr>
            </w:pPr>
          </w:p>
        </w:tc>
        <w:tc>
          <w:tcPr>
            <w:tcW w:w="80" w:type="dxa"/>
            <w:vAlign w:val="bottom"/>
            <w:shd w:val="clear" w:color="auto" w:fill="D1EEF5"/>
          </w:tcPr>
          <w:p>
            <w:pPr>
              <w:spacing w:after="0"/>
              <w:rPr>
                <w:sz w:val="13"/>
                <w:szCs w:val="13"/>
                <w:color w:val="auto"/>
              </w:rPr>
            </w:pPr>
          </w:p>
        </w:tc>
        <w:tc>
          <w:tcPr>
            <w:tcW w:w="1060" w:type="dxa"/>
            <w:vAlign w:val="bottom"/>
            <w:shd w:val="clear" w:color="auto" w:fill="D1EEF5"/>
          </w:tcPr>
          <w:p>
            <w:pPr>
              <w:spacing w:after="0"/>
              <w:rPr>
                <w:sz w:val="13"/>
                <w:szCs w:val="13"/>
                <w:color w:val="auto"/>
              </w:rPr>
            </w:pPr>
          </w:p>
        </w:tc>
        <w:tc>
          <w:tcPr>
            <w:tcW w:w="300" w:type="dxa"/>
            <w:vAlign w:val="bottom"/>
            <w:shd w:val="clear" w:color="auto" w:fill="D1EEF5"/>
          </w:tcPr>
          <w:p>
            <w:pPr>
              <w:spacing w:after="0"/>
              <w:rPr>
                <w:sz w:val="13"/>
                <w:szCs w:val="13"/>
                <w:color w:val="auto"/>
              </w:rPr>
            </w:pPr>
          </w:p>
        </w:tc>
        <w:tc>
          <w:tcPr>
            <w:tcW w:w="160" w:type="dxa"/>
            <w:vAlign w:val="bottom"/>
            <w:shd w:val="clear" w:color="auto" w:fill="D1EEF5"/>
          </w:tcPr>
          <w:p>
            <w:pPr>
              <w:spacing w:after="0"/>
              <w:rPr>
                <w:sz w:val="13"/>
                <w:szCs w:val="13"/>
                <w:color w:val="auto"/>
              </w:rPr>
            </w:pPr>
          </w:p>
        </w:tc>
        <w:tc>
          <w:tcPr>
            <w:tcW w:w="960" w:type="dxa"/>
            <w:vAlign w:val="bottom"/>
            <w:shd w:val="clear" w:color="auto" w:fill="D1EEF5"/>
          </w:tcPr>
          <w:p>
            <w:pPr>
              <w:spacing w:after="0"/>
              <w:rPr>
                <w:sz w:val="13"/>
                <w:szCs w:val="13"/>
                <w:color w:val="auto"/>
              </w:rPr>
            </w:pPr>
          </w:p>
        </w:tc>
        <w:tc>
          <w:tcPr>
            <w:tcW w:w="300" w:type="dxa"/>
            <w:vAlign w:val="bottom"/>
            <w:shd w:val="clear" w:color="auto" w:fill="D1EEF5"/>
          </w:tcPr>
          <w:p>
            <w:pPr>
              <w:spacing w:after="0"/>
              <w:rPr>
                <w:sz w:val="13"/>
                <w:szCs w:val="13"/>
                <w:color w:val="auto"/>
              </w:rPr>
            </w:pPr>
          </w:p>
        </w:tc>
        <w:tc>
          <w:tcPr>
            <w:tcW w:w="1140" w:type="dxa"/>
            <w:vAlign w:val="bottom"/>
            <w:shd w:val="clear" w:color="auto" w:fill="D1EEF5"/>
          </w:tcPr>
          <w:p>
            <w:pPr>
              <w:spacing w:after="0"/>
              <w:rPr>
                <w:sz w:val="13"/>
                <w:szCs w:val="13"/>
                <w:color w:val="auto"/>
              </w:rPr>
            </w:pPr>
          </w:p>
        </w:tc>
        <w:tc>
          <w:tcPr>
            <w:tcW w:w="140" w:type="dxa"/>
            <w:vAlign w:val="bottom"/>
            <w:shd w:val="clear" w:color="auto" w:fill="D1EEF5"/>
          </w:tcPr>
          <w:p>
            <w:pPr>
              <w:spacing w:after="0"/>
              <w:rPr>
                <w:sz w:val="13"/>
                <w:szCs w:val="13"/>
                <w:color w:val="auto"/>
              </w:rPr>
            </w:pPr>
          </w:p>
        </w:tc>
        <w:tc>
          <w:tcPr>
            <w:tcW w:w="160" w:type="dxa"/>
            <w:vAlign w:val="bottom"/>
            <w:shd w:val="clear" w:color="auto" w:fill="D1EEF5"/>
          </w:tcPr>
          <w:p>
            <w:pPr>
              <w:spacing w:after="0"/>
              <w:rPr>
                <w:sz w:val="13"/>
                <w:szCs w:val="13"/>
                <w:color w:val="auto"/>
              </w:rPr>
            </w:pPr>
          </w:p>
        </w:tc>
        <w:tc>
          <w:tcPr>
            <w:tcW w:w="120" w:type="dxa"/>
            <w:vAlign w:val="bottom"/>
            <w:shd w:val="clear" w:color="auto" w:fill="D1EEF5"/>
          </w:tcPr>
          <w:p>
            <w:pPr>
              <w:spacing w:after="0"/>
              <w:rPr>
                <w:sz w:val="13"/>
                <w:szCs w:val="13"/>
                <w:color w:val="auto"/>
              </w:rPr>
            </w:pPr>
          </w:p>
        </w:tc>
        <w:tc>
          <w:tcPr>
            <w:tcW w:w="1020" w:type="dxa"/>
            <w:vAlign w:val="bottom"/>
            <w:shd w:val="clear" w:color="auto" w:fill="D1EEF5"/>
          </w:tcPr>
          <w:p>
            <w:pPr>
              <w:spacing w:after="0"/>
              <w:rPr>
                <w:sz w:val="13"/>
                <w:szCs w:val="13"/>
                <w:color w:val="auto"/>
              </w:rPr>
            </w:pPr>
          </w:p>
        </w:tc>
        <w:tc>
          <w:tcPr>
            <w:tcW w:w="100" w:type="dxa"/>
            <w:vAlign w:val="bottom"/>
            <w:shd w:val="clear" w:color="auto" w:fill="D1EEF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Vested and Exercisable</w:t>
            </w:r>
          </w:p>
        </w:tc>
        <w:tc>
          <w:tcPr>
            <w:tcW w:w="142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4"/>
                <w:szCs w:val="14"/>
                <w:color w:val="auto"/>
              </w:rPr>
              <w:t>1,646,304</w:t>
            </w:r>
          </w:p>
        </w:tc>
        <w:tc>
          <w:tcPr>
            <w:tcW w:w="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1.48</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7.13</w:t>
            </w:r>
          </w:p>
        </w:tc>
        <w:tc>
          <w:tcPr>
            <w:tcW w:w="140" w:type="dxa"/>
            <w:vAlign w:val="bottom"/>
          </w:tcPr>
          <w:p>
            <w:pPr>
              <w:spacing w:after="0"/>
              <w:rPr>
                <w:sz w:val="13"/>
                <w:szCs w:val="13"/>
                <w:color w:val="auto"/>
              </w:rPr>
            </w:pPr>
          </w:p>
        </w:tc>
        <w:tc>
          <w:tcPr>
            <w:tcW w:w="280" w:type="dxa"/>
            <w:vAlign w:val="bottom"/>
            <w:gridSpan w:val="2"/>
          </w:tcPr>
          <w:p>
            <w:pPr>
              <w:jc w:val="right"/>
              <w:ind w:right="3"/>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17,114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8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Vested and expected to vest</w:t>
            </w:r>
          </w:p>
        </w:tc>
        <w:tc>
          <w:tcPr>
            <w:tcW w:w="1420" w:type="dxa"/>
            <w:vAlign w:val="bottom"/>
            <w:gridSpan w:val="2"/>
            <w:shd w:val="clear" w:color="auto" w:fill="D1EEF5"/>
          </w:tcPr>
          <w:p>
            <w:pPr>
              <w:jc w:val="right"/>
              <w:ind w:right="300"/>
              <w:spacing w:after="0" w:line="157" w:lineRule="exact"/>
              <w:rPr>
                <w:sz w:val="20"/>
                <w:szCs w:val="20"/>
                <w:color w:val="auto"/>
              </w:rPr>
            </w:pPr>
            <w:r>
              <w:rPr>
                <w:rFonts w:ascii="Times New Roman" w:cs="Times New Roman" w:eastAsia="Times New Roman" w:hAnsi="Times New Roman"/>
                <w:sz w:val="14"/>
                <w:szCs w:val="14"/>
                <w:color w:val="auto"/>
              </w:rPr>
              <w:t>3,642,958</w:t>
            </w:r>
          </w:p>
        </w:tc>
        <w:tc>
          <w:tcPr>
            <w:tcW w:w="8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2.02</w:t>
            </w:r>
          </w:p>
        </w:tc>
        <w:tc>
          <w:tcPr>
            <w:tcW w:w="300" w:type="dxa"/>
            <w:vAlign w:val="bottom"/>
            <w:shd w:val="clear" w:color="auto" w:fill="D1EEF5"/>
          </w:tcPr>
          <w:p>
            <w:pPr>
              <w:spacing w:after="0"/>
              <w:rPr>
                <w:sz w:val="13"/>
                <w:szCs w:val="13"/>
                <w:color w:val="auto"/>
              </w:rPr>
            </w:pPr>
          </w:p>
        </w:tc>
        <w:tc>
          <w:tcPr>
            <w:tcW w:w="160" w:type="dxa"/>
            <w:vAlign w:val="bottom"/>
            <w:shd w:val="clear" w:color="auto" w:fill="D1EEF5"/>
          </w:tcPr>
          <w:p>
            <w:pPr>
              <w:spacing w:after="0"/>
              <w:rPr>
                <w:sz w:val="13"/>
                <w:szCs w:val="13"/>
                <w:color w:val="auto"/>
              </w:rPr>
            </w:pPr>
          </w:p>
        </w:tc>
        <w:tc>
          <w:tcPr>
            <w:tcW w:w="960" w:type="dxa"/>
            <w:vAlign w:val="bottom"/>
            <w:shd w:val="clear" w:color="auto" w:fill="D1EEF5"/>
          </w:tcPr>
          <w:p>
            <w:pPr>
              <w:spacing w:after="0"/>
              <w:rPr>
                <w:sz w:val="13"/>
                <w:szCs w:val="13"/>
                <w:color w:val="auto"/>
              </w:rPr>
            </w:pPr>
          </w:p>
        </w:tc>
        <w:tc>
          <w:tcPr>
            <w:tcW w:w="1580" w:type="dxa"/>
            <w:vAlign w:val="bottom"/>
            <w:gridSpan w:val="3"/>
            <w:shd w:val="clear" w:color="auto" w:fill="D1EEF5"/>
          </w:tcPr>
          <w:p>
            <w:pPr>
              <w:jc w:val="right"/>
              <w:ind w:right="140"/>
              <w:spacing w:after="0" w:line="157" w:lineRule="exact"/>
              <w:rPr>
                <w:sz w:val="20"/>
                <w:szCs w:val="20"/>
                <w:color w:val="auto"/>
              </w:rPr>
            </w:pPr>
            <w:r>
              <w:rPr>
                <w:rFonts w:ascii="Times New Roman" w:cs="Times New Roman" w:eastAsia="Times New Roman" w:hAnsi="Times New Roman"/>
                <w:sz w:val="14"/>
                <w:szCs w:val="14"/>
                <w:color w:val="auto"/>
              </w:rPr>
              <w:t>7.90</w:t>
            </w:r>
          </w:p>
        </w:tc>
        <w:tc>
          <w:tcPr>
            <w:tcW w:w="280" w:type="dxa"/>
            <w:vAlign w:val="bottom"/>
            <w:gridSpan w:val="2"/>
            <w:shd w:val="clear" w:color="auto" w:fill="D1EEF5"/>
          </w:tcPr>
          <w:p>
            <w:pPr>
              <w:jc w:val="right"/>
              <w:ind w:right="3"/>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35,898</w:t>
            </w:r>
          </w:p>
        </w:tc>
        <w:tc>
          <w:tcPr>
            <w:tcW w:w="100" w:type="dxa"/>
            <w:vAlign w:val="bottom"/>
            <w:shd w:val="clear" w:color="auto" w:fill="D1EEF5"/>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-437515</wp:posOffset>
            </wp:positionV>
            <wp:extent cx="4389120" cy="488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49">
                      <a:extLst>
                        <a:ext uri="{28A0092B-C50C-407E-A947-70E740481C1C}"/>
                      </a:extLst>
                    </a:blip>
                    <a:srcRect/>
                    <a:stretch>
                      <a:fillRect/>
                    </a:stretch>
                  </pic:blipFill>
                  <pic:spPr bwMode="auto">
                    <a:xfrm>
                      <a:off x="0" y="0"/>
                      <a:ext cx="4389120" cy="48895"/>
                    </a:xfrm>
                    <a:prstGeom prst="rect">
                      <a:avLst/>
                    </a:prstGeom>
                    <a:noFill/>
                  </pic:spPr>
                </pic:pic>
              </a:graphicData>
            </a:graphic>
          </wp:anchor>
        </w:drawing>
      </w:r>
    </w:p>
    <w:p>
      <w:pPr>
        <w:spacing w:after="0" w:line="120" w:lineRule="exact"/>
        <w:rPr>
          <w:sz w:val="20"/>
          <w:szCs w:val="20"/>
          <w:color w:val="auto"/>
        </w:rPr>
      </w:pPr>
    </w:p>
    <w:p>
      <w:pPr>
        <w:ind w:left="280" w:hanging="236"/>
        <w:spacing w:after="0" w:line="256" w:lineRule="auto"/>
        <w:tabs>
          <w:tab w:leader="none" w:pos="280" w:val="left"/>
        </w:tabs>
        <w:numPr>
          <w:ilvl w:val="0"/>
          <w:numId w:val="4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Number of options and weighted average exercise price has been adjusted to reflect the exchange of Legacy Dragonfly’s stock options for New Dragonfly stock options at an exchange ratio of approximately 1.182 as a result of the merger. See Note 3 for further information.</w:t>
      </w:r>
    </w:p>
    <w:p>
      <w:pPr>
        <w:spacing w:after="0" w:line="12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2"/>
          <w:szCs w:val="12"/>
          <w:color w:val="auto"/>
        </w:rPr>
        <w:t>Share-based compensation expense for options and RSUs totaling $2,467 and $734 was recognized in the Company’s consolidated statements of operations for the years ended December 31, 2022 and 2021, respectively. Of the $2,467 of share-based compensation incurred during the year ended December 31, 2022, $155 is allocated to cost of goods sold, $149 to research and development, $654 to selling and marketing, and $1,509 to general and administrative expenses. Of the $734 of share-based compensation incurred during the year ended December 31, 2021, $252 is allocated to cost of goods sold, $95 to research and development, $156 to selling and marketing, and $231 to general and administrative expenses.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2022, there were 4,924,914 shares of unissued authorized and available for future awards under the plans.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12065</wp:posOffset>
                </wp:positionV>
                <wp:extent cx="6509385"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1">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95pt" to="512.25pt,0.95pt" o:allowincell="f" strokecolor="#000000" strokeweight="1.2599pt"/>
            </w:pict>
          </mc:Fallback>
        </mc:AlternateContent>
      </w:r>
    </w:p>
    <w:p>
      <w:pPr>
        <w:sectPr>
          <w:pgSz w:w="12240" w:h="15840" w:orient="portrait"/>
          <w:cols w:equalWidth="0" w:num="1">
            <w:col w:w="10240"/>
          </w:cols>
          <w:pgMar w:left="1000" w:top="1208" w:right="100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w:t>
      </w:r>
    </w:p>
    <w:p>
      <w:pPr>
        <w:spacing w:after="0" w:line="137" w:lineRule="exact"/>
        <w:rPr>
          <w:sz w:val="20"/>
          <w:szCs w:val="20"/>
          <w:color w:val="auto"/>
        </w:rPr>
      </w:pPr>
    </w:p>
    <w:tbl>
      <w:tblPr>
        <w:tblLayout w:type="fixed"/>
        <w:tblInd w:w="1020" w:type="dxa"/>
        <w:tblCellMar>
          <w:top w:w="0" w:type="dxa"/>
          <w:left w:w="0" w:type="dxa"/>
          <w:bottom w:w="0" w:type="dxa"/>
          <w:right w:w="0" w:type="dxa"/>
        </w:tblCellMar>
      </w:tblPr>
      <w:tr>
        <w:trPr>
          <w:trHeight w:val="182"/>
        </w:trPr>
        <w:tc>
          <w:tcPr>
            <w:tcW w:w="3980" w:type="dxa"/>
            <w:vAlign w:val="bottom"/>
          </w:tcPr>
          <w:p>
            <w:pPr>
              <w:spacing w:after="0"/>
              <w:rPr>
                <w:sz w:val="15"/>
                <w:szCs w:val="15"/>
                <w:color w:val="auto"/>
              </w:rPr>
            </w:pPr>
          </w:p>
        </w:tc>
        <w:tc>
          <w:tcPr>
            <w:tcW w:w="22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2022</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5"/>
                <w:szCs w:val="15"/>
                <w:color w:val="auto"/>
              </w:rPr>
            </w:pPr>
          </w:p>
        </w:tc>
      </w:tr>
      <w:tr>
        <w:trPr>
          <w:trHeight w:val="151"/>
        </w:trPr>
        <w:tc>
          <w:tcPr>
            <w:tcW w:w="3980" w:type="dxa"/>
            <w:vAlign w:val="bottom"/>
            <w:tcBorders>
              <w:top w:val="single" w:sz="8" w:color="D1EEF5"/>
            </w:tcBorders>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auto"/>
              </w:rPr>
              <w:t>Weighted average fair value of options granted</w:t>
            </w:r>
          </w:p>
        </w:tc>
        <w:tc>
          <w:tcPr>
            <w:tcW w:w="1440" w:type="dxa"/>
            <w:vAlign w:val="bottom"/>
            <w:tcBorders>
              <w:top w:val="single" w:sz="8" w:color="D1EEF5"/>
            </w:tcBorders>
            <w:shd w:val="clear" w:color="auto" w:fill="D1EEF5"/>
          </w:tcPr>
          <w:p>
            <w:pPr>
              <w:spacing w:after="0"/>
              <w:rPr>
                <w:sz w:val="13"/>
                <w:szCs w:val="13"/>
                <w:color w:val="auto"/>
              </w:rPr>
            </w:pPr>
          </w:p>
        </w:tc>
        <w:tc>
          <w:tcPr>
            <w:tcW w:w="800" w:type="dxa"/>
            <w:vAlign w:val="bottom"/>
            <w:tcBorders>
              <w:top w:val="single" w:sz="8" w:color="auto"/>
            </w:tcBorders>
            <w:shd w:val="clear" w:color="auto" w:fill="D1EEF5"/>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1.57</w:t>
            </w:r>
          </w:p>
        </w:tc>
        <w:tc>
          <w:tcPr>
            <w:tcW w:w="240" w:type="dxa"/>
            <w:vAlign w:val="bottom"/>
            <w:tcBorders>
              <w:top w:val="single" w:sz="8" w:color="D1EEF5"/>
            </w:tcBorders>
            <w:shd w:val="clear" w:color="auto" w:fill="D1EEF5"/>
          </w:tcPr>
          <w:p>
            <w:pPr>
              <w:spacing w:after="0"/>
              <w:rPr>
                <w:sz w:val="13"/>
                <w:szCs w:val="13"/>
                <w:color w:val="auto"/>
              </w:rPr>
            </w:pPr>
          </w:p>
        </w:tc>
        <w:tc>
          <w:tcPr>
            <w:tcW w:w="280" w:type="dxa"/>
            <w:vAlign w:val="bottom"/>
            <w:tcBorders>
              <w:top w:val="single" w:sz="8" w:color="auto"/>
            </w:tcBorders>
            <w:shd w:val="clear" w:color="auto" w:fill="D1EEF5"/>
          </w:tcPr>
          <w:p>
            <w:pPr>
              <w:jc w:val="right"/>
              <w:ind w:right="132"/>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2.05</w:t>
            </w:r>
          </w:p>
        </w:tc>
        <w:tc>
          <w:tcPr>
            <w:tcW w:w="80" w:type="dxa"/>
            <w:vAlign w:val="bottom"/>
            <w:tcBorders>
              <w:top w:val="single" w:sz="8" w:color="D1EEF5"/>
            </w:tcBorders>
            <w:shd w:val="clear" w:color="auto" w:fill="D1EEF5"/>
          </w:tcPr>
          <w:p>
            <w:pPr>
              <w:spacing w:after="0"/>
              <w:rPr>
                <w:sz w:val="13"/>
                <w:szCs w:val="13"/>
                <w:color w:val="auto"/>
              </w:rPr>
            </w:pPr>
          </w:p>
        </w:tc>
      </w:tr>
      <w:tr>
        <w:trPr>
          <w:trHeight w:val="156"/>
        </w:trPr>
        <w:tc>
          <w:tcPr>
            <w:tcW w:w="39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Risk-free interest rate</w:t>
            </w:r>
          </w:p>
        </w:tc>
        <w:tc>
          <w:tcPr>
            <w:tcW w:w="1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gridSpan w:val="2"/>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2.71%</w:t>
            </w:r>
          </w:p>
        </w:tc>
        <w:tc>
          <w:tcPr>
            <w:tcW w:w="28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3"/>
                <w:szCs w:val="13"/>
                <w:color w:val="auto"/>
              </w:rPr>
            </w:pPr>
          </w:p>
        </w:tc>
      </w:tr>
      <w:tr>
        <w:trPr>
          <w:trHeight w:val="156"/>
        </w:trPr>
        <w:tc>
          <w:tcPr>
            <w:tcW w:w="398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Volatility</w:t>
            </w:r>
          </w:p>
        </w:tc>
        <w:tc>
          <w:tcPr>
            <w:tcW w:w="1440" w:type="dxa"/>
            <w:vAlign w:val="bottom"/>
            <w:shd w:val="clear" w:color="auto" w:fill="D1EEF5"/>
          </w:tcPr>
          <w:p>
            <w:pPr>
              <w:spacing w:after="0"/>
              <w:rPr>
                <w:sz w:val="13"/>
                <w:szCs w:val="13"/>
                <w:color w:val="auto"/>
              </w:rPr>
            </w:pPr>
          </w:p>
        </w:tc>
        <w:tc>
          <w:tcPr>
            <w:tcW w:w="800" w:type="dxa"/>
            <w:vAlign w:val="bottom"/>
            <w:shd w:val="clear" w:color="auto" w:fill="D1EEF5"/>
          </w:tcPr>
          <w:p>
            <w:pPr>
              <w:spacing w:after="0"/>
              <w:rPr>
                <w:sz w:val="13"/>
                <w:szCs w:val="13"/>
                <w:color w:val="auto"/>
              </w:rPr>
            </w:pPr>
          </w:p>
        </w:tc>
        <w:tc>
          <w:tcPr>
            <w:tcW w:w="660" w:type="dxa"/>
            <w:vAlign w:val="bottom"/>
            <w:gridSpan w:val="2"/>
            <w:shd w:val="clear" w:color="auto" w:fill="D1EEF5"/>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45.0%</w:t>
            </w:r>
          </w:p>
        </w:tc>
        <w:tc>
          <w:tcPr>
            <w:tcW w:w="280" w:type="dxa"/>
            <w:vAlign w:val="bottom"/>
            <w:shd w:val="clear" w:color="auto" w:fill="D1EEF5"/>
          </w:tcPr>
          <w:p>
            <w:pPr>
              <w:spacing w:after="0"/>
              <w:rPr>
                <w:sz w:val="13"/>
                <w:szCs w:val="13"/>
                <w:color w:val="auto"/>
              </w:rPr>
            </w:pPr>
          </w:p>
        </w:tc>
        <w:tc>
          <w:tcPr>
            <w:tcW w:w="96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52.6%</w:t>
            </w:r>
          </w:p>
        </w:tc>
        <w:tc>
          <w:tcPr>
            <w:tcW w:w="80" w:type="dxa"/>
            <w:vAlign w:val="bottom"/>
            <w:shd w:val="clear" w:color="auto" w:fill="D1EEF5"/>
          </w:tcPr>
          <w:p>
            <w:pPr>
              <w:spacing w:after="0"/>
              <w:rPr>
                <w:sz w:val="13"/>
                <w:szCs w:val="13"/>
                <w:color w:val="auto"/>
              </w:rPr>
            </w:pPr>
          </w:p>
        </w:tc>
      </w:tr>
      <w:tr>
        <w:trPr>
          <w:trHeight w:val="157"/>
        </w:trPr>
        <w:tc>
          <w:tcPr>
            <w:tcW w:w="39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Expected life (years)</w:t>
            </w:r>
          </w:p>
        </w:tc>
        <w:tc>
          <w:tcPr>
            <w:tcW w:w="1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gridSpan w:val="2"/>
          </w:tcPr>
          <w:p>
            <w:pPr>
              <w:jc w:val="right"/>
              <w:ind w:right="240"/>
              <w:spacing w:after="0" w:line="157" w:lineRule="exact"/>
              <w:rPr>
                <w:sz w:val="20"/>
                <w:szCs w:val="20"/>
                <w:color w:val="auto"/>
              </w:rPr>
            </w:pPr>
            <w:r>
              <w:rPr>
                <w:rFonts w:ascii="Times New Roman" w:cs="Times New Roman" w:eastAsia="Times New Roman" w:hAnsi="Times New Roman"/>
                <w:sz w:val="14"/>
                <w:szCs w:val="14"/>
                <w:color w:val="auto"/>
              </w:rPr>
              <w:t>5.68</w:t>
            </w:r>
          </w:p>
        </w:tc>
        <w:tc>
          <w:tcPr>
            <w:tcW w:w="28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6.02</w:t>
            </w:r>
          </w:p>
        </w:tc>
        <w:tc>
          <w:tcPr>
            <w:tcW w:w="80" w:type="dxa"/>
            <w:vAlign w:val="bottom"/>
          </w:tcPr>
          <w:p>
            <w:pPr>
              <w:spacing w:after="0"/>
              <w:rPr>
                <w:sz w:val="13"/>
                <w:szCs w:val="13"/>
                <w:color w:val="auto"/>
              </w:rPr>
            </w:pPr>
          </w:p>
        </w:tc>
      </w:tr>
      <w:tr>
        <w:trPr>
          <w:trHeight w:val="156"/>
        </w:trPr>
        <w:tc>
          <w:tcPr>
            <w:tcW w:w="398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Dividend yield</w:t>
            </w:r>
          </w:p>
        </w:tc>
        <w:tc>
          <w:tcPr>
            <w:tcW w:w="1440" w:type="dxa"/>
            <w:vAlign w:val="bottom"/>
            <w:shd w:val="clear" w:color="auto" w:fill="D1EEF5"/>
          </w:tcPr>
          <w:p>
            <w:pPr>
              <w:spacing w:after="0"/>
              <w:rPr>
                <w:sz w:val="13"/>
                <w:szCs w:val="13"/>
                <w:color w:val="auto"/>
              </w:rPr>
            </w:pPr>
          </w:p>
        </w:tc>
        <w:tc>
          <w:tcPr>
            <w:tcW w:w="800" w:type="dxa"/>
            <w:vAlign w:val="bottom"/>
            <w:shd w:val="clear" w:color="auto" w:fill="D1EEF5"/>
          </w:tcPr>
          <w:p>
            <w:pPr>
              <w:spacing w:after="0"/>
              <w:rPr>
                <w:sz w:val="13"/>
                <w:szCs w:val="13"/>
                <w:color w:val="auto"/>
              </w:rPr>
            </w:pPr>
          </w:p>
        </w:tc>
        <w:tc>
          <w:tcPr>
            <w:tcW w:w="660" w:type="dxa"/>
            <w:vAlign w:val="bottom"/>
            <w:gridSpan w:val="2"/>
            <w:shd w:val="clear" w:color="auto" w:fill="D1EEF5"/>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0.00%</w:t>
            </w:r>
          </w:p>
        </w:tc>
        <w:tc>
          <w:tcPr>
            <w:tcW w:w="280" w:type="dxa"/>
            <w:vAlign w:val="bottom"/>
            <w:shd w:val="clear" w:color="auto" w:fill="D1EEF5"/>
          </w:tcPr>
          <w:p>
            <w:pPr>
              <w:spacing w:after="0"/>
              <w:rPr>
                <w:sz w:val="13"/>
                <w:szCs w:val="13"/>
                <w:color w:val="auto"/>
              </w:rPr>
            </w:pPr>
          </w:p>
        </w:tc>
        <w:tc>
          <w:tcPr>
            <w:tcW w:w="96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D1EEF5"/>
          </w:tcPr>
          <w:p>
            <w:pPr>
              <w:spacing w:after="0"/>
              <w:rPr>
                <w:sz w:val="13"/>
                <w:szCs w:val="13"/>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On October 7, 2022, the Company granted 180,000 restricted stock units under the 2022 plan which vest one year from the grant date. The fair value of the restricted stock units on the date of grant was $2,520, which is recognized as compensation expense over the requisite service period based on the value of the underlying shares on the date of grant.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grants of restricted stock units prior to October 7, 2022. The following table presents the restricted stock units activity for the year ended December 31,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Weighted-Average Fair</w:t>
            </w:r>
          </w:p>
        </w:tc>
      </w:tr>
      <w:tr>
        <w:trPr>
          <w:trHeight w:val="176"/>
        </w:trPr>
        <w:tc>
          <w:tcPr>
            <w:tcW w:w="6760" w:type="dxa"/>
            <w:vAlign w:val="bottom"/>
          </w:tcPr>
          <w:p>
            <w:pPr>
              <w:spacing w:after="0"/>
              <w:rPr>
                <w:sz w:val="15"/>
                <w:szCs w:val="15"/>
                <w:color w:val="auto"/>
              </w:rPr>
            </w:pPr>
          </w:p>
        </w:tc>
        <w:tc>
          <w:tcPr>
            <w:tcW w:w="154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Number of Shares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5"/>
              </w:rPr>
              <w:t>Market Value</w:t>
            </w:r>
          </w:p>
        </w:tc>
      </w:tr>
      <w:tr>
        <w:trPr>
          <w:trHeight w:val="157"/>
        </w:trPr>
        <w:tc>
          <w:tcPr>
            <w:tcW w:w="6760" w:type="dxa"/>
            <w:vAlign w:val="bottom"/>
            <w:tcBorders>
              <w:top w:val="single" w:sz="8" w:color="D1EEF5"/>
            </w:tcBorders>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Unvested shares, December 31, 2021</w:t>
            </w:r>
          </w:p>
        </w:tc>
        <w:tc>
          <w:tcPr>
            <w:tcW w:w="1540" w:type="dxa"/>
            <w:vAlign w:val="bottom"/>
            <w:tcBorders>
              <w:top w:val="single" w:sz="8" w:color="auto"/>
            </w:tcBorders>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D1EEF5"/>
            </w:tcBorders>
            <w:shd w:val="clear" w:color="auto" w:fill="D1EEF5"/>
          </w:tcPr>
          <w:p>
            <w:pPr>
              <w:spacing w:after="0"/>
              <w:rPr>
                <w:sz w:val="13"/>
                <w:szCs w:val="13"/>
                <w:color w:val="auto"/>
              </w:rPr>
            </w:pPr>
          </w:p>
        </w:tc>
        <w:tc>
          <w:tcPr>
            <w:tcW w:w="100" w:type="dxa"/>
            <w:vAlign w:val="bottom"/>
            <w:tcBorders>
              <w:top w:val="single" w:sz="8" w:color="auto"/>
            </w:tcBorders>
            <w:shd w:val="clear" w:color="auto" w:fill="D1EEF5"/>
          </w:tcPr>
          <w:p>
            <w:pPr>
              <w:spacing w:after="0"/>
              <w:rPr>
                <w:sz w:val="13"/>
                <w:szCs w:val="13"/>
                <w:color w:val="auto"/>
              </w:rPr>
            </w:pPr>
          </w:p>
        </w:tc>
        <w:tc>
          <w:tcPr>
            <w:tcW w:w="1440" w:type="dxa"/>
            <w:vAlign w:val="bottom"/>
            <w:tcBorders>
              <w:top w:val="single" w:sz="8" w:color="auto"/>
            </w:tcBorders>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D1EEF5"/>
            </w:tcBorders>
            <w:shd w:val="clear" w:color="auto" w:fill="D1EEF5"/>
          </w:tcPr>
          <w:p>
            <w:pPr>
              <w:spacing w:after="0"/>
              <w:rPr>
                <w:sz w:val="13"/>
                <w:szCs w:val="13"/>
                <w:color w:val="auto"/>
              </w:rPr>
            </w:pPr>
          </w:p>
        </w:tc>
      </w:tr>
      <w:tr>
        <w:trPr>
          <w:trHeight w:val="156"/>
        </w:trPr>
        <w:tc>
          <w:tcPr>
            <w:tcW w:w="676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Granted and unvested</w:t>
            </w:r>
          </w:p>
        </w:tc>
        <w:tc>
          <w:tcPr>
            <w:tcW w:w="15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180,000</w:t>
            </w:r>
          </w:p>
        </w:tc>
        <w:tc>
          <w:tcPr>
            <w:tcW w:w="4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14.00</w:t>
            </w:r>
          </w:p>
        </w:tc>
        <w:tc>
          <w:tcPr>
            <w:tcW w:w="100" w:type="dxa"/>
            <w:vAlign w:val="bottom"/>
          </w:tcPr>
          <w:p>
            <w:pPr>
              <w:spacing w:after="0"/>
              <w:rPr>
                <w:sz w:val="13"/>
                <w:szCs w:val="13"/>
                <w:color w:val="auto"/>
              </w:rPr>
            </w:pPr>
          </w:p>
        </w:tc>
      </w:tr>
      <w:tr>
        <w:trPr>
          <w:trHeight w:val="157"/>
        </w:trPr>
        <w:tc>
          <w:tcPr>
            <w:tcW w:w="6760" w:type="dxa"/>
            <w:vAlign w:val="bottom"/>
            <w:shd w:val="clear" w:color="auto" w:fill="D1EEF5"/>
          </w:tcPr>
          <w:p>
            <w:pPr>
              <w:ind w:left="140"/>
              <w:spacing w:after="0" w:line="157" w:lineRule="exact"/>
              <w:rPr>
                <w:sz w:val="20"/>
                <w:szCs w:val="20"/>
                <w:color w:val="auto"/>
              </w:rPr>
            </w:pPr>
            <w:r>
              <w:rPr>
                <w:rFonts w:ascii="Times New Roman" w:cs="Times New Roman" w:eastAsia="Times New Roman" w:hAnsi="Times New Roman"/>
                <w:sz w:val="14"/>
                <w:szCs w:val="14"/>
                <w:color w:val="auto"/>
              </w:rPr>
              <w:t>Vested</w:t>
            </w:r>
          </w:p>
        </w:tc>
        <w:tc>
          <w:tcPr>
            <w:tcW w:w="154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1EEF5"/>
          </w:tcPr>
          <w:p>
            <w:pPr>
              <w:spacing w:after="0"/>
              <w:rPr>
                <w:sz w:val="13"/>
                <w:szCs w:val="13"/>
                <w:color w:val="auto"/>
              </w:rPr>
            </w:pPr>
          </w:p>
        </w:tc>
        <w:tc>
          <w:tcPr>
            <w:tcW w:w="100" w:type="dxa"/>
            <w:vAlign w:val="bottom"/>
            <w:shd w:val="clear" w:color="auto" w:fill="D1EEF5"/>
          </w:tcPr>
          <w:p>
            <w:pPr>
              <w:spacing w:after="0"/>
              <w:rPr>
                <w:sz w:val="13"/>
                <w:szCs w:val="13"/>
                <w:color w:val="auto"/>
              </w:rPr>
            </w:pPr>
          </w:p>
        </w:tc>
        <w:tc>
          <w:tcPr>
            <w:tcW w:w="144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EF5"/>
          </w:tcPr>
          <w:p>
            <w:pPr>
              <w:spacing w:after="0"/>
              <w:rPr>
                <w:sz w:val="13"/>
                <w:szCs w:val="13"/>
                <w:color w:val="auto"/>
              </w:rPr>
            </w:pPr>
          </w:p>
        </w:tc>
      </w:tr>
      <w:tr>
        <w:trPr>
          <w:trHeight w:val="172"/>
        </w:trPr>
        <w:tc>
          <w:tcPr>
            <w:tcW w:w="6760" w:type="dxa"/>
            <w:vAlign w:val="bottom"/>
            <w:tcBorders>
              <w:bottom w:val="single" w:sz="8" w:color="D1EEF5"/>
            </w:tcBorders>
          </w:tcPr>
          <w:p>
            <w:pPr>
              <w:ind w:left="140"/>
              <w:spacing w:after="0"/>
              <w:rPr>
                <w:sz w:val="20"/>
                <w:szCs w:val="20"/>
                <w:color w:val="auto"/>
              </w:rPr>
            </w:pPr>
            <w:r>
              <w:rPr>
                <w:rFonts w:ascii="Times New Roman" w:cs="Times New Roman" w:eastAsia="Times New Roman" w:hAnsi="Times New Roman"/>
                <w:sz w:val="14"/>
                <w:szCs w:val="14"/>
                <w:color w:val="auto"/>
              </w:rPr>
              <w:t>Forfeited/Cancelled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D1EEF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1EEF5"/>
            </w:tcBorders>
          </w:tcPr>
          <w:p>
            <w:pPr>
              <w:spacing w:after="0"/>
              <w:rPr>
                <w:sz w:val="14"/>
                <w:szCs w:val="14"/>
                <w:color w:val="auto"/>
              </w:rPr>
            </w:pPr>
          </w:p>
        </w:tc>
      </w:tr>
      <w:tr>
        <w:trPr>
          <w:trHeight w:val="174"/>
        </w:trPr>
        <w:tc>
          <w:tcPr>
            <w:tcW w:w="67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Unvested shares, December 31, 2022</w:t>
            </w:r>
          </w:p>
        </w:tc>
        <w:tc>
          <w:tcPr>
            <w:tcW w:w="15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300" w:type="dxa"/>
            <w:vAlign w:val="bottom"/>
            <w:shd w:val="clear" w:color="auto" w:fill="D1EEF5"/>
          </w:tcPr>
          <w:p>
            <w:pPr>
              <w:spacing w:after="0"/>
              <w:rPr>
                <w:sz w:val="15"/>
                <w:szCs w:val="15"/>
                <w:color w:val="auto"/>
              </w:rPr>
            </w:pPr>
          </w:p>
        </w:tc>
        <w:tc>
          <w:tcPr>
            <w:tcW w:w="1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shd w:val="clear" w:color="auto" w:fill="D1EEF5"/>
          </w:tcPr>
          <w:p>
            <w:pPr>
              <w:spacing w:after="0"/>
              <w:rPr>
                <w:sz w:val="15"/>
                <w:szCs w:val="15"/>
                <w:color w:val="auto"/>
              </w:rPr>
            </w:pPr>
          </w:p>
        </w:tc>
      </w:tr>
      <w:tr>
        <w:trPr>
          <w:trHeight w:val="181"/>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Vested as of December 31, 2022</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4274820</wp:posOffset>
            </wp:positionH>
            <wp:positionV relativeFrom="paragraph">
              <wp:posOffset>-139700</wp:posOffset>
            </wp:positionV>
            <wp:extent cx="2178685" cy="495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50">
                      <a:extLst>
                        <a:ext uri="{28A0092B-C50C-407E-A947-70E740481C1C}"/>
                      </a:extLst>
                    </a:blip>
                    <a:srcRect/>
                    <a:stretch>
                      <a:fillRect/>
                    </a:stretch>
                  </pic:blipFill>
                  <pic:spPr bwMode="auto">
                    <a:xfrm>
                      <a:off x="0" y="0"/>
                      <a:ext cx="2178685" cy="49530"/>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-18415</wp:posOffset>
            </wp:positionV>
            <wp:extent cx="2178685" cy="495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51">
                      <a:extLst>
                        <a:ext uri="{28A0092B-C50C-407E-A947-70E740481C1C}"/>
                      </a:extLst>
                    </a:blip>
                    <a:srcRect/>
                    <a:stretch>
                      <a:fillRect/>
                    </a:stretch>
                  </pic:blipFill>
                  <pic:spPr bwMode="auto">
                    <a:xfrm>
                      <a:off x="0" y="0"/>
                      <a:ext cx="2178685" cy="4953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REDEEMABLE PREFERRED STOCK RIGHTS</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connection with the merger, Legacy Redeemable Convertible Preferred Stock previously classified as temporary equity was retroactively adjusted, converted into common stock at an exchange ratio of approximately 1.182, and reclassified to permanent equity as a result of the reverse recapitalization. As of December 31, 2022, there was no Legacy Redeemable Convertible Preferred Stock authorized, issued or outstanding.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describes the rights and preferences of the Legacy Dragonfly Redeemable Convertible Preferred Stock prior to the conversion in the merger: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 shall not declare, pay or set aside any dividends on shares of any other class or series of capital stock of the Company (other than dividends on shares of common stock payable in shares of common stock) unless the holders of Series A Preferred Stock then outstanding shall first receive, or simultaneously receive, a dividend on each outstanding share of Series A preferred stock in an amount as set forth in the amended and restated certificate of incorporation. No dividends have been declared to date.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holders of Preferred Stock are entitled to vote, together with the holders of common stock, on all matters submitted to stockholders for a vote. Each preferred stockholder is entitled to the number of votes equal to the number of shares of common stock into which each preferred share is convertible at the time of such vote.</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holders of record of the shares of Series A Preferred Stock, exclusively and as a separate class, shall be entitled to elect one director of the Company (the “</w:t>
      </w:r>
      <w:r>
        <w:rPr>
          <w:rFonts w:ascii="Times New Roman" w:cs="Times New Roman" w:eastAsia="Times New Roman" w:hAnsi="Times New Roman"/>
          <w:sz w:val="14"/>
          <w:szCs w:val="14"/>
          <w:b w:val="1"/>
          <w:bCs w:val="1"/>
          <w:color w:val="auto"/>
        </w:rPr>
        <w:t>Series A Director</w:t>
      </w:r>
      <w:r>
        <w:rPr>
          <w:rFonts w:ascii="Times New Roman" w:cs="Times New Roman" w:eastAsia="Times New Roman" w:hAnsi="Times New Roman"/>
          <w:sz w:val="14"/>
          <w:szCs w:val="14"/>
          <w:color w:val="auto"/>
        </w:rPr>
        <w:t>”). The Series A Director shall be given two votes on any action requiring the vote or approval of the Board of Directors.</w:t>
      </w:r>
    </w:p>
    <w:p>
      <w:pPr>
        <w:spacing w:after="0" w:line="1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holders of record of the shares of common stock, exclusively and as a separate class, shall be entitled to elect two directors of the Company, the “</w:t>
      </w:r>
      <w:r>
        <w:rPr>
          <w:rFonts w:ascii="Times New Roman" w:cs="Times New Roman" w:eastAsia="Times New Roman" w:hAnsi="Times New Roman"/>
          <w:sz w:val="14"/>
          <w:szCs w:val="14"/>
          <w:b w:val="1"/>
          <w:bCs w:val="1"/>
          <w:color w:val="auto"/>
        </w:rPr>
        <w:t>Common Stock Director A</w:t>
      </w:r>
      <w:r>
        <w:rPr>
          <w:rFonts w:ascii="Times New Roman" w:cs="Times New Roman" w:eastAsia="Times New Roman" w:hAnsi="Times New Roman"/>
          <w:sz w:val="14"/>
          <w:szCs w:val="14"/>
          <w:color w:val="auto"/>
        </w:rPr>
        <w:t>” and the “</w:t>
      </w:r>
      <w:r>
        <w:rPr>
          <w:rFonts w:ascii="Times New Roman" w:cs="Times New Roman" w:eastAsia="Times New Roman" w:hAnsi="Times New Roman"/>
          <w:sz w:val="14"/>
          <w:szCs w:val="14"/>
          <w:b w:val="1"/>
          <w:bCs w:val="1"/>
          <w:color w:val="auto"/>
        </w:rPr>
        <w:t>Common Stock Director B</w:t>
      </w:r>
      <w:r>
        <w:rPr>
          <w:rFonts w:ascii="Times New Roman" w:cs="Times New Roman" w:eastAsia="Times New Roman" w:hAnsi="Times New Roman"/>
          <w:sz w:val="14"/>
          <w:szCs w:val="14"/>
          <w:color w:val="auto"/>
        </w:rPr>
        <w:t>”). The Common Stock Director A shall be given three votes on any action requiring the vote or approval of the Board of Directors and the Common Stock Director B shall be given one vote on any action requiring the vote or approval of the Board of Directors. Any director elected as provided above may be removed without caused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12065</wp:posOffset>
                </wp:positionV>
                <wp:extent cx="6509385"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95pt" to="512.25pt,0.95pt" o:allowincell="f" strokecolor="#000000" strokeweight="1.26pt"/>
            </w:pict>
          </mc:Fallback>
        </mc:AlternateContent>
      </w:r>
    </w:p>
    <w:p>
      <w:pPr>
        <w:sectPr>
          <w:pgSz w:w="12240" w:h="15840" w:orient="portrait"/>
          <w:cols w:equalWidth="0" w:num="1">
            <w:col w:w="10240"/>
          </w:cols>
          <w:pgMar w:left="1000" w:top="1208" w:right="1000"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Liquidation, Dissolution or Winding Up; Certain Mergers, Consolidations and Assets Sales</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the Company or deemed liquidation event, as defined, the holders of shares of Series A Preferred Stock then outstanding (the “</w:t>
      </w:r>
      <w:r>
        <w:rPr>
          <w:rFonts w:ascii="Times New Roman" w:cs="Times New Roman" w:eastAsia="Times New Roman" w:hAnsi="Times New Roman"/>
          <w:sz w:val="14"/>
          <w:szCs w:val="14"/>
          <w:b w:val="1"/>
          <w:bCs w:val="1"/>
          <w:color w:val="auto"/>
        </w:rPr>
        <w:t>Series A shareholders</w:t>
      </w:r>
      <w:r>
        <w:rPr>
          <w:rFonts w:ascii="Times New Roman" w:cs="Times New Roman" w:eastAsia="Times New Roman" w:hAnsi="Times New Roman"/>
          <w:sz w:val="14"/>
          <w:szCs w:val="14"/>
          <w:color w:val="auto"/>
        </w:rPr>
        <w:t>”) shall be entitled to be paid out of the assets of the Company available for distribution to its stockholders prior to payment to common shareholders, an amount per share equal to the greater of (i) the Series A Original Issue Price, plus any dividends declared but unpaid thereon, or (ii) such amount per share as would have been payable had all shares of Series A preferred Stock been converted into common stock immediately prior to such liquidation event. If upon the occurrence of such liquidation event, if the assets of the Company available for distribution to its stockholders are insufficient to pay the Series A shareholders the full amount to which they shall be entitled, the Series A shareholders will be entitled to a pro rata distribution of assets in proportion to the respective amounts which would otherwise be payable in respect of the shares held by them upon such distribution if all amounts payable on or with respect to such shares were paid in full. Upon the occurrence of such liquidation event, and after the payment of all preferential amounts required to be paid to the Series A holders, the remaining assets of the Company available for distribution to its stockholders shall be distributed among the holders of shares of common stock, pro rata based on the number of shares held by each such holder.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Redemption</w:t>
      </w:r>
    </w:p>
    <w:p>
      <w:pPr>
        <w:spacing w:after="0" w:line="1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preferred shares are subject to mandatory redemption based on the occurrence of certain “deemed liquidation events” as defined which include a merger or consolidation or the sale, exchange, lease, transfer, exclusive license, or other disposition by the Company of all or substantially all of the Company’s assets. If the Company does not affect a dissolution of the Company under Nevada Law within ninety days after a deemed liquidation event, then the Company is required to send written notice to each holder of Series A Preferred Stock no later than the ninetieth day after the deemed liquidation event advising such holders of their right to require the redemption of such shares of Preferred Stock. Dissolution of the Company under Nevada Law with ninety days after a deemed liquidation event is not within the control of the Company. As such the Preferred Stock is precluded from permanent equity classification and has been presented as mezzanine equity.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Conversion Rights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Issue Price by the Series A Conversion Price of $0.20. Such initial conversion price may be converted into common stock, subject to certain adjustments.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Mandatory Conversion</w:t>
      </w:r>
    </w:p>
    <w:p>
      <w:pPr>
        <w:spacing w:after="0" w:line="1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Upon either (a) the closing of the sale of shares of common stock at a price of at least $1.00 per share, in a firm-commitment underwritten public offering pursuant to an effective registration statement under the Securities Act of 1933, as amended, resulting in at least $25,000 of gross proceeds to the Company or (b) the date and time, or the occurrence of an event, specified by vote or written consent of the holders of more than 50% of the then outstanding shares of Series A Preferred Stock, then (i) all outstanding shares of Series A Preferred Stock shall automatically be converted into shares of common stock, at the then effective conversion rate and (ii) such shares may not be reissued by the Company.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EARNINGS (LOSS) PER SHARE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Earnings (Loss) per Common Share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information needed to compute basic and diluted (loss) earnings per share for the years ended December 31, 2022 and December 31,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w w:val="96"/>
              </w:rPr>
              <w:t>December 31, 2022</w:t>
            </w:r>
          </w:p>
        </w:tc>
        <w:tc>
          <w:tcPr>
            <w:tcW w:w="8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 2021</w:t>
            </w:r>
          </w:p>
        </w:tc>
        <w:tc>
          <w:tcPr>
            <w:tcW w:w="1800" w:type="dxa"/>
            <w:vAlign w:val="bottom"/>
          </w:tcPr>
          <w:p>
            <w:pPr>
              <w:spacing w:after="0"/>
              <w:rPr>
                <w:sz w:val="15"/>
                <w:szCs w:val="15"/>
                <w:color w:val="auto"/>
              </w:rPr>
            </w:pPr>
          </w:p>
        </w:tc>
      </w:tr>
      <w:tr>
        <w:trPr>
          <w:trHeight w:val="156"/>
        </w:trPr>
        <w:tc>
          <w:tcPr>
            <w:tcW w:w="240" w:type="dxa"/>
            <w:vAlign w:val="bottom"/>
          </w:tcPr>
          <w:p>
            <w:pPr>
              <w:spacing w:after="0"/>
              <w:rPr>
                <w:sz w:val="13"/>
                <w:szCs w:val="13"/>
                <w:color w:val="auto"/>
              </w:rPr>
            </w:pPr>
          </w:p>
        </w:tc>
        <w:tc>
          <w:tcPr>
            <w:tcW w:w="3840" w:type="dxa"/>
            <w:vAlign w:val="bottom"/>
            <w:tcBorders>
              <w:top w:val="single" w:sz="8" w:color="D1EEF5"/>
            </w:tcBorders>
            <w:shd w:val="clear" w:color="auto" w:fill="D1EEF5"/>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Basic (Loss) Earnings per common share:</w:t>
            </w:r>
          </w:p>
        </w:tc>
        <w:tc>
          <w:tcPr>
            <w:tcW w:w="1580" w:type="dxa"/>
            <w:vAlign w:val="bottom"/>
            <w:tcBorders>
              <w:top w:val="single" w:sz="8" w:color="D1EEF5"/>
            </w:tcBorders>
            <w:shd w:val="clear" w:color="auto" w:fill="D1EEF5"/>
          </w:tcPr>
          <w:p>
            <w:pPr>
              <w:spacing w:after="0"/>
              <w:rPr>
                <w:sz w:val="13"/>
                <w:szCs w:val="13"/>
                <w:color w:val="auto"/>
              </w:rPr>
            </w:pPr>
          </w:p>
        </w:tc>
        <w:tc>
          <w:tcPr>
            <w:tcW w:w="60" w:type="dxa"/>
            <w:vAlign w:val="bottom"/>
            <w:tcBorders>
              <w:top w:val="single" w:sz="8" w:color="auto"/>
            </w:tcBorders>
            <w:shd w:val="clear" w:color="auto" w:fill="D1EEF5"/>
          </w:tcPr>
          <w:p>
            <w:pPr>
              <w:spacing w:after="0"/>
              <w:rPr>
                <w:sz w:val="13"/>
                <w:szCs w:val="13"/>
                <w:color w:val="auto"/>
              </w:rPr>
            </w:pPr>
          </w:p>
        </w:tc>
        <w:tc>
          <w:tcPr>
            <w:tcW w:w="1160" w:type="dxa"/>
            <w:vAlign w:val="bottom"/>
            <w:tcBorders>
              <w:top w:val="single" w:sz="8" w:color="auto"/>
            </w:tcBorders>
            <w:shd w:val="clear" w:color="auto" w:fill="D1EEF5"/>
          </w:tcPr>
          <w:p>
            <w:pPr>
              <w:spacing w:after="0"/>
              <w:rPr>
                <w:sz w:val="13"/>
                <w:szCs w:val="13"/>
                <w:color w:val="auto"/>
              </w:rPr>
            </w:pPr>
          </w:p>
        </w:tc>
        <w:tc>
          <w:tcPr>
            <w:tcW w:w="240" w:type="dxa"/>
            <w:vAlign w:val="bottom"/>
            <w:tcBorders>
              <w:top w:val="single" w:sz="8" w:color="D1EEF5"/>
            </w:tcBorders>
            <w:shd w:val="clear" w:color="auto" w:fill="D1EEF5"/>
          </w:tcPr>
          <w:p>
            <w:pPr>
              <w:spacing w:after="0"/>
              <w:rPr>
                <w:sz w:val="13"/>
                <w:szCs w:val="13"/>
                <w:color w:val="auto"/>
              </w:rPr>
            </w:pPr>
          </w:p>
        </w:tc>
        <w:tc>
          <w:tcPr>
            <w:tcW w:w="80" w:type="dxa"/>
            <w:vAlign w:val="bottom"/>
            <w:tcBorders>
              <w:top w:val="single" w:sz="8" w:color="auto"/>
            </w:tcBorders>
            <w:shd w:val="clear" w:color="auto" w:fill="D1EEF5"/>
          </w:tcPr>
          <w:p>
            <w:pPr>
              <w:spacing w:after="0"/>
              <w:rPr>
                <w:sz w:val="13"/>
                <w:szCs w:val="13"/>
                <w:color w:val="auto"/>
              </w:rPr>
            </w:pPr>
          </w:p>
        </w:tc>
        <w:tc>
          <w:tcPr>
            <w:tcW w:w="1160" w:type="dxa"/>
            <w:vAlign w:val="bottom"/>
            <w:tcBorders>
              <w:top w:val="single" w:sz="8" w:color="auto"/>
            </w:tcBorders>
            <w:shd w:val="clear" w:color="auto" w:fill="D1EEF5"/>
          </w:tcPr>
          <w:p>
            <w:pPr>
              <w:spacing w:after="0"/>
              <w:rPr>
                <w:sz w:val="13"/>
                <w:szCs w:val="13"/>
                <w:color w:val="auto"/>
              </w:rPr>
            </w:pPr>
          </w:p>
        </w:tc>
        <w:tc>
          <w:tcPr>
            <w:tcW w:w="80" w:type="dxa"/>
            <w:vAlign w:val="bottom"/>
            <w:tcBorders>
              <w:top w:val="single" w:sz="8" w:color="D1EEF5"/>
            </w:tcBorders>
            <w:shd w:val="clear" w:color="auto" w:fill="D1EEF5"/>
          </w:tcPr>
          <w:p>
            <w:pPr>
              <w:spacing w:after="0"/>
              <w:rPr>
                <w:sz w:val="13"/>
                <w:szCs w:val="13"/>
                <w:color w:val="auto"/>
              </w:rPr>
            </w:pPr>
          </w:p>
        </w:tc>
        <w:tc>
          <w:tcPr>
            <w:tcW w:w="1800" w:type="dxa"/>
            <w:vAlign w:val="bottom"/>
          </w:tcPr>
          <w:p>
            <w:pPr>
              <w:spacing w:after="0"/>
              <w:rPr>
                <w:sz w:val="13"/>
                <w:szCs w:val="13"/>
                <w:color w:val="auto"/>
              </w:rPr>
            </w:pPr>
          </w:p>
        </w:tc>
      </w:tr>
      <w:tr>
        <w:trPr>
          <w:trHeight w:val="168"/>
        </w:trPr>
        <w:tc>
          <w:tcPr>
            <w:tcW w:w="24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 available to common shareholders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(39,571)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55"/>
        </w:trPr>
        <w:tc>
          <w:tcPr>
            <w:tcW w:w="240" w:type="dxa"/>
            <w:vAlign w:val="bottom"/>
          </w:tcPr>
          <w:p>
            <w:pPr>
              <w:spacing w:after="0"/>
              <w:rPr>
                <w:sz w:val="13"/>
                <w:szCs w:val="13"/>
                <w:color w:val="auto"/>
              </w:rPr>
            </w:pPr>
          </w:p>
        </w:tc>
        <w:tc>
          <w:tcPr>
            <w:tcW w:w="3840" w:type="dxa"/>
            <w:vAlign w:val="bottom"/>
            <w:tcBorders>
              <w:top w:val="single" w:sz="8" w:color="D1EEF5"/>
            </w:tcBorders>
            <w:shd w:val="clear" w:color="auto" w:fill="D1EEF5"/>
          </w:tcPr>
          <w:p>
            <w:pPr>
              <w:spacing w:after="0" w:line="155" w:lineRule="exact"/>
              <w:rPr>
                <w:sz w:val="20"/>
                <w:szCs w:val="20"/>
                <w:color w:val="auto"/>
              </w:rPr>
            </w:pPr>
            <w:r>
              <w:rPr>
                <w:rFonts w:ascii="Times New Roman" w:cs="Times New Roman" w:eastAsia="Times New Roman" w:hAnsi="Times New Roman"/>
                <w:sz w:val="14"/>
                <w:szCs w:val="14"/>
                <w:color w:val="auto"/>
              </w:rPr>
              <w:t>Weighted average number of common shares-basic</w:t>
            </w:r>
          </w:p>
        </w:tc>
        <w:tc>
          <w:tcPr>
            <w:tcW w:w="1580" w:type="dxa"/>
            <w:vAlign w:val="bottom"/>
            <w:tcBorders>
              <w:top w:val="single" w:sz="8" w:color="D1EEF5"/>
            </w:tcBorders>
            <w:shd w:val="clear" w:color="auto" w:fill="D1EEF5"/>
          </w:tcPr>
          <w:p>
            <w:pPr>
              <w:spacing w:after="0"/>
              <w:rPr>
                <w:sz w:val="13"/>
                <w:szCs w:val="13"/>
                <w:color w:val="auto"/>
              </w:rPr>
            </w:pPr>
          </w:p>
        </w:tc>
        <w:tc>
          <w:tcPr>
            <w:tcW w:w="60" w:type="dxa"/>
            <w:vAlign w:val="bottom"/>
            <w:tcBorders>
              <w:top w:val="single" w:sz="8" w:color="auto"/>
            </w:tcBorders>
            <w:shd w:val="clear" w:color="auto" w:fill="D1EEF5"/>
          </w:tcPr>
          <w:p>
            <w:pPr>
              <w:spacing w:after="0"/>
              <w:rPr>
                <w:sz w:val="13"/>
                <w:szCs w:val="13"/>
                <w:color w:val="auto"/>
              </w:rPr>
            </w:pPr>
          </w:p>
        </w:tc>
        <w:tc>
          <w:tcPr>
            <w:tcW w:w="1160" w:type="dxa"/>
            <w:vAlign w:val="bottom"/>
            <w:tcBorders>
              <w:top w:val="single" w:sz="8" w:color="auto"/>
            </w:tcBorders>
            <w:shd w:val="clear" w:color="auto" w:fill="D1EEF5"/>
          </w:tcPr>
          <w:p>
            <w:pPr>
              <w:jc w:val="right"/>
              <w:spacing w:after="0" w:line="155" w:lineRule="exact"/>
              <w:rPr>
                <w:sz w:val="20"/>
                <w:szCs w:val="20"/>
                <w:color w:val="auto"/>
              </w:rPr>
            </w:pPr>
            <w:r>
              <w:rPr>
                <w:rFonts w:ascii="Times New Roman" w:cs="Times New Roman" w:eastAsia="Times New Roman" w:hAnsi="Times New Roman"/>
                <w:sz w:val="14"/>
                <w:szCs w:val="14"/>
                <w:color w:val="auto"/>
              </w:rPr>
              <w:t>38,565,307</w:t>
            </w:r>
          </w:p>
        </w:tc>
        <w:tc>
          <w:tcPr>
            <w:tcW w:w="240" w:type="dxa"/>
            <w:vAlign w:val="bottom"/>
            <w:tcBorders>
              <w:top w:val="single" w:sz="8" w:color="D1EEF5"/>
            </w:tcBorders>
            <w:shd w:val="clear" w:color="auto" w:fill="D1EEF5"/>
          </w:tcPr>
          <w:p>
            <w:pPr>
              <w:spacing w:after="0"/>
              <w:rPr>
                <w:sz w:val="13"/>
                <w:szCs w:val="13"/>
                <w:color w:val="auto"/>
              </w:rPr>
            </w:pPr>
          </w:p>
        </w:tc>
        <w:tc>
          <w:tcPr>
            <w:tcW w:w="80" w:type="dxa"/>
            <w:vAlign w:val="bottom"/>
            <w:tcBorders>
              <w:top w:val="single" w:sz="8" w:color="auto"/>
            </w:tcBorders>
            <w:shd w:val="clear" w:color="auto" w:fill="D1EEF5"/>
          </w:tcPr>
          <w:p>
            <w:pPr>
              <w:spacing w:after="0"/>
              <w:rPr>
                <w:sz w:val="13"/>
                <w:szCs w:val="13"/>
                <w:color w:val="auto"/>
              </w:rPr>
            </w:pPr>
          </w:p>
        </w:tc>
        <w:tc>
          <w:tcPr>
            <w:tcW w:w="1160" w:type="dxa"/>
            <w:vAlign w:val="bottom"/>
            <w:tcBorders>
              <w:top w:val="single" w:sz="8" w:color="auto"/>
            </w:tcBorders>
            <w:shd w:val="clear" w:color="auto" w:fill="D1EEF5"/>
          </w:tcPr>
          <w:p>
            <w:pPr>
              <w:jc w:val="right"/>
              <w:spacing w:after="0" w:line="155" w:lineRule="exact"/>
              <w:rPr>
                <w:sz w:val="20"/>
                <w:szCs w:val="20"/>
                <w:color w:val="auto"/>
              </w:rPr>
            </w:pPr>
            <w:r>
              <w:rPr>
                <w:rFonts w:ascii="Times New Roman" w:cs="Times New Roman" w:eastAsia="Times New Roman" w:hAnsi="Times New Roman"/>
                <w:sz w:val="14"/>
                <w:szCs w:val="14"/>
                <w:color w:val="auto"/>
              </w:rPr>
              <w:t>35,579,137</w:t>
            </w:r>
          </w:p>
        </w:tc>
        <w:tc>
          <w:tcPr>
            <w:tcW w:w="80" w:type="dxa"/>
            <w:vAlign w:val="bottom"/>
            <w:tcBorders>
              <w:top w:val="single" w:sz="8" w:color="D1EEF5"/>
            </w:tcBorders>
            <w:shd w:val="clear" w:color="auto" w:fill="D1EEF5"/>
          </w:tcPr>
          <w:p>
            <w:pPr>
              <w:spacing w:after="0"/>
              <w:rPr>
                <w:sz w:val="13"/>
                <w:szCs w:val="13"/>
                <w:color w:val="auto"/>
              </w:rPr>
            </w:pPr>
          </w:p>
        </w:tc>
        <w:tc>
          <w:tcPr>
            <w:tcW w:w="1800" w:type="dxa"/>
            <w:vAlign w:val="bottom"/>
          </w:tcPr>
          <w:p>
            <w:pPr>
              <w:spacing w:after="0"/>
              <w:rPr>
                <w:sz w:val="13"/>
                <w:szCs w:val="13"/>
                <w:color w:val="auto"/>
              </w:rPr>
            </w:pPr>
          </w:p>
        </w:tc>
      </w:tr>
      <w:tr>
        <w:trPr>
          <w:trHeight w:val="186"/>
        </w:trPr>
        <w:tc>
          <w:tcPr>
            <w:tcW w:w="24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(Loss) Earnings per share, basic</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78"/>
        </w:trPr>
        <w:tc>
          <w:tcPr>
            <w:tcW w:w="240" w:type="dxa"/>
            <w:vAlign w:val="bottom"/>
          </w:tcPr>
          <w:p>
            <w:pPr>
              <w:spacing w:after="0"/>
              <w:rPr>
                <w:sz w:val="15"/>
                <w:szCs w:val="15"/>
                <w:color w:val="auto"/>
              </w:rPr>
            </w:pPr>
          </w:p>
        </w:tc>
        <w:tc>
          <w:tcPr>
            <w:tcW w:w="3840" w:type="dxa"/>
            <w:vAlign w:val="bottom"/>
            <w:shd w:val="clear" w:color="auto" w:fill="D1EEF5"/>
          </w:tcPr>
          <w:p>
            <w:pPr>
              <w:spacing w:after="0"/>
              <w:rPr>
                <w:sz w:val="15"/>
                <w:szCs w:val="15"/>
                <w:color w:val="auto"/>
              </w:rPr>
            </w:pPr>
          </w:p>
        </w:tc>
        <w:tc>
          <w:tcPr>
            <w:tcW w:w="1580" w:type="dxa"/>
            <w:vAlign w:val="bottom"/>
            <w:shd w:val="clear" w:color="auto" w:fill="D1EEF5"/>
          </w:tcPr>
          <w:p>
            <w:pPr>
              <w:spacing w:after="0"/>
              <w:rPr>
                <w:sz w:val="15"/>
                <w:szCs w:val="15"/>
                <w:color w:val="auto"/>
              </w:rPr>
            </w:pPr>
          </w:p>
        </w:tc>
        <w:tc>
          <w:tcPr>
            <w:tcW w:w="60" w:type="dxa"/>
            <w:vAlign w:val="bottom"/>
            <w:shd w:val="clear" w:color="auto" w:fill="D1EEF5"/>
          </w:tcPr>
          <w:p>
            <w:pPr>
              <w:spacing w:after="0"/>
              <w:rPr>
                <w:sz w:val="15"/>
                <w:szCs w:val="15"/>
                <w:color w:val="auto"/>
              </w:rPr>
            </w:pPr>
          </w:p>
        </w:tc>
        <w:tc>
          <w:tcPr>
            <w:tcW w:w="1160" w:type="dxa"/>
            <w:vAlign w:val="bottom"/>
            <w:shd w:val="clear" w:color="auto" w:fill="D1EEF5"/>
          </w:tcPr>
          <w:p>
            <w:pPr>
              <w:spacing w:after="0"/>
              <w:rPr>
                <w:sz w:val="15"/>
                <w:szCs w:val="15"/>
                <w:color w:val="auto"/>
              </w:rPr>
            </w:pPr>
          </w:p>
        </w:tc>
        <w:tc>
          <w:tcPr>
            <w:tcW w:w="240" w:type="dxa"/>
            <w:vAlign w:val="bottom"/>
            <w:shd w:val="clear" w:color="auto" w:fill="D1EEF5"/>
          </w:tcPr>
          <w:p>
            <w:pPr>
              <w:spacing w:after="0"/>
              <w:rPr>
                <w:sz w:val="15"/>
                <w:szCs w:val="15"/>
                <w:color w:val="auto"/>
              </w:rPr>
            </w:pPr>
          </w:p>
        </w:tc>
        <w:tc>
          <w:tcPr>
            <w:tcW w:w="80" w:type="dxa"/>
            <w:vAlign w:val="bottom"/>
            <w:shd w:val="clear" w:color="auto" w:fill="D1EEF5"/>
          </w:tcPr>
          <w:p>
            <w:pPr>
              <w:spacing w:after="0"/>
              <w:rPr>
                <w:sz w:val="15"/>
                <w:szCs w:val="15"/>
                <w:color w:val="auto"/>
              </w:rPr>
            </w:pPr>
          </w:p>
        </w:tc>
        <w:tc>
          <w:tcPr>
            <w:tcW w:w="1160" w:type="dxa"/>
            <w:vAlign w:val="bottom"/>
            <w:shd w:val="clear" w:color="auto" w:fill="D1EEF5"/>
          </w:tcPr>
          <w:p>
            <w:pPr>
              <w:spacing w:after="0"/>
              <w:rPr>
                <w:sz w:val="15"/>
                <w:szCs w:val="15"/>
                <w:color w:val="auto"/>
              </w:rPr>
            </w:pPr>
          </w:p>
        </w:tc>
        <w:tc>
          <w:tcPr>
            <w:tcW w:w="80" w:type="dxa"/>
            <w:vAlign w:val="bottom"/>
            <w:shd w:val="clear" w:color="auto" w:fill="D1EEF5"/>
          </w:tcPr>
          <w:p>
            <w:pPr>
              <w:spacing w:after="0"/>
              <w:rPr>
                <w:sz w:val="15"/>
                <w:szCs w:val="15"/>
                <w:color w:val="auto"/>
              </w:rPr>
            </w:pPr>
          </w:p>
        </w:tc>
        <w:tc>
          <w:tcPr>
            <w:tcW w:w="1800" w:type="dxa"/>
            <w:vAlign w:val="bottom"/>
          </w:tcPr>
          <w:p>
            <w:pPr>
              <w:spacing w:after="0"/>
              <w:rPr>
                <w:sz w:val="15"/>
                <w:szCs w:val="15"/>
                <w:color w:val="auto"/>
              </w:rPr>
            </w:pPr>
          </w:p>
        </w:tc>
      </w:tr>
      <w:tr>
        <w:trPr>
          <w:trHeight w:val="156"/>
        </w:trPr>
        <w:tc>
          <w:tcPr>
            <w:tcW w:w="240" w:type="dxa"/>
            <w:vAlign w:val="bottom"/>
          </w:tcPr>
          <w:p>
            <w:pPr>
              <w:spacing w:after="0"/>
              <w:rPr>
                <w:sz w:val="13"/>
                <w:szCs w:val="13"/>
                <w:color w:val="auto"/>
              </w:rPr>
            </w:pPr>
          </w:p>
        </w:tc>
        <w:tc>
          <w:tcPr>
            <w:tcW w:w="3840" w:type="dxa"/>
            <w:vAlign w:val="bottom"/>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Diluted (Loss) earnings per common share:</w:t>
            </w: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57"/>
        </w:trPr>
        <w:tc>
          <w:tcPr>
            <w:tcW w:w="240" w:type="dxa"/>
            <w:vAlign w:val="bottom"/>
          </w:tcPr>
          <w:p>
            <w:pPr>
              <w:spacing w:after="0"/>
              <w:rPr>
                <w:sz w:val="13"/>
                <w:szCs w:val="13"/>
                <w:color w:val="auto"/>
              </w:rPr>
            </w:pPr>
          </w:p>
        </w:tc>
        <w:tc>
          <w:tcPr>
            <w:tcW w:w="384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Net (Loss) Income available to common shareholders</w:t>
            </w:r>
          </w:p>
        </w:tc>
        <w:tc>
          <w:tcPr>
            <w:tcW w:w="1640" w:type="dxa"/>
            <w:vAlign w:val="bottom"/>
            <w:gridSpan w:val="2"/>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D1EEF5"/>
          </w:tcPr>
          <w:p>
            <w:pPr>
              <w:jc w:val="right"/>
              <w:ind w:right="200"/>
              <w:spacing w:after="0" w:line="157" w:lineRule="exact"/>
              <w:rPr>
                <w:sz w:val="20"/>
                <w:szCs w:val="20"/>
                <w:color w:val="auto"/>
              </w:rPr>
            </w:pPr>
            <w:r>
              <w:rPr>
                <w:rFonts w:ascii="Times New Roman" w:cs="Times New Roman" w:eastAsia="Times New Roman" w:hAnsi="Times New Roman"/>
                <w:sz w:val="14"/>
                <w:szCs w:val="14"/>
                <w:color w:val="auto"/>
              </w:rPr>
              <w:t>(39,571)</w:t>
            </w:r>
          </w:p>
        </w:tc>
        <w:tc>
          <w:tcPr>
            <w:tcW w:w="8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4,338</w:t>
            </w:r>
          </w:p>
        </w:tc>
        <w:tc>
          <w:tcPr>
            <w:tcW w:w="80" w:type="dxa"/>
            <w:vAlign w:val="bottom"/>
            <w:shd w:val="clear" w:color="auto" w:fill="D1EEF5"/>
          </w:tcPr>
          <w:p>
            <w:pPr>
              <w:spacing w:after="0"/>
              <w:rPr>
                <w:sz w:val="13"/>
                <w:szCs w:val="13"/>
                <w:color w:val="auto"/>
              </w:rPr>
            </w:pPr>
          </w:p>
        </w:tc>
        <w:tc>
          <w:tcPr>
            <w:tcW w:w="1800" w:type="dxa"/>
            <w:vAlign w:val="bottom"/>
          </w:tcPr>
          <w:p>
            <w:pPr>
              <w:spacing w:after="0"/>
              <w:rPr>
                <w:sz w:val="13"/>
                <w:szCs w:val="13"/>
                <w:color w:val="auto"/>
              </w:rPr>
            </w:pPr>
          </w:p>
        </w:tc>
      </w:tr>
      <w:tr>
        <w:trPr>
          <w:trHeight w:val="168"/>
        </w:trPr>
        <w:tc>
          <w:tcPr>
            <w:tcW w:w="24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number of common shares-basic</w:t>
            </w: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38,565,307</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35,579,137</w:t>
            </w: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2"/>
        </w:trPr>
        <w:tc>
          <w:tcPr>
            <w:tcW w:w="240" w:type="dxa"/>
            <w:vAlign w:val="bottom"/>
          </w:tcPr>
          <w:p>
            <w:pPr>
              <w:spacing w:after="0"/>
              <w:rPr>
                <w:sz w:val="14"/>
                <w:szCs w:val="14"/>
                <w:color w:val="auto"/>
              </w:rPr>
            </w:pPr>
          </w:p>
        </w:tc>
        <w:tc>
          <w:tcPr>
            <w:tcW w:w="3840" w:type="dxa"/>
            <w:vAlign w:val="bottom"/>
            <w:tcBorders>
              <w:top w:val="single" w:sz="8" w:color="D1EEF5"/>
              <w:bottom w:val="single" w:sz="8" w:color="D1EEF5"/>
            </w:tcBorders>
            <w:shd w:val="clear" w:color="auto" w:fill="D1EEF5"/>
          </w:tcPr>
          <w:p>
            <w:pPr>
              <w:spacing w:after="0" w:line="153" w:lineRule="exact"/>
              <w:rPr>
                <w:sz w:val="20"/>
                <w:szCs w:val="20"/>
                <w:color w:val="auto"/>
              </w:rPr>
            </w:pPr>
            <w:r>
              <w:rPr>
                <w:rFonts w:ascii="Times New Roman" w:cs="Times New Roman" w:eastAsia="Times New Roman" w:hAnsi="Times New Roman"/>
                <w:sz w:val="14"/>
                <w:szCs w:val="14"/>
                <w:color w:val="auto"/>
              </w:rPr>
              <w:t>Dilutive effect related to stock options</w:t>
            </w:r>
          </w:p>
        </w:tc>
        <w:tc>
          <w:tcPr>
            <w:tcW w:w="1580" w:type="dxa"/>
            <w:vAlign w:val="bottom"/>
            <w:tcBorders>
              <w:top w:val="single" w:sz="8" w:color="D1EEF5"/>
              <w:bottom w:val="single" w:sz="8" w:color="D1EEF5"/>
            </w:tcBorders>
            <w:shd w:val="clear" w:color="auto" w:fill="D1EEF5"/>
          </w:tcPr>
          <w:p>
            <w:pPr>
              <w:spacing w:after="0"/>
              <w:rPr>
                <w:sz w:val="14"/>
                <w:szCs w:val="14"/>
                <w:color w:val="auto"/>
              </w:rPr>
            </w:pPr>
          </w:p>
        </w:tc>
        <w:tc>
          <w:tcPr>
            <w:tcW w:w="60" w:type="dxa"/>
            <w:vAlign w:val="bottom"/>
            <w:tcBorders>
              <w:top w:val="single" w:sz="8" w:color="auto"/>
              <w:bottom w:val="single" w:sz="8" w:color="auto"/>
            </w:tcBorders>
            <w:shd w:val="clear" w:color="auto" w:fill="D1EEF5"/>
          </w:tcPr>
          <w:p>
            <w:pPr>
              <w:spacing w:after="0"/>
              <w:rPr>
                <w:sz w:val="14"/>
                <w:szCs w:val="14"/>
                <w:color w:val="auto"/>
              </w:rPr>
            </w:pPr>
          </w:p>
        </w:tc>
        <w:tc>
          <w:tcPr>
            <w:tcW w:w="1160" w:type="dxa"/>
            <w:vAlign w:val="bottom"/>
            <w:tcBorders>
              <w:top w:val="single" w:sz="8" w:color="auto"/>
              <w:bottom w:val="single" w:sz="8" w:color="auto"/>
            </w:tcBorders>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D1EEF5"/>
              <w:bottom w:val="single" w:sz="8" w:color="D1EEF5"/>
            </w:tcBorders>
            <w:shd w:val="clear" w:color="auto" w:fill="D1EEF5"/>
          </w:tcPr>
          <w:p>
            <w:pPr>
              <w:spacing w:after="0"/>
              <w:rPr>
                <w:sz w:val="14"/>
                <w:szCs w:val="14"/>
                <w:color w:val="auto"/>
              </w:rPr>
            </w:pPr>
          </w:p>
        </w:tc>
        <w:tc>
          <w:tcPr>
            <w:tcW w:w="80" w:type="dxa"/>
            <w:vAlign w:val="bottom"/>
            <w:tcBorders>
              <w:top w:val="single" w:sz="8" w:color="auto"/>
              <w:bottom w:val="single" w:sz="8" w:color="auto"/>
            </w:tcBorders>
            <w:shd w:val="clear" w:color="auto" w:fill="D1EEF5"/>
          </w:tcPr>
          <w:p>
            <w:pPr>
              <w:spacing w:after="0"/>
              <w:rPr>
                <w:sz w:val="14"/>
                <w:szCs w:val="14"/>
                <w:color w:val="auto"/>
              </w:rPr>
            </w:pPr>
          </w:p>
        </w:tc>
        <w:tc>
          <w:tcPr>
            <w:tcW w:w="1160" w:type="dxa"/>
            <w:vAlign w:val="bottom"/>
            <w:tcBorders>
              <w:top w:val="single" w:sz="8" w:color="auto"/>
              <w:bottom w:val="single" w:sz="8" w:color="auto"/>
            </w:tcBorders>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2,163,200</w:t>
            </w:r>
          </w:p>
        </w:tc>
        <w:tc>
          <w:tcPr>
            <w:tcW w:w="80" w:type="dxa"/>
            <w:vAlign w:val="bottom"/>
            <w:tcBorders>
              <w:top w:val="single" w:sz="8" w:color="D1EEF5"/>
              <w:bottom w:val="single" w:sz="8" w:color="D1EEF5"/>
            </w:tcBorders>
            <w:shd w:val="clear" w:color="auto" w:fill="D1EEF5"/>
          </w:tcPr>
          <w:p>
            <w:pPr>
              <w:spacing w:after="0"/>
              <w:rPr>
                <w:sz w:val="14"/>
                <w:szCs w:val="14"/>
                <w:color w:val="auto"/>
              </w:rPr>
            </w:pPr>
          </w:p>
        </w:tc>
        <w:tc>
          <w:tcPr>
            <w:tcW w:w="1800" w:type="dxa"/>
            <w:vAlign w:val="bottom"/>
          </w:tcPr>
          <w:p>
            <w:pPr>
              <w:spacing w:after="0"/>
              <w:rPr>
                <w:sz w:val="14"/>
                <w:szCs w:val="14"/>
                <w:color w:val="auto"/>
              </w:rPr>
            </w:pPr>
          </w:p>
        </w:tc>
      </w:tr>
      <w:tr>
        <w:trPr>
          <w:trHeight w:val="139"/>
        </w:trPr>
        <w:tc>
          <w:tcPr>
            <w:tcW w:w="240" w:type="dxa"/>
            <w:vAlign w:val="bottom"/>
          </w:tcPr>
          <w:p>
            <w:pPr>
              <w:spacing w:after="0"/>
              <w:rPr>
                <w:sz w:val="12"/>
                <w:szCs w:val="12"/>
                <w:color w:val="auto"/>
              </w:rPr>
            </w:pPr>
          </w:p>
        </w:tc>
        <w:tc>
          <w:tcPr>
            <w:tcW w:w="38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Weighted average diluted shares outstanding</w:t>
            </w: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38,565,307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37,742,337</w:t>
            </w: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91"/>
        </w:trPr>
        <w:tc>
          <w:tcPr>
            <w:tcW w:w="240" w:type="dxa"/>
            <w:vAlign w:val="bottom"/>
          </w:tcPr>
          <w:p>
            <w:pPr>
              <w:spacing w:after="0"/>
              <w:rPr>
                <w:sz w:val="16"/>
                <w:szCs w:val="16"/>
                <w:color w:val="auto"/>
              </w:rPr>
            </w:pPr>
          </w:p>
        </w:tc>
        <w:tc>
          <w:tcPr>
            <w:tcW w:w="38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(Loss) Earnings per share, diluted</w:t>
            </w:r>
          </w:p>
        </w:tc>
        <w:tc>
          <w:tcPr>
            <w:tcW w:w="164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D1EEF5"/>
          </w:tcPr>
          <w:p>
            <w:pPr>
              <w:jc w:val="right"/>
              <w:ind w:right="200"/>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shd w:val="clear" w:color="auto" w:fill="D1EEF5"/>
          </w:tcPr>
          <w:p>
            <w:pPr>
              <w:spacing w:after="0"/>
              <w:rPr>
                <w:sz w:val="16"/>
                <w:szCs w:val="16"/>
                <w:color w:val="auto"/>
              </w:rPr>
            </w:pPr>
          </w:p>
        </w:tc>
        <w:tc>
          <w:tcPr>
            <w:tcW w:w="1800" w:type="dxa"/>
            <w:vAlign w:val="bottom"/>
          </w:tcPr>
          <w:p>
            <w:pPr>
              <w:spacing w:after="0"/>
              <w:rPr>
                <w:sz w:val="16"/>
                <w:szCs w:val="16"/>
                <w:color w:val="auto"/>
              </w:rPr>
            </w:pPr>
          </w:p>
        </w:tc>
      </w:tr>
      <w:tr>
        <w:trPr>
          <w:trHeight w:val="324"/>
        </w:trPr>
        <w:tc>
          <w:tcPr>
            <w:tcW w:w="2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F-31</w:t>
            </w: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-1007745</wp:posOffset>
            </wp:positionV>
            <wp:extent cx="1741170" cy="495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52">
                      <a:extLst>
                        <a:ext uri="{28A0092B-C50C-407E-A947-70E740481C1C}"/>
                      </a:extLst>
                    </a:blip>
                    <a:srcRect/>
                    <a:stretch>
                      <a:fillRect/>
                    </a:stretch>
                  </pic:blipFill>
                  <pic:spPr bwMode="auto">
                    <a:xfrm>
                      <a:off x="0" y="0"/>
                      <a:ext cx="1741170" cy="4953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-247015</wp:posOffset>
            </wp:positionV>
            <wp:extent cx="1741170" cy="495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53">
                      <a:extLst>
                        <a:ext uri="{28A0092B-C50C-407E-A947-70E740481C1C}"/>
                      </a:extLst>
                    </a:blip>
                    <a:srcRect/>
                    <a:stretch>
                      <a:fillRect/>
                    </a:stretch>
                  </pic:blipFill>
                  <pic:spPr bwMode="auto">
                    <a:xfrm>
                      <a:off x="0" y="0"/>
                      <a:ext cx="1741170" cy="49530"/>
                    </a:xfrm>
                    <a:prstGeom prst="rect">
                      <a:avLst/>
                    </a:prstGeom>
                    <a:noFill/>
                  </pic:spPr>
                </pic:pic>
              </a:graphicData>
            </a:graphic>
          </wp:anchor>
        </w:drawing>
      </w:r>
    </w:p>
    <w:p>
      <w:pPr>
        <w:sectPr>
          <w:pgSz w:w="12240" w:h="15840" w:orient="portrait"/>
          <w:cols w:equalWidth="0" w:num="1">
            <w:col w:w="10240"/>
          </w:cols>
          <w:pgMar w:left="1000" w:top="1208" w:right="100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following table sets forth the number of potential shares of common stock that have been excluded from diluted net income per share net (loss) income per share because their effect was anti-dilutive:</w:t>
      </w:r>
    </w:p>
    <w:p>
      <w:pPr>
        <w:spacing w:after="0" w:line="283" w:lineRule="exact"/>
        <w:rPr>
          <w:sz w:val="20"/>
          <w:szCs w:val="20"/>
          <w:color w:val="auto"/>
        </w:rPr>
      </w:pPr>
    </w:p>
    <w:tbl>
      <w:tblPr>
        <w:tblLayout w:type="fixed"/>
        <w:tblInd w:w="240" w:type="dxa"/>
        <w:tblCellMar>
          <w:top w:w="0" w:type="dxa"/>
          <w:left w:w="0" w:type="dxa"/>
          <w:bottom w:w="0" w:type="dxa"/>
          <w:right w:w="0" w:type="dxa"/>
        </w:tblCellMar>
      </w:tblPr>
      <w:tr>
        <w:trPr>
          <w:trHeight w:val="182"/>
        </w:trPr>
        <w:tc>
          <w:tcPr>
            <w:tcW w:w="542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December 31, 2022</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151"/>
        </w:trPr>
        <w:tc>
          <w:tcPr>
            <w:tcW w:w="5420" w:type="dxa"/>
            <w:vAlign w:val="bottom"/>
            <w:tcBorders>
              <w:top w:val="single" w:sz="8" w:color="D1EEF5"/>
            </w:tcBorders>
            <w:shd w:val="clear" w:color="auto" w:fill="D1EEF5"/>
          </w:tcPr>
          <w:p>
            <w:pPr>
              <w:ind w:left="140"/>
              <w:spacing w:after="0" w:line="151" w:lineRule="exact"/>
              <w:rPr>
                <w:sz w:val="20"/>
                <w:szCs w:val="20"/>
                <w:color w:val="auto"/>
              </w:rPr>
            </w:pPr>
            <w:r>
              <w:rPr>
                <w:rFonts w:ascii="Times New Roman" w:cs="Times New Roman" w:eastAsia="Times New Roman" w:hAnsi="Times New Roman"/>
                <w:sz w:val="14"/>
                <w:szCs w:val="14"/>
                <w:color w:val="auto"/>
              </w:rPr>
              <w:t>Warrants</w:t>
            </w:r>
          </w:p>
        </w:tc>
        <w:tc>
          <w:tcPr>
            <w:tcW w:w="1220" w:type="dxa"/>
            <w:vAlign w:val="bottom"/>
            <w:tcBorders>
              <w:top w:val="single" w:sz="8" w:color="auto"/>
            </w:tcBorders>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16,708,414</w:t>
            </w:r>
          </w:p>
        </w:tc>
        <w:tc>
          <w:tcPr>
            <w:tcW w:w="240" w:type="dxa"/>
            <w:vAlign w:val="bottom"/>
            <w:tcBorders>
              <w:top w:val="single" w:sz="8" w:color="D1EEF5"/>
            </w:tcBorders>
            <w:shd w:val="clear" w:color="auto" w:fill="D1EEF5"/>
          </w:tcPr>
          <w:p>
            <w:pPr>
              <w:spacing w:after="0"/>
              <w:rPr>
                <w:sz w:val="13"/>
                <w:szCs w:val="13"/>
                <w:color w:val="auto"/>
              </w:rPr>
            </w:pPr>
          </w:p>
        </w:tc>
        <w:tc>
          <w:tcPr>
            <w:tcW w:w="1240" w:type="dxa"/>
            <w:vAlign w:val="bottom"/>
            <w:tcBorders>
              <w:top w:val="single" w:sz="8" w:color="auto"/>
            </w:tcBorders>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D1EEF5"/>
            </w:tcBorders>
            <w:shd w:val="clear" w:color="auto" w:fill="D1EEF5"/>
          </w:tcPr>
          <w:p>
            <w:pPr>
              <w:spacing w:after="0"/>
              <w:rPr>
                <w:sz w:val="13"/>
                <w:szCs w:val="13"/>
                <w:color w:val="auto"/>
              </w:rPr>
            </w:pPr>
          </w:p>
        </w:tc>
      </w:tr>
      <w:tr>
        <w:trPr>
          <w:trHeight w:val="156"/>
        </w:trPr>
        <w:tc>
          <w:tcPr>
            <w:tcW w:w="542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Restricted stock units</w:t>
            </w:r>
          </w:p>
        </w:tc>
        <w:tc>
          <w:tcPr>
            <w:tcW w:w="1460" w:type="dxa"/>
            <w:vAlign w:val="bottom"/>
            <w:gridSpan w:val="2"/>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180,000</w:t>
            </w:r>
          </w:p>
        </w:tc>
        <w:tc>
          <w:tcPr>
            <w:tcW w:w="12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r>
      <w:tr>
        <w:trPr>
          <w:trHeight w:val="184"/>
        </w:trPr>
        <w:tc>
          <w:tcPr>
            <w:tcW w:w="542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1460" w:type="dxa"/>
            <w:vAlign w:val="bottom"/>
            <w:gridSpan w:val="2"/>
            <w:shd w:val="clear" w:color="auto" w:fill="D1EEF5"/>
          </w:tcPr>
          <w:p>
            <w:pPr>
              <w:jc w:val="right"/>
              <w:ind w:right="240"/>
              <w:spacing w:after="0"/>
              <w:rPr>
                <w:sz w:val="20"/>
                <w:szCs w:val="20"/>
                <w:color w:val="auto"/>
              </w:rPr>
            </w:pPr>
            <w:r>
              <w:rPr>
                <w:rFonts w:ascii="Times New Roman" w:cs="Times New Roman" w:eastAsia="Times New Roman" w:hAnsi="Times New Roman"/>
                <w:sz w:val="14"/>
                <w:szCs w:val="14"/>
                <w:color w:val="auto"/>
              </w:rPr>
              <w:t>3,642,958</w:t>
            </w:r>
          </w:p>
        </w:tc>
        <w:tc>
          <w:tcPr>
            <w:tcW w:w="12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1EEF5"/>
          </w:tcPr>
          <w:p>
            <w:pPr>
              <w:spacing w:after="0"/>
              <w:rPr>
                <w:sz w:val="16"/>
                <w:szCs w:val="16"/>
                <w:color w:val="auto"/>
              </w:rPr>
            </w:pPr>
          </w:p>
        </w:tc>
      </w:tr>
      <w:tr>
        <w:trPr>
          <w:trHeight w:val="167"/>
        </w:trPr>
        <w:tc>
          <w:tcPr>
            <w:tcW w:w="5420" w:type="dxa"/>
            <w:vAlign w:val="bottom"/>
            <w:tcBorders>
              <w:top w:val="single" w:sz="8" w:color="D1EEF5"/>
            </w:tcBorders>
          </w:tcPr>
          <w:p>
            <w:pPr>
              <w:spacing w:after="0"/>
              <w:rPr>
                <w:sz w:val="20"/>
                <w:szCs w:val="20"/>
                <w:color w:val="auto"/>
              </w:rPr>
            </w:pPr>
            <w:r>
              <w:rPr>
                <w:rFonts w:ascii="Times New Roman" w:cs="Times New Roman" w:eastAsia="Times New Roman" w:hAnsi="Times New Roman"/>
                <w:sz w:val="14"/>
                <w:szCs w:val="14"/>
                <w:color w:val="auto"/>
              </w:rPr>
              <w:t>Weighted average number of common shares-basic</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20,531,372</w:t>
            </w:r>
          </w:p>
        </w:tc>
        <w:tc>
          <w:tcPr>
            <w:tcW w:w="240" w:type="dxa"/>
            <w:vAlign w:val="bottom"/>
            <w:tcBorders>
              <w:top w:val="single" w:sz="8" w:color="D1EEF5"/>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D1EEF5"/>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-29845</wp:posOffset>
            </wp:positionV>
            <wp:extent cx="1741170" cy="495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54">
                      <a:extLst>
                        <a:ext uri="{28A0092B-C50C-407E-A947-70E740481C1C}"/>
                      </a:extLst>
                    </a:blip>
                    <a:srcRect/>
                    <a:stretch>
                      <a:fillRect/>
                    </a:stretch>
                  </pic:blipFill>
                  <pic:spPr bwMode="auto">
                    <a:xfrm>
                      <a:off x="0" y="0"/>
                      <a:ext cx="1741170" cy="4953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SUBSEQUENT EVENTS</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On March 5, 2023, the Company entered into a convertible promissory note with a board member in the amount of $1,000, or the Principal Amount. Upon execution of the Note and funding of the original principal sum, a payment of $ 100, or the Loan Fee, was fully earned as of the date of the note and was due and payable in full in cash on April 4, 2023. The Company paid the Principal Amount and the Loan Fee on April 1, 2023 and April 4, 2023, respectively.</w:t>
      </w:r>
    </w:p>
    <w:p>
      <w:pPr>
        <w:spacing w:after="0" w:line="1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w:t>
      </w:r>
    </w:p>
    <w:p>
      <w:pPr>
        <w:spacing w:after="0" w:line="1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March 31, 2023, the Company changed its state of incorporation from the State of Delaware to the State of Nevada (the “</w:t>
      </w:r>
      <w:r>
        <w:rPr>
          <w:rFonts w:ascii="Times New Roman" w:cs="Times New Roman" w:eastAsia="Times New Roman" w:hAnsi="Times New Roman"/>
          <w:sz w:val="14"/>
          <w:szCs w:val="14"/>
          <w:b w:val="1"/>
          <w:bCs w:val="1"/>
          <w:color w:val="auto"/>
        </w:rPr>
        <w:t>Reincorporation</w:t>
      </w:r>
      <w:r>
        <w:rPr>
          <w:rFonts w:ascii="Times New Roman" w:cs="Times New Roman" w:eastAsia="Times New Roman" w:hAnsi="Times New Roman"/>
          <w:sz w:val="14"/>
          <w:szCs w:val="14"/>
          <w:color w:val="auto"/>
        </w:rPr>
        <w:t>”) pursuant to a plan of conversion dated March 30, 2023 (the “</w:t>
      </w:r>
      <w:r>
        <w:rPr>
          <w:rFonts w:ascii="Times New Roman" w:cs="Times New Roman" w:eastAsia="Times New Roman" w:hAnsi="Times New Roman"/>
          <w:sz w:val="14"/>
          <w:szCs w:val="14"/>
          <w:b w:val="1"/>
          <w:bCs w:val="1"/>
          <w:color w:val="auto"/>
        </w:rPr>
        <w:t>Plan of Conversion</w:t>
      </w:r>
      <w:r>
        <w:rPr>
          <w:rFonts w:ascii="Times New Roman" w:cs="Times New Roman" w:eastAsia="Times New Roman" w:hAnsi="Times New Roman"/>
          <w:sz w:val="14"/>
          <w:szCs w:val="14"/>
          <w:color w:val="auto"/>
        </w:rPr>
        <w:t>”). Pursuant to the Plan of Conversion, the issued and outstanding shares of common stock of the Company were automatically converted into common stock of the reincorporated company at the effective time of the Reincorporation.</w:t>
      </w:r>
    </w:p>
    <w:p>
      <w:pPr>
        <w:spacing w:after="0" w:line="1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Under the terms of the Purchase Agreement described in Note 13 the Company issued 98,500 shares pursuant to the Purchase Agreement with CCM LLC for aggregate net proceeds to the Company of $671 through April 17, 2023.</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17780</wp:posOffset>
                </wp:positionV>
                <wp:extent cx="650938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9385"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4pt" to="512.25pt,1.4pt" o:allowincell="f" strokecolor="#000000" strokeweight="1.26pt"/>
            </w:pict>
          </mc:Fallback>
        </mc:AlternateContent>
      </w:r>
    </w:p>
    <w:p>
      <w:pPr>
        <w:sectPr>
          <w:pgSz w:w="12240" w:h="15840" w:orient="portrait"/>
          <w:cols w:equalWidth="0" w:num="1">
            <w:col w:w="10240"/>
          </w:cols>
          <w:pgMar w:left="1000" w:top="1208" w:right="1000"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589280</wp:posOffset>
            </wp:positionH>
            <wp:positionV relativeFrom="page">
              <wp:posOffset>688340</wp:posOffset>
            </wp:positionV>
            <wp:extent cx="6593840" cy="78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55">
                      <a:extLst>
                        <a:ext uri="{28A0092B-C50C-407E-A947-70E740481C1C}"/>
                      </a:extLst>
                    </a:blip>
                    <a:srcRect/>
                    <a:stretch>
                      <a:fillRect/>
                    </a:stretch>
                  </pic:blipFill>
                  <pic:spPr bwMode="auto">
                    <a:xfrm>
                      <a:off x="0" y="0"/>
                      <a:ext cx="6593840" cy="78740"/>
                    </a:xfrm>
                    <a:prstGeom prst="rect">
                      <a:avLst/>
                    </a:prstGeom>
                    <a:noFill/>
                  </pic:spPr>
                </pic:pic>
              </a:graphicData>
            </a:graphic>
          </wp:anchor>
        </w:drawing>
        <w:t>UNITED STATES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1969770</wp:posOffset>
                </wp:positionH>
                <wp:positionV relativeFrom="paragraph">
                  <wp:posOffset>109220</wp:posOffset>
                </wp:positionV>
                <wp:extent cx="2630170"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30170"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1pt,8.6pt" to="362.2pt,8.6pt" o:allowincell="f" strokecolor="#000000" strokeweight="1.14pt"/>
            </w:pict>
          </mc:Fallback>
        </mc:AlternateConten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 No. 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1969770</wp:posOffset>
                </wp:positionH>
                <wp:positionV relativeFrom="paragraph">
                  <wp:posOffset>120650</wp:posOffset>
                </wp:positionV>
                <wp:extent cx="2630170"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30170"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1pt,9.5pt" to="362.2pt,9.5pt" o:allowincell="f" strokecolor="#000000" strokeweight="1.2pt"/>
            </w:pict>
          </mc:Fallback>
        </mc:AlternateConten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0"/>
          <w:szCs w:val="20"/>
          <w:color w:val="auto"/>
        </w:rPr>
      </w:pPr>
    </w:p>
    <w:p>
      <w:pPr>
        <w:ind w:left="3900" w:right="3460" w:hanging="3896"/>
        <w:spacing w:after="0" w:line="466" w:lineRule="auto"/>
        <w:tabs>
          <w:tab w:leader="none" w:pos="257" w:val="left"/>
        </w:tabs>
        <w:numPr>
          <w:ilvl w:val="0"/>
          <w:numId w:val="47"/>
        </w:numPr>
        <w:rPr>
          <w:rFonts w:ascii="Segoe UI" w:cs="Segoe UI" w:eastAsia="Segoe UI" w:hAnsi="Segoe UI"/>
          <w:sz w:val="14"/>
          <w:szCs w:val="14"/>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2022</w:t>
      </w:r>
    </w:p>
    <w:p>
      <w:pPr>
        <w:spacing w:after="0" w:line="263" w:lineRule="exact"/>
        <w:rPr>
          <w:sz w:val="20"/>
          <w:szCs w:val="20"/>
          <w:color w:val="auto"/>
        </w:rPr>
      </w:pPr>
    </w:p>
    <w:p>
      <w:pPr>
        <w:ind w:left="4300" w:right="3040" w:hanging="4296"/>
        <w:spacing w:after="0" w:line="432" w:lineRule="auto"/>
        <w:tabs>
          <w:tab w:leader="none" w:pos="252" w:val="left"/>
        </w:tabs>
        <w:numPr>
          <w:ilvl w:val="0"/>
          <w:numId w:val="48"/>
        </w:numPr>
        <w:rPr>
          <w:rFonts w:ascii="Segoe UI" w:cs="Segoe UI" w:eastAsia="Segoe UI" w:hAnsi="Segoe UI"/>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1934ed For the transition period from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001-40730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1969770</wp:posOffset>
                </wp:positionH>
                <wp:positionV relativeFrom="paragraph">
                  <wp:posOffset>117475</wp:posOffset>
                </wp:positionV>
                <wp:extent cx="2630170"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30170"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1pt,9.25pt" to="362.2pt,9.25pt" o:allowincell="f" strokecolor="#000000" strokeweight="1.2pt"/>
            </w:pict>
          </mc:Fallback>
        </mc:AlternateConten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DRAGONFLY ENERGY HOLDINGS CORP.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gridSpan w:val="9"/>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(Exact name of registrant as specified in its charter)</w:t>
            </w:r>
          </w:p>
        </w:tc>
        <w:tc>
          <w:tcPr>
            <w:tcW w:w="320" w:type="dxa"/>
            <w:vAlign w:val="bottom"/>
            <w:tcBorders>
              <w:top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3660" w:type="dxa"/>
            <w:vAlign w:val="bottom"/>
            <w:tcBorders>
              <w:bottom w:val="single" w:sz="8" w:color="auto"/>
            </w:tcBorders>
            <w:gridSpan w:val="2"/>
          </w:tcPr>
          <w:p>
            <w:pPr>
              <w:jc w:val="center"/>
              <w:ind w:left="1352"/>
              <w:spacing w:after="0"/>
              <w:rPr>
                <w:sz w:val="20"/>
                <w:szCs w:val="20"/>
                <w:color w:val="auto"/>
              </w:rPr>
            </w:pPr>
            <w:r>
              <w:rPr>
                <w:rFonts w:ascii="Times New Roman" w:cs="Times New Roman" w:eastAsia="Times New Roman" w:hAnsi="Times New Roman"/>
                <w:sz w:val="14"/>
                <w:szCs w:val="14"/>
                <w:b w:val="1"/>
                <w:bCs w:val="1"/>
                <w:color w:val="auto"/>
                <w:w w:val="97"/>
              </w:rPr>
              <w:t>Nevada</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
          </w:tcPr>
          <w:p>
            <w:pPr>
              <w:jc w:val="right"/>
              <w:ind w:right="2152"/>
              <w:spacing w:after="0"/>
              <w:rPr>
                <w:sz w:val="20"/>
                <w:szCs w:val="20"/>
                <w:color w:val="auto"/>
              </w:rPr>
            </w:pPr>
            <w:r>
              <w:rPr>
                <w:rFonts w:ascii="Times New Roman" w:cs="Times New Roman" w:eastAsia="Times New Roman" w:hAnsi="Times New Roman"/>
                <w:sz w:val="14"/>
                <w:szCs w:val="14"/>
                <w:b w:val="1"/>
                <w:bCs w:val="1"/>
                <w:color w:val="auto"/>
              </w:rPr>
              <w:t>85-1873463</w:t>
            </w:r>
          </w:p>
        </w:tc>
        <w:tc>
          <w:tcPr>
            <w:tcW w:w="0" w:type="dxa"/>
            <w:vAlign w:val="bottom"/>
          </w:tcPr>
          <w:p>
            <w:pPr>
              <w:spacing w:after="0"/>
              <w:rPr>
                <w:sz w:val="1"/>
                <w:szCs w:val="1"/>
                <w:color w:val="auto"/>
              </w:rPr>
            </w:pPr>
          </w:p>
        </w:tc>
      </w:tr>
      <w:tr>
        <w:trPr>
          <w:trHeight w:val="138"/>
        </w:trPr>
        <w:tc>
          <w:tcPr>
            <w:tcW w:w="3660" w:type="dxa"/>
            <w:vAlign w:val="bottom"/>
            <w:gridSpan w:val="2"/>
          </w:tcPr>
          <w:p>
            <w:pPr>
              <w:jc w:val="center"/>
              <w:ind w:left="1332"/>
              <w:spacing w:after="0" w:line="138" w:lineRule="exact"/>
              <w:rPr>
                <w:sz w:val="20"/>
                <w:szCs w:val="20"/>
                <w:color w:val="auto"/>
              </w:rPr>
            </w:pPr>
            <w:r>
              <w:rPr>
                <w:rFonts w:ascii="Times New Roman" w:cs="Times New Roman" w:eastAsia="Times New Roman" w:hAnsi="Times New Roman"/>
                <w:sz w:val="14"/>
                <w:szCs w:val="14"/>
                <w:color w:val="auto"/>
                <w:w w:val="97"/>
              </w:rPr>
              <w:t>(State or other jurisdiction of</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120" w:type="dxa"/>
            <w:vAlign w:val="bottom"/>
          </w:tcPr>
          <w:p>
            <w:pPr>
              <w:jc w:val="center"/>
              <w:ind w:right="1912"/>
              <w:spacing w:after="0" w:line="138" w:lineRule="exact"/>
              <w:rPr>
                <w:sz w:val="20"/>
                <w:szCs w:val="20"/>
                <w:color w:val="auto"/>
              </w:rPr>
            </w:pPr>
            <w:r>
              <w:rPr>
                <w:rFonts w:ascii="Times New Roman" w:cs="Times New Roman" w:eastAsia="Times New Roman" w:hAnsi="Times New Roman"/>
                <w:sz w:val="14"/>
                <w:szCs w:val="14"/>
                <w:color w:val="auto"/>
                <w:w w:val="98"/>
              </w:rPr>
              <w:t>(I.R.S. Employer</w:t>
            </w:r>
          </w:p>
        </w:tc>
        <w:tc>
          <w:tcPr>
            <w:tcW w:w="0" w:type="dxa"/>
            <w:vAlign w:val="bottom"/>
          </w:tcPr>
          <w:p>
            <w:pPr>
              <w:spacing w:after="0"/>
              <w:rPr>
                <w:sz w:val="1"/>
                <w:szCs w:val="1"/>
                <w:color w:val="auto"/>
              </w:rPr>
            </w:pPr>
          </w:p>
        </w:tc>
      </w:tr>
      <w:tr>
        <w:trPr>
          <w:trHeight w:val="181"/>
        </w:trPr>
        <w:tc>
          <w:tcPr>
            <w:tcW w:w="3660" w:type="dxa"/>
            <w:vAlign w:val="bottom"/>
            <w:gridSpan w:val="2"/>
          </w:tcPr>
          <w:p>
            <w:pPr>
              <w:jc w:val="center"/>
              <w:ind w:left="1352"/>
              <w:spacing w:after="0"/>
              <w:rPr>
                <w:sz w:val="20"/>
                <w:szCs w:val="20"/>
                <w:color w:val="auto"/>
              </w:rPr>
            </w:pPr>
            <w:r>
              <w:rPr>
                <w:rFonts w:ascii="Times New Roman" w:cs="Times New Roman" w:eastAsia="Times New Roman" w:hAnsi="Times New Roman"/>
                <w:sz w:val="14"/>
                <w:szCs w:val="14"/>
                <w:color w:val="auto"/>
                <w:w w:val="97"/>
              </w:rPr>
              <w:t>incorporation or organization)</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20" w:type="dxa"/>
            <w:vAlign w:val="bottom"/>
          </w:tcPr>
          <w:p>
            <w:pPr>
              <w:jc w:val="center"/>
              <w:ind w:right="1912"/>
              <w:spacing w:after="0"/>
              <w:rPr>
                <w:sz w:val="20"/>
                <w:szCs w:val="20"/>
                <w:color w:val="auto"/>
              </w:rPr>
            </w:pPr>
            <w:r>
              <w:rPr>
                <w:rFonts w:ascii="Times New Roman" w:cs="Times New Roman" w:eastAsia="Times New Roman" w:hAnsi="Times New Roman"/>
                <w:sz w:val="14"/>
                <w:szCs w:val="14"/>
                <w:color w:val="auto"/>
                <w:w w:val="97"/>
              </w:rPr>
              <w:t>Identification No.)</w:t>
            </w:r>
          </w:p>
        </w:tc>
        <w:tc>
          <w:tcPr>
            <w:tcW w:w="0" w:type="dxa"/>
            <w:vAlign w:val="bottom"/>
          </w:tcPr>
          <w:p>
            <w:pPr>
              <w:spacing w:after="0"/>
              <w:rPr>
                <w:sz w:val="1"/>
                <w:szCs w:val="1"/>
                <w:color w:val="auto"/>
              </w:rPr>
            </w:pPr>
          </w:p>
        </w:tc>
      </w:tr>
      <w:tr>
        <w:trPr>
          <w:trHeight w:val="286"/>
        </w:trPr>
        <w:tc>
          <w:tcPr>
            <w:tcW w:w="3660" w:type="dxa"/>
            <w:vAlign w:val="bottom"/>
            <w:gridSpan w:val="2"/>
          </w:tcPr>
          <w:p>
            <w:pPr>
              <w:jc w:val="center"/>
              <w:ind w:left="1352"/>
              <w:spacing w:after="0"/>
              <w:rPr>
                <w:sz w:val="20"/>
                <w:szCs w:val="20"/>
                <w:color w:val="auto"/>
              </w:rPr>
            </w:pPr>
            <w:r>
              <w:rPr>
                <w:rFonts w:ascii="Times New Roman" w:cs="Times New Roman" w:eastAsia="Times New Roman" w:hAnsi="Times New Roman"/>
                <w:sz w:val="14"/>
                <w:szCs w:val="14"/>
                <w:b w:val="1"/>
                <w:bCs w:val="1"/>
                <w:color w:val="auto"/>
                <w:w w:val="97"/>
              </w:rPr>
              <w:t>1190 Trademark Drive, #108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60" w:type="dxa"/>
            <w:vAlign w:val="bottom"/>
            <w:tcBorders>
              <w:bottom w:val="single" w:sz="8" w:color="auto"/>
            </w:tcBorders>
            <w:gridSpan w:val="2"/>
          </w:tcPr>
          <w:p>
            <w:pPr>
              <w:jc w:val="center"/>
              <w:ind w:left="1352"/>
              <w:spacing w:after="0"/>
              <w:rPr>
                <w:sz w:val="20"/>
                <w:szCs w:val="20"/>
                <w:color w:val="auto"/>
              </w:rPr>
            </w:pPr>
            <w:r>
              <w:rPr>
                <w:rFonts w:ascii="Times New Roman" w:cs="Times New Roman" w:eastAsia="Times New Roman" w:hAnsi="Times New Roman"/>
                <w:sz w:val="14"/>
                <w:szCs w:val="14"/>
                <w:b w:val="1"/>
                <w:bCs w:val="1"/>
                <w:color w:val="auto"/>
                <w:w w:val="96"/>
              </w:rPr>
              <w:t>Reno, Nevada</w:t>
            </w: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2"/>
          </w:tcPr>
          <w:p>
            <w:pPr>
              <w:jc w:val="right"/>
              <w:ind w:right="2312"/>
              <w:spacing w:after="0"/>
              <w:rPr>
                <w:sz w:val="20"/>
                <w:szCs w:val="20"/>
                <w:color w:val="auto"/>
              </w:rPr>
            </w:pPr>
            <w:r>
              <w:rPr>
                <w:rFonts w:ascii="Times New Roman" w:cs="Times New Roman" w:eastAsia="Times New Roman" w:hAnsi="Times New Roman"/>
                <w:sz w:val="14"/>
                <w:szCs w:val="14"/>
                <w:b w:val="1"/>
                <w:bCs w:val="1"/>
                <w:color w:val="auto"/>
              </w:rPr>
              <w:t>89521</w:t>
            </w:r>
          </w:p>
        </w:tc>
        <w:tc>
          <w:tcPr>
            <w:tcW w:w="0" w:type="dxa"/>
            <w:vAlign w:val="bottom"/>
          </w:tcPr>
          <w:p>
            <w:pPr>
              <w:spacing w:after="0"/>
              <w:rPr>
                <w:sz w:val="1"/>
                <w:szCs w:val="1"/>
                <w:color w:val="auto"/>
              </w:rPr>
            </w:pPr>
          </w:p>
        </w:tc>
      </w:tr>
      <w:tr>
        <w:trPr>
          <w:trHeight w:val="181"/>
        </w:trPr>
        <w:tc>
          <w:tcPr>
            <w:tcW w:w="3660" w:type="dxa"/>
            <w:vAlign w:val="bottom"/>
            <w:gridSpan w:val="2"/>
          </w:tcPr>
          <w:p>
            <w:pPr>
              <w:jc w:val="center"/>
              <w:ind w:left="1352"/>
              <w:spacing w:after="0"/>
              <w:rPr>
                <w:sz w:val="20"/>
                <w:szCs w:val="20"/>
                <w:color w:val="auto"/>
              </w:rPr>
            </w:pPr>
            <w:r>
              <w:rPr>
                <w:rFonts w:ascii="Times New Roman" w:cs="Times New Roman" w:eastAsia="Times New Roman" w:hAnsi="Times New Roman"/>
                <w:sz w:val="14"/>
                <w:szCs w:val="14"/>
                <w:color w:val="auto"/>
                <w:w w:val="97"/>
              </w:rPr>
              <w:t>(Address of Principal Executive Offices)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20" w:type="dxa"/>
            <w:vAlign w:val="bottom"/>
          </w:tcPr>
          <w:p>
            <w:pPr>
              <w:jc w:val="center"/>
              <w:ind w:right="1892"/>
              <w:spacing w:after="0"/>
              <w:rPr>
                <w:sz w:val="20"/>
                <w:szCs w:val="20"/>
                <w:color w:val="auto"/>
              </w:rPr>
            </w:pPr>
            <w:r>
              <w:rPr>
                <w:rFonts w:ascii="Times New Roman" w:cs="Times New Roman" w:eastAsia="Times New Roman" w:hAnsi="Times New Roman"/>
                <w:sz w:val="14"/>
                <w:szCs w:val="14"/>
                <w:color w:val="auto"/>
                <w:w w:val="96"/>
              </w:rPr>
              <w:t>(Zip Code)</w:t>
            </w:r>
          </w:p>
        </w:tc>
        <w:tc>
          <w:tcPr>
            <w:tcW w:w="0" w:type="dxa"/>
            <w:vAlign w:val="bottom"/>
          </w:tcPr>
          <w:p>
            <w:pPr>
              <w:spacing w:after="0"/>
              <w:rPr>
                <w:sz w:val="1"/>
                <w:szCs w:val="1"/>
                <w:color w:val="auto"/>
              </w:rPr>
            </w:pPr>
          </w:p>
        </w:tc>
      </w:tr>
      <w:tr>
        <w:trPr>
          <w:trHeight w:val="266"/>
        </w:trPr>
        <w:tc>
          <w:tcPr>
            <w:tcW w:w="3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940" w:type="dxa"/>
            <w:vAlign w:val="bottom"/>
            <w:gridSpan w:val="6"/>
          </w:tcPr>
          <w:p>
            <w:pPr>
              <w:jc w:val="center"/>
              <w:ind w:left="1032"/>
              <w:spacing w:after="0"/>
              <w:rPr>
                <w:sz w:val="20"/>
                <w:szCs w:val="20"/>
                <w:color w:val="auto"/>
              </w:rPr>
            </w:pPr>
            <w:r>
              <w:rPr>
                <w:rFonts w:ascii="Times New Roman" w:cs="Times New Roman" w:eastAsia="Times New Roman" w:hAnsi="Times New Roman"/>
                <w:sz w:val="14"/>
                <w:szCs w:val="14"/>
                <w:b w:val="1"/>
                <w:bCs w:val="1"/>
                <w:color w:val="auto"/>
                <w:w w:val="95"/>
              </w:rPr>
              <w:t>(775) 622-3448</w:t>
            </w: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including area code)</w:t>
            </w:r>
          </w:p>
        </w:tc>
        <w:tc>
          <w:tcPr>
            <w:tcW w:w="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(Registrant’s telephone number,</w:t>
            </w:r>
          </w:p>
        </w:tc>
        <w:tc>
          <w:tcPr>
            <w:tcW w:w="13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3660" w:type="dxa"/>
            <w:vAlign w:val="bottom"/>
            <w:gridSpan w:val="2"/>
          </w:tcPr>
          <w:p>
            <w:pPr>
              <w:jc w:val="center"/>
              <w:ind w:left="212"/>
              <w:spacing w:after="0"/>
              <w:rPr>
                <w:sz w:val="20"/>
                <w:szCs w:val="20"/>
                <w:color w:val="auto"/>
              </w:rPr>
            </w:pPr>
            <w:r>
              <w:rPr>
                <w:rFonts w:ascii="Times New Roman" w:cs="Times New Roman" w:eastAsia="Times New Roman" w:hAnsi="Times New Roman"/>
                <w:sz w:val="14"/>
                <w:szCs w:val="14"/>
                <w:color w:val="auto"/>
                <w:w w:val="96"/>
              </w:rPr>
              <w:t>Title of each class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7"/>
          </w:tcPr>
          <w:p>
            <w:pPr>
              <w:jc w:val="center"/>
              <w:ind w:right="700"/>
              <w:spacing w:after="0"/>
              <w:rPr>
                <w:sz w:val="20"/>
                <w:szCs w:val="20"/>
                <w:color w:val="auto"/>
              </w:rPr>
            </w:pPr>
            <w:r>
              <w:rPr>
                <w:rFonts w:ascii="Times New Roman" w:cs="Times New Roman" w:eastAsia="Times New Roman" w:hAnsi="Times New Roman"/>
                <w:sz w:val="14"/>
                <w:szCs w:val="14"/>
                <w:color w:val="auto"/>
                <w:w w:val="97"/>
              </w:rPr>
              <w:t>Trading Symbol(s)</w:t>
            </w:r>
          </w:p>
        </w:tc>
        <w:tc>
          <w:tcPr>
            <w:tcW w:w="3440" w:type="dxa"/>
            <w:vAlign w:val="bottom"/>
            <w:gridSpan w:val="2"/>
          </w:tcPr>
          <w:p>
            <w:pPr>
              <w:jc w:val="center"/>
              <w:ind w:right="452"/>
              <w:spacing w:after="0"/>
              <w:rPr>
                <w:sz w:val="20"/>
                <w:szCs w:val="20"/>
                <w:color w:val="auto"/>
              </w:rPr>
            </w:pPr>
            <w:r>
              <w:rPr>
                <w:rFonts w:ascii="Times New Roman" w:cs="Times New Roman" w:eastAsia="Times New Roman" w:hAnsi="Times New Roman"/>
                <w:sz w:val="14"/>
                <w:szCs w:val="14"/>
                <w:color w:val="auto"/>
                <w:w w:val="96"/>
              </w:rPr>
              <w:t>Name of each exchange on which registered</w:t>
            </w:r>
          </w:p>
        </w:tc>
        <w:tc>
          <w:tcPr>
            <w:tcW w:w="0" w:type="dxa"/>
            <w:vAlign w:val="bottom"/>
          </w:tcPr>
          <w:p>
            <w:pPr>
              <w:spacing w:after="0"/>
              <w:rPr>
                <w:sz w:val="1"/>
                <w:szCs w:val="1"/>
                <w:color w:val="auto"/>
              </w:rPr>
            </w:pPr>
          </w:p>
        </w:tc>
      </w:tr>
      <w:tr>
        <w:trPr>
          <w:trHeight w:val="133"/>
        </w:trPr>
        <w:tc>
          <w:tcPr>
            <w:tcW w:w="3660" w:type="dxa"/>
            <w:vAlign w:val="bottom"/>
            <w:tcBorders>
              <w:top w:val="single" w:sz="8" w:color="auto"/>
            </w:tcBorders>
            <w:gridSpan w:val="2"/>
          </w:tcPr>
          <w:p>
            <w:pPr>
              <w:jc w:val="center"/>
              <w:ind w:left="212"/>
              <w:spacing w:after="0" w:line="133" w:lineRule="exact"/>
              <w:rPr>
                <w:sz w:val="20"/>
                <w:szCs w:val="20"/>
                <w:color w:val="auto"/>
              </w:rPr>
            </w:pPr>
            <w:r>
              <w:rPr>
                <w:rFonts w:ascii="Times New Roman" w:cs="Times New Roman" w:eastAsia="Times New Roman" w:hAnsi="Times New Roman"/>
                <w:sz w:val="14"/>
                <w:szCs w:val="14"/>
                <w:color w:val="auto"/>
                <w:w w:val="97"/>
              </w:rPr>
              <w:t>Common stock, par value $0.0001 per share</w:t>
            </w:r>
          </w:p>
        </w:tc>
        <w:tc>
          <w:tcPr>
            <w:tcW w:w="2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4"/>
          </w:tcPr>
          <w:p>
            <w:pPr>
              <w:jc w:val="center"/>
              <w:ind w:right="572"/>
              <w:spacing w:after="0" w:line="133" w:lineRule="exact"/>
              <w:rPr>
                <w:sz w:val="20"/>
                <w:szCs w:val="20"/>
                <w:color w:val="auto"/>
              </w:rPr>
            </w:pPr>
            <w:r>
              <w:rPr>
                <w:rFonts w:ascii="Times New Roman" w:cs="Times New Roman" w:eastAsia="Times New Roman" w:hAnsi="Times New Roman"/>
                <w:sz w:val="14"/>
                <w:szCs w:val="14"/>
                <w:color w:val="auto"/>
                <w:w w:val="96"/>
              </w:rPr>
              <w:t>DFLI</w:t>
            </w:r>
          </w:p>
        </w:tc>
        <w:tc>
          <w:tcPr>
            <w:tcW w:w="2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120" w:type="dxa"/>
            <w:vAlign w:val="bottom"/>
            <w:tcBorders>
              <w:top w:val="single" w:sz="8" w:color="auto"/>
            </w:tcBorders>
          </w:tcPr>
          <w:p>
            <w:pPr>
              <w:jc w:val="center"/>
              <w:ind w:right="772"/>
              <w:spacing w:after="0" w:line="133" w:lineRule="exact"/>
              <w:rPr>
                <w:sz w:val="20"/>
                <w:szCs w:val="20"/>
                <w:color w:val="auto"/>
              </w:rPr>
            </w:pPr>
            <w:r>
              <w:rPr>
                <w:rFonts w:ascii="Times New Roman" w:cs="Times New Roman" w:eastAsia="Times New Roman" w:hAnsi="Times New Roman"/>
                <w:sz w:val="14"/>
                <w:szCs w:val="14"/>
                <w:color w:val="auto"/>
                <w:w w:val="96"/>
              </w:rPr>
              <w:t>The Nasdaq Global Market</w:t>
            </w:r>
          </w:p>
        </w:tc>
        <w:tc>
          <w:tcPr>
            <w:tcW w:w="0" w:type="dxa"/>
            <w:vAlign w:val="bottom"/>
          </w:tcPr>
          <w:p>
            <w:pPr>
              <w:spacing w:after="0"/>
              <w:rPr>
                <w:sz w:val="1"/>
                <w:szCs w:val="1"/>
                <w:color w:val="auto"/>
              </w:rPr>
            </w:pPr>
          </w:p>
        </w:tc>
      </w:tr>
      <w:tr>
        <w:trPr>
          <w:trHeight w:val="156"/>
        </w:trPr>
        <w:tc>
          <w:tcPr>
            <w:tcW w:w="6920" w:type="dxa"/>
            <w:vAlign w:val="bottom"/>
            <w:gridSpan w:val="11"/>
          </w:tcPr>
          <w:p>
            <w:pPr>
              <w:jc w:val="center"/>
              <w:ind w:right="2980"/>
              <w:spacing w:after="0" w:line="156" w:lineRule="exact"/>
              <w:rPr>
                <w:sz w:val="20"/>
                <w:szCs w:val="20"/>
                <w:color w:val="auto"/>
              </w:rPr>
            </w:pPr>
            <w:r>
              <w:rPr>
                <w:rFonts w:ascii="Times New Roman" w:cs="Times New Roman" w:eastAsia="Times New Roman" w:hAnsi="Times New Roman"/>
                <w:sz w:val="14"/>
                <w:szCs w:val="14"/>
                <w:color w:val="auto"/>
                <w:w w:val="97"/>
              </w:rPr>
              <w:t>Redeemable Warrants, exercisable for common stock at an exercise</w:t>
            </w:r>
          </w:p>
        </w:tc>
        <w:tc>
          <w:tcPr>
            <w:tcW w:w="3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660" w:type="dxa"/>
            <w:vAlign w:val="bottom"/>
            <w:gridSpan w:val="2"/>
          </w:tcPr>
          <w:p>
            <w:pPr>
              <w:jc w:val="center"/>
              <w:ind w:left="212"/>
              <w:spacing w:after="0"/>
              <w:rPr>
                <w:sz w:val="20"/>
                <w:szCs w:val="20"/>
                <w:color w:val="auto"/>
              </w:rPr>
            </w:pPr>
            <w:r>
              <w:rPr>
                <w:rFonts w:ascii="Times New Roman" w:cs="Times New Roman" w:eastAsia="Times New Roman" w:hAnsi="Times New Roman"/>
                <w:sz w:val="14"/>
                <w:szCs w:val="14"/>
                <w:color w:val="auto"/>
                <w:w w:val="97"/>
              </w:rPr>
              <w:t>price of $11.50 per share, subject to adjustment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60" w:type="dxa"/>
            <w:vAlign w:val="bottom"/>
            <w:gridSpan w:val="6"/>
          </w:tcPr>
          <w:p>
            <w:pPr>
              <w:jc w:val="center"/>
              <w:ind w:right="1320"/>
              <w:spacing w:after="0"/>
              <w:rPr>
                <w:sz w:val="20"/>
                <w:szCs w:val="20"/>
                <w:color w:val="auto"/>
              </w:rPr>
            </w:pPr>
            <w:r>
              <w:rPr>
                <w:rFonts w:ascii="Times New Roman" w:cs="Times New Roman" w:eastAsia="Times New Roman" w:hAnsi="Times New Roman"/>
                <w:sz w:val="14"/>
                <w:szCs w:val="14"/>
                <w:color w:val="auto"/>
                <w:w w:val="99"/>
              </w:rPr>
              <w:t>DFLIW</w:t>
            </w:r>
          </w:p>
        </w:tc>
        <w:tc>
          <w:tcPr>
            <w:tcW w:w="320" w:type="dxa"/>
            <w:vAlign w:val="bottom"/>
          </w:tcPr>
          <w:p>
            <w:pPr>
              <w:spacing w:after="0"/>
              <w:rPr>
                <w:sz w:val="15"/>
                <w:szCs w:val="15"/>
                <w:color w:val="auto"/>
              </w:rPr>
            </w:pPr>
          </w:p>
        </w:tc>
        <w:tc>
          <w:tcPr>
            <w:tcW w:w="3120" w:type="dxa"/>
            <w:vAlign w:val="bottom"/>
          </w:tcPr>
          <w:p>
            <w:pPr>
              <w:jc w:val="center"/>
              <w:ind w:right="752"/>
              <w:spacing w:after="0"/>
              <w:rPr>
                <w:sz w:val="20"/>
                <w:szCs w:val="20"/>
                <w:color w:val="auto"/>
              </w:rPr>
            </w:pPr>
            <w:r>
              <w:rPr>
                <w:rFonts w:ascii="Times New Roman" w:cs="Times New Roman" w:eastAsia="Times New Roman" w:hAnsi="Times New Roman"/>
                <w:sz w:val="14"/>
                <w:szCs w:val="14"/>
                <w:color w:val="auto"/>
                <w:w w:val="96"/>
              </w:rPr>
              <w:t>The Nasdaq Capital Market</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u w:val="single" w:color="auto"/>
          <w:color w:val="auto"/>
        </w:rPr>
        <w:t>None</w:t>
      </w:r>
      <w:r>
        <w:rPr>
          <w:rFonts w:ascii="Times New Roman" w:cs="Times New Roman" w:eastAsia="Times New Roman" w:hAnsi="Times New Roman"/>
          <w:sz w:val="14"/>
          <w:szCs w:val="14"/>
          <w:color w:val="auto"/>
        </w:rPr>
        <w: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Segoe UI" w:cs="Segoe UI" w:eastAsia="Segoe UI" w:hAnsi="Segoe UI"/>
          <w:sz w:val="14"/>
          <w:szCs w:val="14"/>
          <w:b w:val="1"/>
          <w:bCs w:val="1"/>
          <w:color w:val="auto"/>
        </w:rPr>
        <w:t>տ</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b w:val="1"/>
          <w:bCs w:val="1"/>
          <w:color w:val="auto"/>
        </w:rPr>
        <w:t>ց</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Segoe UI" w:cs="Segoe UI" w:eastAsia="Segoe UI" w:hAnsi="Segoe UI"/>
          <w:sz w:val="14"/>
          <w:szCs w:val="14"/>
          <w:b w:val="1"/>
          <w:bCs w:val="1"/>
          <w:color w:val="auto"/>
        </w:rPr>
        <w:t>տ</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b w:val="1"/>
          <w:bCs w:val="1"/>
          <w:color w:val="auto"/>
        </w:rPr>
        <w:t>ց</w:t>
      </w:r>
    </w:p>
    <w:p>
      <w:pPr>
        <w:spacing w:after="0" w:line="175"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4"/>
          <w:szCs w:val="14"/>
          <w:b w:val="1"/>
          <w:bCs w:val="1"/>
          <w:color w:val="auto"/>
        </w:rPr>
        <w:t>ց</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b w:val="1"/>
          <w:bCs w:val="1"/>
          <w:color w:val="auto"/>
        </w:rPr>
        <w:t>տ</w:t>
      </w:r>
    </w:p>
    <w:p>
      <w:pPr>
        <w:jc w:val="both"/>
        <w:ind w:right="20"/>
        <w:spacing w:after="0" w:line="32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Segoe UI" w:cs="Segoe UI" w:eastAsia="Segoe UI" w:hAnsi="Segoe UI"/>
          <w:sz w:val="14"/>
          <w:szCs w:val="14"/>
          <w:b w:val="1"/>
          <w:bCs w:val="1"/>
          <w:color w:val="auto"/>
        </w:rPr>
        <w:t>ց</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b w:val="1"/>
          <w:bCs w:val="1"/>
          <w:color w:val="auto"/>
        </w:rPr>
        <w:t>տ</w:t>
      </w:r>
    </w:p>
    <w:p>
      <w:pPr>
        <w:jc w:val="both"/>
        <w:ind w:right="20"/>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160" w:type="dxa"/>
            <w:vAlign w:val="bottom"/>
          </w:tcPr>
          <w:p>
            <w:pPr>
              <w:ind w:left="700"/>
              <w:spacing w:after="0"/>
              <w:rPr>
                <w:sz w:val="20"/>
                <w:szCs w:val="20"/>
                <w:color w:val="auto"/>
              </w:rPr>
            </w:pPr>
            <w:r>
              <w:rPr>
                <w:rFonts w:ascii="Segoe UI" w:cs="Segoe UI" w:eastAsia="Segoe UI" w:hAnsi="Segoe UI"/>
                <w:sz w:val="14"/>
                <w:szCs w:val="14"/>
                <w:b w:val="1"/>
                <w:bCs w:val="1"/>
                <w:color w:val="auto"/>
              </w:rPr>
              <w:t>տ</w:t>
            </w:r>
          </w:p>
        </w:tc>
        <w:tc>
          <w:tcPr>
            <w:tcW w:w="4420" w:type="dxa"/>
            <w:vAlign w:val="bottom"/>
          </w:tcPr>
          <w:p>
            <w:pPr>
              <w:ind w:left="2360"/>
              <w:spacing w:after="0"/>
              <w:rPr>
                <w:sz w:val="20"/>
                <w:szCs w:val="20"/>
                <w:color w:val="auto"/>
              </w:rPr>
            </w:pPr>
            <w:r>
              <w:rPr>
                <w:rFonts w:ascii="Times New Roman" w:cs="Times New Roman" w:eastAsia="Times New Roman" w:hAnsi="Times New Roman"/>
                <w:sz w:val="14"/>
                <w:szCs w:val="14"/>
                <w:color w:val="auto"/>
              </w:rPr>
              <w:t>Accelerated filer</w:t>
            </w:r>
          </w:p>
        </w:tc>
        <w:tc>
          <w:tcPr>
            <w:tcW w:w="680" w:type="dxa"/>
            <w:vAlign w:val="bottom"/>
          </w:tcPr>
          <w:p>
            <w:pPr>
              <w:ind w:left="560"/>
              <w:spacing w:after="0"/>
              <w:rPr>
                <w:sz w:val="20"/>
                <w:szCs w:val="20"/>
                <w:color w:val="auto"/>
              </w:rPr>
            </w:pPr>
            <w:r>
              <w:rPr>
                <w:rFonts w:ascii="Segoe UI" w:cs="Segoe UI" w:eastAsia="Segoe UI" w:hAnsi="Segoe UI"/>
                <w:sz w:val="14"/>
                <w:szCs w:val="14"/>
                <w:b w:val="1"/>
                <w:bCs w:val="1"/>
                <w:color w:val="auto"/>
                <w:w w:val="78"/>
              </w:rPr>
              <w:t>տ</w:t>
            </w:r>
          </w:p>
        </w:tc>
      </w:tr>
      <w:tr>
        <w:trPr>
          <w:trHeight w:val="156"/>
        </w:trPr>
        <w:tc>
          <w:tcPr>
            <w:tcW w:w="19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Non-accelerated filer</w:t>
            </w:r>
          </w:p>
        </w:tc>
        <w:tc>
          <w:tcPr>
            <w:tcW w:w="3160" w:type="dxa"/>
            <w:vAlign w:val="bottom"/>
          </w:tcPr>
          <w:p>
            <w:pPr>
              <w:ind w:left="700"/>
              <w:spacing w:after="0" w:line="156" w:lineRule="exact"/>
              <w:rPr>
                <w:sz w:val="20"/>
                <w:szCs w:val="20"/>
                <w:color w:val="auto"/>
              </w:rPr>
            </w:pPr>
            <w:r>
              <w:rPr>
                <w:rFonts w:ascii="Segoe UI" w:cs="Segoe UI" w:eastAsia="Segoe UI" w:hAnsi="Segoe UI"/>
                <w:sz w:val="14"/>
                <w:szCs w:val="14"/>
                <w:b w:val="1"/>
                <w:bCs w:val="1"/>
                <w:color w:val="auto"/>
              </w:rPr>
              <w:t>ց</w:t>
            </w:r>
          </w:p>
        </w:tc>
        <w:tc>
          <w:tcPr>
            <w:tcW w:w="4420" w:type="dxa"/>
            <w:vAlign w:val="bottom"/>
          </w:tcPr>
          <w:p>
            <w:pPr>
              <w:ind w:left="2360"/>
              <w:spacing w:after="0" w:line="156" w:lineRule="exact"/>
              <w:rPr>
                <w:sz w:val="20"/>
                <w:szCs w:val="20"/>
                <w:color w:val="auto"/>
              </w:rPr>
            </w:pPr>
            <w:r>
              <w:rPr>
                <w:rFonts w:ascii="Times New Roman" w:cs="Times New Roman" w:eastAsia="Times New Roman" w:hAnsi="Times New Roman"/>
                <w:sz w:val="14"/>
                <w:szCs w:val="14"/>
                <w:color w:val="auto"/>
              </w:rPr>
              <w:t>Smaller reporting company</w:t>
            </w:r>
          </w:p>
        </w:tc>
        <w:tc>
          <w:tcPr>
            <w:tcW w:w="680" w:type="dxa"/>
            <w:vAlign w:val="bottom"/>
          </w:tcPr>
          <w:p>
            <w:pPr>
              <w:ind w:left="560"/>
              <w:spacing w:after="0" w:line="156" w:lineRule="exact"/>
              <w:rPr>
                <w:sz w:val="20"/>
                <w:szCs w:val="20"/>
                <w:color w:val="auto"/>
              </w:rPr>
            </w:pPr>
            <w:r>
              <w:rPr>
                <w:rFonts w:ascii="Segoe UI" w:cs="Segoe UI" w:eastAsia="Segoe UI" w:hAnsi="Segoe UI"/>
                <w:sz w:val="14"/>
                <w:szCs w:val="14"/>
                <w:b w:val="1"/>
                <w:bCs w:val="1"/>
                <w:color w:val="auto"/>
              </w:rPr>
              <w:t>ց</w:t>
            </w:r>
          </w:p>
        </w:tc>
      </w:tr>
      <w:tr>
        <w:trPr>
          <w:trHeight w:val="308"/>
        </w:trPr>
        <w:tc>
          <w:tcPr>
            <w:tcW w:w="19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20" w:type="dxa"/>
            <w:vAlign w:val="bottom"/>
          </w:tcPr>
          <w:p>
            <w:pPr>
              <w:ind w:left="2360"/>
              <w:spacing w:after="0"/>
              <w:rPr>
                <w:sz w:val="20"/>
                <w:szCs w:val="20"/>
                <w:color w:val="auto"/>
              </w:rPr>
            </w:pPr>
            <w:r>
              <w:rPr>
                <w:rFonts w:ascii="Times New Roman" w:cs="Times New Roman" w:eastAsia="Times New Roman" w:hAnsi="Times New Roman"/>
                <w:sz w:val="14"/>
                <w:szCs w:val="14"/>
                <w:color w:val="auto"/>
              </w:rPr>
              <w:t>Emerging growth company</w:t>
            </w:r>
          </w:p>
        </w:tc>
        <w:tc>
          <w:tcPr>
            <w:tcW w:w="680" w:type="dxa"/>
            <w:vAlign w:val="bottom"/>
          </w:tcPr>
          <w:p>
            <w:pPr>
              <w:ind w:left="560"/>
              <w:spacing w:after="0"/>
              <w:rPr>
                <w:sz w:val="20"/>
                <w:szCs w:val="20"/>
                <w:color w:val="auto"/>
              </w:rPr>
            </w:pPr>
            <w:r>
              <w:rPr>
                <w:rFonts w:ascii="Segoe UI" w:cs="Segoe UI" w:eastAsia="Segoe UI" w:hAnsi="Segoe UI"/>
                <w:sz w:val="14"/>
                <w:szCs w:val="14"/>
                <w:b w:val="1"/>
                <w:bCs w:val="1"/>
                <w:color w:val="auto"/>
              </w:rPr>
              <w:t>ց</w:t>
            </w:r>
          </w:p>
        </w:tc>
      </w:tr>
    </w:tbl>
    <w:p>
      <w:pPr>
        <w:spacing w:after="0" w:line="7" w:lineRule="exact"/>
        <w:rPr>
          <w:sz w:val="20"/>
          <w:szCs w:val="20"/>
          <w:color w:val="auto"/>
        </w:rPr>
      </w:pPr>
    </w:p>
    <w:p>
      <w:pPr>
        <w:ind w:right="20"/>
        <w:spacing w:after="0" w:line="324"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4"/>
          <w:szCs w:val="14"/>
          <w:b w:val="1"/>
          <w:bCs w:val="1"/>
          <w:color w:val="auto"/>
        </w:rPr>
        <w:t>տ</w:t>
      </w:r>
    </w:p>
    <w:p>
      <w:pPr>
        <w:ind w:right="20"/>
        <w:spacing w:after="0" w:line="32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4"/>
          <w:szCs w:val="14"/>
          <w:b w:val="1"/>
          <w:bCs w:val="1"/>
          <w:color w:val="auto"/>
        </w:rPr>
        <w:t>տ</w:t>
      </w:r>
    </w:p>
    <w:p>
      <w:pPr>
        <w:ind w:right="20"/>
        <w:spacing w:after="0" w:line="323"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statements. </w:t>
      </w:r>
      <w:r>
        <w:rPr>
          <w:rFonts w:ascii="Segoe UI" w:cs="Segoe UI" w:eastAsia="Segoe UI" w:hAnsi="Segoe UI"/>
          <w:sz w:val="14"/>
          <w:szCs w:val="14"/>
          <w:b w:val="1"/>
          <w:bCs w:val="1"/>
          <w:color w:val="auto"/>
        </w:rPr>
        <w:t>տ</w:t>
      </w:r>
    </w:p>
    <w:p>
      <w:pPr>
        <w:spacing w:after="0" w:line="1"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Segoe UI" w:cs="Segoe UI" w:eastAsia="Segoe UI" w:hAnsi="Segoe UI"/>
          <w:sz w:val="14"/>
          <w:szCs w:val="14"/>
          <w:b w:val="1"/>
          <w:bCs w:val="1"/>
          <w:color w:val="auto"/>
        </w:rPr>
        <w:t>տ</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Segoe UI" w:cs="Segoe UI" w:eastAsia="Segoe UI" w:hAnsi="Segoe UI"/>
          <w:sz w:val="14"/>
          <w:szCs w:val="14"/>
          <w:b w:val="1"/>
          <w:bCs w:val="1"/>
          <w:color w:val="auto"/>
        </w:rPr>
        <w:t>տ</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b w:val="1"/>
          <w:bCs w:val="1"/>
          <w:color w:val="auto"/>
        </w:rPr>
        <w:t>ց</w:t>
      </w:r>
    </w:p>
    <w:p>
      <w:pPr>
        <w:spacing w:after="0" w:line="175" w:lineRule="exact"/>
        <w:rPr>
          <w:sz w:val="20"/>
          <w:szCs w:val="20"/>
          <w:color w:val="auto"/>
        </w:rPr>
      </w:pPr>
    </w:p>
    <w:p>
      <w:pPr>
        <w:ind w:right="20"/>
        <w:spacing w:after="0" w:line="345" w:lineRule="auto"/>
        <w:rPr>
          <w:sz w:val="20"/>
          <w:szCs w:val="20"/>
          <w:color w:val="auto"/>
        </w:rPr>
      </w:pPr>
      <w:r>
        <w:rPr>
          <w:rFonts w:ascii="Times New Roman" w:cs="Times New Roman" w:eastAsia="Times New Roman" w:hAnsi="Times New Roman"/>
          <w:sz w:val="12"/>
          <w:szCs w:val="12"/>
          <w:color w:val="auto"/>
        </w:rPr>
        <w:t>The aggregate market value of voting stock held by non-affiliates of the Registrant on June 30, 2022, based on the closing price of $10.1499 for shares of the registrant’s common stock as reported by the Nasdaq Global Market, was approximately $128.4 million. Shares of common stock beneficially owned by each executive officer, director, and holder of more than 10% of</w:t>
      </w:r>
    </w:p>
    <w:p>
      <w:pPr>
        <w:sectPr>
          <w:pgSz w:w="12240" w:h="15840" w:orient="portrait"/>
          <w:cols w:equalWidth="0" w:num="1">
            <w:col w:w="10360"/>
          </w:cols>
          <w:pgMar w:left="940" w:top="1307" w:right="940" w:bottom="275" w:gutter="0" w:footer="0" w:header="0"/>
        </w:sectPr>
      </w:pPr>
    </w:p>
    <w:bookmarkStart w:id="97" w:name="page98"/>
    <w:bookmarkEnd w:id="97"/>
    <w:p>
      <w:pPr>
        <w:ind w:right="20"/>
        <w:spacing w:after="0" w:line="263" w:lineRule="auto"/>
        <w:rPr>
          <w:sz w:val="20"/>
          <w:szCs w:val="20"/>
          <w:color w:val="auto"/>
        </w:rPr>
      </w:pPr>
      <w:r>
        <w:rPr>
          <w:rFonts w:ascii="Times New Roman" w:cs="Times New Roman" w:eastAsia="Times New Roman" w:hAnsi="Times New Roman"/>
          <w:sz w:val="14"/>
          <w:szCs w:val="14"/>
          <w:color w:val="auto"/>
        </w:rPr>
        <w:t>our common stock have been excluded in that such persons may be deemed to be affiliates. This determination of affiliate status is not necessarily a conclusive determination for other purposes.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21, 2023, there were 45,794,923 shares of the registrant’s common stock, par value $0.0001 per share, issued and outstanding.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8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308"/>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None.</w:t>
            </w:r>
          </w:p>
        </w:tc>
        <w:tc>
          <w:tcPr>
            <w:tcW w:w="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Audit Firm ID</w:t>
            </w:r>
          </w:p>
        </w:tc>
        <w:tc>
          <w:tcPr>
            <w:tcW w:w="80" w:type="dxa"/>
            <w:vAlign w:val="bottom"/>
          </w:tcPr>
          <w:p>
            <w:pPr>
              <w:spacing w:after="0"/>
              <w:rPr>
                <w:sz w:val="24"/>
                <w:szCs w:val="24"/>
                <w:color w:val="auto"/>
              </w:rPr>
            </w:pPr>
          </w:p>
        </w:tc>
        <w:tc>
          <w:tcPr>
            <w:tcW w:w="508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4"/>
                <w:szCs w:val="14"/>
                <w:b w:val="1"/>
                <w:bCs w:val="1"/>
                <w:color w:val="auto"/>
              </w:rPr>
              <w:t>Auditor Name</w:t>
            </w:r>
          </w:p>
        </w:tc>
        <w:tc>
          <w:tcPr>
            <w:tcW w:w="100" w:type="dxa"/>
            <w:vAlign w:val="bottom"/>
          </w:tcPr>
          <w:p>
            <w:pPr>
              <w:spacing w:after="0"/>
              <w:rPr>
                <w:sz w:val="24"/>
                <w:szCs w:val="24"/>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Auditor Location</w:t>
            </w:r>
          </w:p>
        </w:tc>
      </w:tr>
      <w:tr>
        <w:trPr>
          <w:trHeight w:val="181"/>
        </w:trPr>
        <w:tc>
          <w:tcPr>
            <w:tcW w:w="20" w:type="dxa"/>
            <w:vAlign w:val="bottom"/>
          </w:tcPr>
          <w:p>
            <w:pPr>
              <w:spacing w:after="0"/>
              <w:rPr>
                <w:sz w:val="15"/>
                <w:szCs w:val="15"/>
                <w:color w:val="auto"/>
              </w:rPr>
            </w:pPr>
          </w:p>
        </w:tc>
        <w:tc>
          <w:tcPr>
            <w:tcW w:w="2480" w:type="dxa"/>
            <w:vAlign w:val="bottom"/>
          </w:tcPr>
          <w:p>
            <w:pPr>
              <w:jc w:val="right"/>
              <w:ind w:right="1092"/>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5"/>
                <w:szCs w:val="15"/>
                <w:color w:val="auto"/>
              </w:rPr>
            </w:pPr>
          </w:p>
        </w:tc>
        <w:tc>
          <w:tcPr>
            <w:tcW w:w="508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BDO USA LLP</w:t>
            </w:r>
          </w:p>
        </w:tc>
        <w:tc>
          <w:tcPr>
            <w:tcW w:w="100" w:type="dxa"/>
            <w:vAlign w:val="bottom"/>
          </w:tcPr>
          <w:p>
            <w:pPr>
              <w:spacing w:after="0"/>
              <w:rPr>
                <w:sz w:val="15"/>
                <w:szCs w:val="15"/>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Spokane, Washington</w:t>
            </w:r>
          </w:p>
        </w:tc>
      </w:tr>
      <w:tr>
        <w:trPr>
          <w:trHeight w:val="531"/>
        </w:trPr>
        <w:tc>
          <w:tcPr>
            <w:tcW w:w="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6593840" cy="863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56">
                      <a:extLst>
                        <a:ext uri="{28A0092B-C50C-407E-A947-70E740481C1C}"/>
                      </a:extLst>
                    </a:blip>
                    <a:srcRect/>
                    <a:stretch>
                      <a:fillRect/>
                    </a:stretch>
                  </pic:blipFill>
                  <pic:spPr bwMode="auto">
                    <a:xfrm>
                      <a:off x="0" y="0"/>
                      <a:ext cx="6593840" cy="86360"/>
                    </a:xfrm>
                    <a:prstGeom prst="rect">
                      <a:avLst/>
                    </a:prstGeom>
                    <a:noFill/>
                  </pic:spPr>
                </pic:pic>
              </a:graphicData>
            </a:graphic>
          </wp:anchor>
        </w:drawing>
      </w:r>
    </w:p>
    <w:p>
      <w:pPr>
        <w:sectPr>
          <w:pgSz w:w="12240" w:h="15840" w:orient="portrait"/>
          <w:cols w:equalWidth="0" w:num="1">
            <w:col w:w="10360"/>
          </w:cols>
          <w:pgMar w:left="940" w:top="843" w:right="940"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52"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This Amendment No. 1 on Form 10-K/A (this “</w:t>
      </w:r>
      <w:r>
        <w:rPr>
          <w:rFonts w:ascii="Times New Roman" w:cs="Times New Roman" w:eastAsia="Times New Roman" w:hAnsi="Times New Roman"/>
          <w:sz w:val="14"/>
          <w:szCs w:val="14"/>
          <w:b w:val="1"/>
          <w:bCs w:val="1"/>
          <w:color w:val="auto"/>
        </w:rPr>
        <w:t>Amendment No. 1</w:t>
      </w:r>
      <w:r>
        <w:rPr>
          <w:rFonts w:ascii="Times New Roman" w:cs="Times New Roman" w:eastAsia="Times New Roman" w:hAnsi="Times New Roman"/>
          <w:sz w:val="14"/>
          <w:szCs w:val="14"/>
          <w:color w:val="auto"/>
        </w:rPr>
        <w:t>”) amends the Annual Report on Form 10-K for the fiscal year ended December 31, 2022 (the “</w:t>
      </w:r>
      <w:r>
        <w:rPr>
          <w:rFonts w:ascii="Times New Roman" w:cs="Times New Roman" w:eastAsia="Times New Roman" w:hAnsi="Times New Roman"/>
          <w:sz w:val="14"/>
          <w:szCs w:val="14"/>
          <w:b w:val="1"/>
          <w:bCs w:val="1"/>
          <w:color w:val="auto"/>
        </w:rPr>
        <w:t>2022 Annual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Report</w:t>
      </w:r>
      <w:r>
        <w:rPr>
          <w:rFonts w:ascii="Times New Roman" w:cs="Times New Roman" w:eastAsia="Times New Roman" w:hAnsi="Times New Roman"/>
          <w:sz w:val="14"/>
          <w:szCs w:val="14"/>
          <w:color w:val="auto"/>
        </w:rPr>
        <w:t>”) of Dragonfly Energy Holdings Corp. filed with the Securities and Exchange Commission (“</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on April 17, 2023. In this Amendment No. 1, unless the context indicates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otherwise, the designations “Dragonfly,” the “Company,” “we,” “us” or “our” refer to Dragonfly Energy Holdings, Corp.</w:t>
      </w:r>
    </w:p>
    <w:p>
      <w:pPr>
        <w:spacing w:after="0" w:line="128" w:lineRule="exact"/>
        <w:rPr>
          <w:sz w:val="20"/>
          <w:szCs w:val="20"/>
          <w:color w:val="auto"/>
        </w:rPr>
      </w:pPr>
    </w:p>
    <w:p>
      <w:pPr>
        <w:jc w:val="both"/>
        <w:ind w:firstLine="490"/>
        <w:spacing w:after="0" w:line="239" w:lineRule="auto"/>
        <w:rPr>
          <w:sz w:val="20"/>
          <w:szCs w:val="20"/>
          <w:color w:val="auto"/>
        </w:rPr>
      </w:pPr>
      <w:r>
        <w:rPr>
          <w:rFonts w:ascii="Times New Roman" w:cs="Times New Roman" w:eastAsia="Times New Roman" w:hAnsi="Times New Roman"/>
          <w:sz w:val="14"/>
          <w:szCs w:val="14"/>
          <w:color w:val="auto"/>
        </w:rPr>
        <w:t>This Amendment No. 1 is being filed solely to include information required by Item 10 - “Directors, Executive Officers and Corporate Governance”, Item 11 - “Executive Compensation”, Item 12 - “Security Ownership of Certain Beneficial Owners and Management and Related Stockholder Matters”, Item 13 - “Certain Relationships and Related Transactions, and Director Independence” and Item 14 - “Principal Accounting Fees and Services” of Part III of Form 10-K. The reference on the cover page of the 2022 Annual Report to the incorporation by reference of portions of our definitive proxy statement into Part III of the 2022 Annual Report is hereby deleted. Items 10, 11, 12, 13 and 14 of Part III of the 2022 Annual Report are amended and restated in their entirety as set forth in this Amendment No. 1. In addition, pursuant to Rule 13a-14(a) of the Securities Exchange Act of 1934, as amended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we are including with this Amendment No. 1 certain currently dated certifications. We are not including the certifications under Section 906 of the Sarbanes-Oxley Act of 2002 (“</w:t>
      </w:r>
      <w:r>
        <w:rPr>
          <w:rFonts w:ascii="Times New Roman" w:cs="Times New Roman" w:eastAsia="Times New Roman" w:hAnsi="Times New Roman"/>
          <w:sz w:val="14"/>
          <w:szCs w:val="14"/>
          <w:b w:val="1"/>
          <w:bCs w:val="1"/>
          <w:color w:val="auto"/>
        </w:rPr>
        <w:t>Sarbanes-Oxley Act</w:t>
      </w:r>
      <w:r>
        <w:rPr>
          <w:rFonts w:ascii="Times New Roman" w:cs="Times New Roman" w:eastAsia="Times New Roman" w:hAnsi="Times New Roman"/>
          <w:sz w:val="14"/>
          <w:szCs w:val="14"/>
          <w:color w:val="auto"/>
        </w:rPr>
        <w:t>”) as no financial statements are being filed with this Amendment No. 1.</w:t>
      </w:r>
    </w:p>
    <w:p>
      <w:pPr>
        <w:spacing w:after="0" w:line="128"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Except as described above, no other amendments are being made to the Annual Report. This Amendment No. 1 does not reflect events occurring after the April 17, 2023 filing of the 2022 Annual Report or modify or update the disclosure contained in the 2022 Annual Report in any way other than as required to reflect the amendments discussed above and reflected below. Accordingly, this Amendment No. 1 should be read in conjunction with the 2022 Annual Report and our other filings with the SEC.</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12065</wp:posOffset>
                </wp:positionV>
                <wp:extent cx="6568440"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8440"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95pt" to="517.6pt,0.95pt" o:allowincell="f" strokecolor="#000000" strokeweight="1.2pt"/>
            </w:pict>
          </mc:Fallback>
        </mc:AlternateContent>
      </w:r>
    </w:p>
    <w:p>
      <w:pPr>
        <w:sectPr>
          <w:pgSz w:w="12240" w:h="15840" w:orient="portrait"/>
          <w:cols w:equalWidth="0" w:num="1">
            <w:col w:w="10340"/>
          </w:cols>
          <w:pgMar w:left="940" w:top="1154" w:right="96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7"/>
        </w:trPr>
        <w:tc>
          <w:tcPr>
            <w:tcW w:w="600" w:type="dxa"/>
            <w:vAlign w:val="bottom"/>
          </w:tcPr>
          <w:p>
            <w:pPr>
              <w:spacing w:after="0"/>
              <w:rPr>
                <w:sz w:val="16"/>
                <w:szCs w:val="16"/>
                <w:color w:val="auto"/>
              </w:rPr>
            </w:pPr>
          </w:p>
        </w:tc>
        <w:tc>
          <w:tcPr>
            <w:tcW w:w="9260" w:type="dxa"/>
            <w:vAlign w:val="bottom"/>
          </w:tcPr>
          <w:p>
            <w:pPr>
              <w:ind w:left="38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19"/>
        </w:trPr>
        <w:tc>
          <w:tcPr>
            <w:tcW w:w="60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PAGE</w:t>
            </w:r>
          </w:p>
        </w:tc>
        <w:tc>
          <w:tcPr>
            <w:tcW w:w="20" w:type="dxa"/>
            <w:vAlign w:val="bottom"/>
            <w:tcBorders>
              <w:bottom w:val="single" w:sz="8" w:color="auto"/>
            </w:tcBorders>
          </w:tcPr>
          <w:p>
            <w:pPr>
              <w:spacing w:after="0"/>
              <w:rPr>
                <w:sz w:val="24"/>
                <w:szCs w:val="24"/>
                <w:color w:val="auto"/>
              </w:rPr>
            </w:pPr>
          </w:p>
        </w:tc>
      </w:tr>
      <w:tr>
        <w:trPr>
          <w:trHeight w:val="152"/>
        </w:trPr>
        <w:tc>
          <w:tcPr>
            <w:tcW w:w="60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00" w:type="dxa"/>
            <w:vAlign w:val="bottom"/>
            <w:shd w:val="clear" w:color="auto" w:fill="D1EEF5"/>
          </w:tcPr>
          <w:p>
            <w:pPr>
              <w:spacing w:after="0"/>
              <w:rPr>
                <w:sz w:val="13"/>
                <w:szCs w:val="13"/>
                <w:color w:val="auto"/>
              </w:rPr>
            </w:pPr>
          </w:p>
        </w:tc>
        <w:tc>
          <w:tcPr>
            <w:tcW w:w="9260" w:type="dxa"/>
            <w:vAlign w:val="bottom"/>
            <w:shd w:val="clear" w:color="auto" w:fill="D1EEF5"/>
          </w:tcPr>
          <w:p>
            <w:pPr>
              <w:ind w:left="4420"/>
              <w:spacing w:after="0" w:line="156" w:lineRule="exact"/>
              <w:rPr>
                <w:sz w:val="20"/>
                <w:szCs w:val="20"/>
                <w:color w:val="auto"/>
              </w:rPr>
            </w:pPr>
            <w:r>
              <w:rPr>
                <w:rFonts w:ascii="Times New Roman" w:cs="Times New Roman" w:eastAsia="Times New Roman" w:hAnsi="Times New Roman"/>
                <w:sz w:val="14"/>
                <w:szCs w:val="14"/>
                <w:b w:val="1"/>
                <w:bCs w:val="1"/>
                <w:color w:val="auto"/>
              </w:rPr>
              <w:t>PART III</w:t>
            </w:r>
          </w:p>
        </w:tc>
        <w:tc>
          <w:tcPr>
            <w:tcW w:w="480" w:type="dxa"/>
            <w:vAlign w:val="bottom"/>
            <w:shd w:val="clear" w:color="auto" w:fill="D1EEF5"/>
          </w:tcPr>
          <w:p>
            <w:pPr>
              <w:jc w:val="center"/>
              <w:spacing w:after="0" w:line="156"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3"/>
                <w:szCs w:val="13"/>
                <w:color w:val="auto"/>
              </w:rPr>
            </w:pPr>
          </w:p>
        </w:tc>
      </w:tr>
      <w:tr>
        <w:trPr>
          <w:trHeight w:val="156"/>
        </w:trPr>
        <w:tc>
          <w:tcPr>
            <w:tcW w:w="60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60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Item 10.</w:t>
            </w:r>
          </w:p>
        </w:tc>
        <w:tc>
          <w:tcPr>
            <w:tcW w:w="9260" w:type="dxa"/>
            <w:vAlign w:val="bottom"/>
            <w:shd w:val="clear" w:color="auto" w:fill="D1EEF5"/>
          </w:tcPr>
          <w:p>
            <w:pPr>
              <w:ind w:left="140"/>
              <w:spacing w:after="0" w:line="157" w:lineRule="exact"/>
              <w:rPr>
                <w:sz w:val="20"/>
                <w:szCs w:val="20"/>
                <w:color w:val="auto"/>
              </w:rPr>
            </w:pPr>
            <w:r>
              <w:rPr>
                <w:rFonts w:ascii="Times New Roman" w:cs="Times New Roman" w:eastAsia="Times New Roman" w:hAnsi="Times New Roman"/>
                <w:sz w:val="14"/>
                <w:szCs w:val="14"/>
                <w:color w:val="auto"/>
              </w:rPr>
              <w:t>Directors, Executive Officers and Corporate Governance</w:t>
            </w:r>
          </w:p>
        </w:tc>
        <w:tc>
          <w:tcPr>
            <w:tcW w:w="480" w:type="dxa"/>
            <w:vAlign w:val="bottom"/>
            <w:shd w:val="clear" w:color="auto" w:fill="D1EEF5"/>
          </w:tcPr>
          <w:p>
            <w:pPr>
              <w:jc w:val="center"/>
              <w:spacing w:after="0" w:line="157"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3"/>
                <w:szCs w:val="13"/>
                <w:color w:val="auto"/>
              </w:rPr>
            </w:pPr>
          </w:p>
        </w:tc>
      </w:tr>
      <w:tr>
        <w:trPr>
          <w:trHeight w:val="156"/>
        </w:trPr>
        <w:tc>
          <w:tcPr>
            <w:tcW w:w="60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0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Item 11.</w:t>
            </w:r>
          </w:p>
        </w:tc>
        <w:tc>
          <w:tcPr>
            <w:tcW w:w="9260" w:type="dxa"/>
            <w:vAlign w:val="bottom"/>
            <w:shd w:val="clear" w:color="auto" w:fill="D1EEF5"/>
          </w:tcPr>
          <w:p>
            <w:pPr>
              <w:ind w:left="140"/>
              <w:spacing w:after="0" w:line="156" w:lineRule="exact"/>
              <w:rPr>
                <w:sz w:val="20"/>
                <w:szCs w:val="20"/>
                <w:color w:val="auto"/>
              </w:rPr>
            </w:pPr>
            <w:r>
              <w:rPr>
                <w:rFonts w:ascii="Times New Roman" w:cs="Times New Roman" w:eastAsia="Times New Roman" w:hAnsi="Times New Roman"/>
                <w:sz w:val="14"/>
                <w:szCs w:val="14"/>
                <w:color w:val="auto"/>
              </w:rPr>
              <w:t>Executive Compensation</w:t>
            </w:r>
          </w:p>
        </w:tc>
        <w:tc>
          <w:tcPr>
            <w:tcW w:w="480" w:type="dxa"/>
            <w:vAlign w:val="bottom"/>
            <w:shd w:val="clear" w:color="auto" w:fill="D1EEF5"/>
          </w:tcPr>
          <w:p>
            <w:pPr>
              <w:jc w:val="center"/>
              <w:spacing w:after="0" w:line="156"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3"/>
                <w:szCs w:val="13"/>
                <w:color w:val="auto"/>
              </w:rPr>
            </w:pPr>
          </w:p>
        </w:tc>
      </w:tr>
      <w:tr>
        <w:trPr>
          <w:trHeight w:val="156"/>
        </w:trPr>
        <w:tc>
          <w:tcPr>
            <w:tcW w:w="60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600" w:type="dxa"/>
            <w:vAlign w:val="bottom"/>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Item 12.</w:t>
            </w:r>
          </w:p>
        </w:tc>
        <w:tc>
          <w:tcPr>
            <w:tcW w:w="9260" w:type="dxa"/>
            <w:vAlign w:val="bottom"/>
            <w:shd w:val="clear" w:color="auto" w:fill="D1EEF5"/>
          </w:tcPr>
          <w:p>
            <w:pPr>
              <w:ind w:left="140"/>
              <w:spacing w:after="0" w:line="157" w:lineRule="exact"/>
              <w:rPr>
                <w:sz w:val="20"/>
                <w:szCs w:val="20"/>
                <w:color w:val="auto"/>
              </w:rPr>
            </w:pPr>
            <w:r>
              <w:rPr>
                <w:rFonts w:ascii="Times New Roman" w:cs="Times New Roman" w:eastAsia="Times New Roman" w:hAnsi="Times New Roman"/>
                <w:sz w:val="14"/>
                <w:szCs w:val="14"/>
                <w:color w:val="auto"/>
              </w:rPr>
              <w:t>Security Ownership of Certain Beneficial Owners and Management and Related Stockholder Matters</w:t>
            </w:r>
          </w:p>
        </w:tc>
        <w:tc>
          <w:tcPr>
            <w:tcW w:w="480" w:type="dxa"/>
            <w:vAlign w:val="bottom"/>
            <w:shd w:val="clear" w:color="auto" w:fill="D1EEF5"/>
          </w:tcPr>
          <w:p>
            <w:pPr>
              <w:jc w:val="center"/>
              <w:spacing w:after="0" w:line="157" w:lineRule="exact"/>
              <w:rPr>
                <w:sz w:val="20"/>
                <w:szCs w:val="20"/>
                <w:color w:val="auto"/>
              </w:rPr>
            </w:pPr>
            <w:r>
              <w:rPr>
                <w:rFonts w:ascii="Times New Roman" w:cs="Times New Roman" w:eastAsia="Times New Roman" w:hAnsi="Times New Roman"/>
                <w:sz w:val="14"/>
                <w:szCs w:val="14"/>
                <w:color w:val="auto"/>
                <w:w w:val="99"/>
              </w:rPr>
              <w:t>10</w:t>
            </w:r>
          </w:p>
        </w:tc>
        <w:tc>
          <w:tcPr>
            <w:tcW w:w="20" w:type="dxa"/>
            <w:vAlign w:val="bottom"/>
          </w:tcPr>
          <w:p>
            <w:pPr>
              <w:spacing w:after="0"/>
              <w:rPr>
                <w:sz w:val="13"/>
                <w:szCs w:val="13"/>
                <w:color w:val="auto"/>
              </w:rPr>
            </w:pPr>
          </w:p>
        </w:tc>
      </w:tr>
      <w:tr>
        <w:trPr>
          <w:trHeight w:val="156"/>
        </w:trPr>
        <w:tc>
          <w:tcPr>
            <w:tcW w:w="60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0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Item 13.</w:t>
            </w:r>
          </w:p>
        </w:tc>
        <w:tc>
          <w:tcPr>
            <w:tcW w:w="9260" w:type="dxa"/>
            <w:vAlign w:val="bottom"/>
            <w:shd w:val="clear" w:color="auto" w:fill="D1EEF5"/>
          </w:tcPr>
          <w:p>
            <w:pPr>
              <w:ind w:left="140"/>
              <w:spacing w:after="0" w:line="156" w:lineRule="exact"/>
              <w:rPr>
                <w:sz w:val="20"/>
                <w:szCs w:val="20"/>
                <w:color w:val="auto"/>
              </w:rPr>
            </w:pPr>
            <w:r>
              <w:rPr>
                <w:rFonts w:ascii="Times New Roman" w:cs="Times New Roman" w:eastAsia="Times New Roman" w:hAnsi="Times New Roman"/>
                <w:sz w:val="14"/>
                <w:szCs w:val="14"/>
                <w:color w:val="auto"/>
              </w:rPr>
              <w:t>Certain Relationships and Related Transactions, and Director Independence</w:t>
            </w:r>
          </w:p>
        </w:tc>
        <w:tc>
          <w:tcPr>
            <w:tcW w:w="480" w:type="dxa"/>
            <w:vAlign w:val="bottom"/>
            <w:shd w:val="clear" w:color="auto" w:fill="D1EEF5"/>
          </w:tcPr>
          <w:p>
            <w:pPr>
              <w:jc w:val="center"/>
              <w:spacing w:after="0" w:line="156" w:lineRule="exact"/>
              <w:rPr>
                <w:sz w:val="20"/>
                <w:szCs w:val="20"/>
                <w:color w:val="auto"/>
              </w:rPr>
            </w:pPr>
            <w:r>
              <w:rPr>
                <w:rFonts w:ascii="Times New Roman" w:cs="Times New Roman" w:eastAsia="Times New Roman" w:hAnsi="Times New Roman"/>
                <w:sz w:val="14"/>
                <w:szCs w:val="14"/>
                <w:color w:val="auto"/>
                <w:w w:val="99"/>
              </w:rPr>
              <w:t>13</w:t>
            </w:r>
          </w:p>
        </w:tc>
        <w:tc>
          <w:tcPr>
            <w:tcW w:w="20" w:type="dxa"/>
            <w:vAlign w:val="bottom"/>
          </w:tcPr>
          <w:p>
            <w:pPr>
              <w:spacing w:after="0"/>
              <w:rPr>
                <w:sz w:val="13"/>
                <w:szCs w:val="13"/>
                <w:color w:val="auto"/>
              </w:rPr>
            </w:pPr>
          </w:p>
        </w:tc>
      </w:tr>
      <w:tr>
        <w:trPr>
          <w:trHeight w:val="157"/>
        </w:trPr>
        <w:tc>
          <w:tcPr>
            <w:tcW w:w="60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0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Item 14.</w:t>
            </w:r>
          </w:p>
        </w:tc>
        <w:tc>
          <w:tcPr>
            <w:tcW w:w="9260" w:type="dxa"/>
            <w:vAlign w:val="bottom"/>
            <w:shd w:val="clear" w:color="auto" w:fill="D1EEF5"/>
          </w:tcPr>
          <w:p>
            <w:pPr>
              <w:ind w:left="140"/>
              <w:spacing w:after="0" w:line="156" w:lineRule="exact"/>
              <w:rPr>
                <w:sz w:val="20"/>
                <w:szCs w:val="20"/>
                <w:color w:val="auto"/>
              </w:rPr>
            </w:pPr>
            <w:r>
              <w:rPr>
                <w:rFonts w:ascii="Times New Roman" w:cs="Times New Roman" w:eastAsia="Times New Roman" w:hAnsi="Times New Roman"/>
                <w:sz w:val="14"/>
                <w:szCs w:val="14"/>
                <w:color w:val="auto"/>
              </w:rPr>
              <w:t>Principal Accounting Fees and Services</w:t>
            </w:r>
          </w:p>
        </w:tc>
        <w:tc>
          <w:tcPr>
            <w:tcW w:w="480" w:type="dxa"/>
            <w:vAlign w:val="bottom"/>
            <w:shd w:val="clear" w:color="auto" w:fill="D1EEF5"/>
          </w:tcPr>
          <w:p>
            <w:pPr>
              <w:jc w:val="center"/>
              <w:spacing w:after="0" w:line="156" w:lineRule="exact"/>
              <w:rPr>
                <w:sz w:val="20"/>
                <w:szCs w:val="20"/>
                <w:color w:val="auto"/>
              </w:rPr>
            </w:pPr>
            <w:r>
              <w:rPr>
                <w:rFonts w:ascii="Times New Roman" w:cs="Times New Roman" w:eastAsia="Times New Roman" w:hAnsi="Times New Roman"/>
                <w:sz w:val="14"/>
                <w:szCs w:val="14"/>
                <w:color w:val="auto"/>
                <w:w w:val="99"/>
              </w:rPr>
              <w:t>18</w:t>
            </w:r>
          </w:p>
        </w:tc>
        <w:tc>
          <w:tcPr>
            <w:tcW w:w="20" w:type="dxa"/>
            <w:vAlign w:val="bottom"/>
          </w:tcPr>
          <w:p>
            <w:pPr>
              <w:spacing w:after="0"/>
              <w:rPr>
                <w:sz w:val="13"/>
                <w:szCs w:val="13"/>
                <w:color w:val="auto"/>
              </w:rPr>
            </w:pPr>
          </w:p>
        </w:tc>
      </w:tr>
      <w:tr>
        <w:trPr>
          <w:trHeight w:val="156"/>
        </w:trPr>
        <w:tc>
          <w:tcPr>
            <w:tcW w:w="60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00" w:type="dxa"/>
            <w:vAlign w:val="bottom"/>
            <w:shd w:val="clear" w:color="auto" w:fill="D1EEF5"/>
          </w:tcPr>
          <w:p>
            <w:pPr>
              <w:spacing w:after="0"/>
              <w:rPr>
                <w:sz w:val="13"/>
                <w:szCs w:val="13"/>
                <w:color w:val="auto"/>
              </w:rPr>
            </w:pPr>
          </w:p>
        </w:tc>
        <w:tc>
          <w:tcPr>
            <w:tcW w:w="9260" w:type="dxa"/>
            <w:vAlign w:val="bottom"/>
            <w:shd w:val="clear" w:color="auto" w:fill="D1EEF5"/>
          </w:tcPr>
          <w:p>
            <w:pPr>
              <w:ind w:left="4420"/>
              <w:spacing w:after="0" w:line="156" w:lineRule="exact"/>
              <w:rPr>
                <w:sz w:val="20"/>
                <w:szCs w:val="20"/>
                <w:color w:val="auto"/>
              </w:rPr>
            </w:pPr>
            <w:r>
              <w:rPr>
                <w:rFonts w:ascii="Times New Roman" w:cs="Times New Roman" w:eastAsia="Times New Roman" w:hAnsi="Times New Roman"/>
                <w:sz w:val="14"/>
                <w:szCs w:val="14"/>
                <w:b w:val="1"/>
                <w:bCs w:val="1"/>
                <w:color w:val="auto"/>
              </w:rPr>
              <w:t>PART IV</w:t>
            </w:r>
          </w:p>
        </w:tc>
        <w:tc>
          <w:tcPr>
            <w:tcW w:w="480" w:type="dxa"/>
            <w:vAlign w:val="bottom"/>
            <w:shd w:val="clear" w:color="auto" w:fill="D1EEF5"/>
          </w:tcPr>
          <w:p>
            <w:pPr>
              <w:jc w:val="center"/>
              <w:spacing w:after="0" w:line="156" w:lineRule="exact"/>
              <w:rPr>
                <w:sz w:val="20"/>
                <w:szCs w:val="20"/>
                <w:color w:val="auto"/>
              </w:rPr>
            </w:pPr>
            <w:r>
              <w:rPr>
                <w:rFonts w:ascii="Times New Roman" w:cs="Times New Roman" w:eastAsia="Times New Roman" w:hAnsi="Times New Roman"/>
                <w:sz w:val="14"/>
                <w:szCs w:val="14"/>
                <w:color w:val="auto"/>
                <w:w w:val="99"/>
              </w:rPr>
              <w:t>19</w:t>
            </w:r>
          </w:p>
        </w:tc>
        <w:tc>
          <w:tcPr>
            <w:tcW w:w="20" w:type="dxa"/>
            <w:vAlign w:val="bottom"/>
          </w:tcPr>
          <w:p>
            <w:pPr>
              <w:spacing w:after="0"/>
              <w:rPr>
                <w:sz w:val="13"/>
                <w:szCs w:val="13"/>
                <w:color w:val="auto"/>
              </w:rPr>
            </w:pPr>
          </w:p>
        </w:tc>
      </w:tr>
      <w:tr>
        <w:trPr>
          <w:trHeight w:val="157"/>
        </w:trPr>
        <w:tc>
          <w:tcPr>
            <w:tcW w:w="60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00" w:type="dxa"/>
            <w:vAlign w:val="bottom"/>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Item 15.</w:t>
            </w:r>
          </w:p>
        </w:tc>
        <w:tc>
          <w:tcPr>
            <w:tcW w:w="9260" w:type="dxa"/>
            <w:vAlign w:val="bottom"/>
            <w:shd w:val="clear" w:color="auto" w:fill="D1EEF5"/>
          </w:tcPr>
          <w:p>
            <w:pPr>
              <w:ind w:left="140"/>
              <w:spacing w:after="0" w:line="156" w:lineRule="exact"/>
              <w:rPr>
                <w:sz w:val="20"/>
                <w:szCs w:val="20"/>
                <w:color w:val="auto"/>
              </w:rPr>
            </w:pPr>
            <w:r>
              <w:rPr>
                <w:rFonts w:ascii="Times New Roman" w:cs="Times New Roman" w:eastAsia="Times New Roman" w:hAnsi="Times New Roman"/>
                <w:sz w:val="14"/>
                <w:szCs w:val="14"/>
                <w:color w:val="auto"/>
              </w:rPr>
              <w:t>Exhibits and Financial Statement Schedules</w:t>
            </w:r>
          </w:p>
        </w:tc>
        <w:tc>
          <w:tcPr>
            <w:tcW w:w="480" w:type="dxa"/>
            <w:vAlign w:val="bottom"/>
            <w:shd w:val="clear" w:color="auto" w:fill="D1EEF5"/>
          </w:tcPr>
          <w:p>
            <w:pPr>
              <w:jc w:val="center"/>
              <w:spacing w:after="0" w:line="156" w:lineRule="exact"/>
              <w:rPr>
                <w:sz w:val="20"/>
                <w:szCs w:val="20"/>
                <w:color w:val="auto"/>
              </w:rPr>
            </w:pPr>
            <w:r>
              <w:rPr>
                <w:rFonts w:ascii="Times New Roman" w:cs="Times New Roman" w:eastAsia="Times New Roman" w:hAnsi="Times New Roman"/>
                <w:sz w:val="14"/>
                <w:szCs w:val="14"/>
                <w:color w:val="auto"/>
                <w:w w:val="99"/>
              </w:rPr>
              <w:t>19</w:t>
            </w:r>
          </w:p>
        </w:tc>
        <w:tc>
          <w:tcPr>
            <w:tcW w:w="20" w:type="dxa"/>
            <w:vAlign w:val="bottom"/>
          </w:tcPr>
          <w:p>
            <w:pPr>
              <w:spacing w:after="0"/>
              <w:rPr>
                <w:sz w:val="13"/>
                <w:szCs w:val="13"/>
                <w:color w:val="auto"/>
              </w:rPr>
            </w:pPr>
          </w:p>
        </w:tc>
      </w:tr>
      <w:tr>
        <w:trPr>
          <w:trHeight w:val="314"/>
        </w:trPr>
        <w:tc>
          <w:tcPr>
            <w:tcW w:w="60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ind w:left="4540"/>
              <w:spacing w:after="0"/>
              <w:rPr>
                <w:sz w:val="20"/>
                <w:szCs w:val="20"/>
                <w:color w:val="auto"/>
              </w:rPr>
            </w:pPr>
            <w:r>
              <w:rPr>
                <w:rFonts w:ascii="Times New Roman" w:cs="Times New Roman" w:eastAsia="Times New Roman" w:hAnsi="Times New Roman"/>
                <w:sz w:val="14"/>
                <w:szCs w:val="14"/>
                <w:color w:val="auto"/>
              </w:rPr>
              <w:t>ii</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2240" w:h="15840" w:orient="portrait"/>
          <w:cols w:equalWidth="0" w:num="1">
            <w:col w:w="10360"/>
          </w:cols>
          <w:pgMar w:left="940" w:top="1154" w:right="940" w:bottom="1440" w:gutter="0" w:footer="0" w:header="0"/>
        </w:sectPr>
      </w:pPr>
    </w:p>
    <w:bookmarkStart w:id="100" w:name="page101"/>
    <w:bookmarkEnd w:id="100"/>
    <w:p>
      <w:pPr>
        <w:ind w:left="490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6567805" cy="19056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57">
                      <a:extLst>
                        <a:ext uri="{28A0092B-C50C-407E-A947-70E740481C1C}"/>
                      </a:extLst>
                    </a:blip>
                    <a:srcRect/>
                    <a:stretch>
                      <a:fillRect/>
                    </a:stretch>
                  </pic:blipFill>
                  <pic:spPr bwMode="auto">
                    <a:xfrm>
                      <a:off x="0" y="0"/>
                      <a:ext cx="6567805" cy="190563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following table provides information regarding our executive officers and members of our Board of Directors (the “</w:t>
      </w:r>
      <w:r>
        <w:rPr>
          <w:rFonts w:ascii="Times New Roman" w:cs="Times New Roman" w:eastAsia="Times New Roman" w:hAnsi="Times New Roman"/>
          <w:sz w:val="12"/>
          <w:szCs w:val="12"/>
          <w:b w:val="1"/>
          <w:bCs w:val="1"/>
          <w:color w:val="auto"/>
        </w:rPr>
        <w:t>Board</w:t>
      </w:r>
      <w:r>
        <w:rPr>
          <w:rFonts w:ascii="Times New Roman" w:cs="Times New Roman" w:eastAsia="Times New Roman" w:hAnsi="Times New Roman"/>
          <w:sz w:val="12"/>
          <w:szCs w:val="12"/>
          <w:color w:val="auto"/>
        </w:rPr>
        <w:t>”) with their respective ages as of April 17,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5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Position(s) Held With Dragonfly</w:t>
            </w:r>
          </w:p>
        </w:tc>
      </w:tr>
      <w:tr>
        <w:trPr>
          <w:trHeight w:val="135"/>
        </w:trPr>
        <w:tc>
          <w:tcPr>
            <w:tcW w:w="3100" w:type="dxa"/>
            <w:vAlign w:val="bottom"/>
            <w:tcBorders>
              <w:top w:val="single" w:sz="8" w:color="auto"/>
            </w:tcBorders>
          </w:tcPr>
          <w:p>
            <w:pPr>
              <w:spacing w:after="0" w:line="135" w:lineRule="exact"/>
              <w:rPr>
                <w:sz w:val="20"/>
                <w:szCs w:val="20"/>
                <w:color w:val="auto"/>
              </w:rPr>
            </w:pPr>
            <w:r>
              <w:rPr>
                <w:rFonts w:ascii="Times New Roman" w:cs="Times New Roman" w:eastAsia="Times New Roman" w:hAnsi="Times New Roman"/>
                <w:sz w:val="14"/>
                <w:szCs w:val="14"/>
                <w:color w:val="auto"/>
              </w:rPr>
              <w:t>Denis Phares</w:t>
            </w:r>
          </w:p>
        </w:tc>
        <w:tc>
          <w:tcPr>
            <w:tcW w:w="220" w:type="dxa"/>
            <w:vAlign w:val="bottom"/>
          </w:tcPr>
          <w:p>
            <w:pPr>
              <w:spacing w:after="0"/>
              <w:rPr>
                <w:sz w:val="11"/>
                <w:szCs w:val="11"/>
                <w:color w:val="auto"/>
              </w:rPr>
            </w:pPr>
          </w:p>
        </w:tc>
        <w:tc>
          <w:tcPr>
            <w:tcW w:w="520" w:type="dxa"/>
            <w:vAlign w:val="bottom"/>
            <w:tcBorders>
              <w:top w:val="single" w:sz="8" w:color="auto"/>
            </w:tcBorders>
          </w:tcPr>
          <w:p>
            <w:pPr>
              <w:spacing w:after="0" w:line="135" w:lineRule="exact"/>
              <w:rPr>
                <w:sz w:val="20"/>
                <w:szCs w:val="20"/>
                <w:color w:val="auto"/>
              </w:rPr>
            </w:pPr>
            <w:r>
              <w:rPr>
                <w:rFonts w:ascii="Times New Roman" w:cs="Times New Roman" w:eastAsia="Times New Roman" w:hAnsi="Times New Roman"/>
                <w:sz w:val="14"/>
                <w:szCs w:val="14"/>
                <w:color w:val="auto"/>
              </w:rPr>
              <w:t>50</w:t>
            </w:r>
          </w:p>
        </w:tc>
        <w:tc>
          <w:tcPr>
            <w:tcW w:w="200" w:type="dxa"/>
            <w:vAlign w:val="bottom"/>
          </w:tcPr>
          <w:p>
            <w:pPr>
              <w:spacing w:after="0"/>
              <w:rPr>
                <w:sz w:val="11"/>
                <w:szCs w:val="11"/>
                <w:color w:val="auto"/>
              </w:rPr>
            </w:pPr>
          </w:p>
        </w:tc>
        <w:tc>
          <w:tcPr>
            <w:tcW w:w="6320" w:type="dxa"/>
            <w:vAlign w:val="bottom"/>
            <w:tcBorders>
              <w:top w:val="single" w:sz="8" w:color="auto"/>
            </w:tcBorders>
          </w:tcPr>
          <w:p>
            <w:pPr>
              <w:spacing w:after="0" w:line="135" w:lineRule="exact"/>
              <w:rPr>
                <w:sz w:val="20"/>
                <w:szCs w:val="20"/>
                <w:color w:val="auto"/>
              </w:rPr>
            </w:pPr>
            <w:r>
              <w:rPr>
                <w:rFonts w:ascii="Times New Roman" w:cs="Times New Roman" w:eastAsia="Times New Roman" w:hAnsi="Times New Roman"/>
                <w:sz w:val="14"/>
                <w:szCs w:val="14"/>
                <w:color w:val="auto"/>
              </w:rPr>
              <w:t>President, Chief Executive Officer and Chairman of the Board</w:t>
            </w:r>
          </w:p>
        </w:tc>
      </w:tr>
      <w:tr>
        <w:trPr>
          <w:trHeight w:val="156"/>
        </w:trPr>
        <w:tc>
          <w:tcPr>
            <w:tcW w:w="31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John Marchetti</w:t>
            </w:r>
          </w:p>
        </w:tc>
        <w:tc>
          <w:tcPr>
            <w:tcW w:w="740" w:type="dxa"/>
            <w:vAlign w:val="bottom"/>
            <w:gridSpan w:val="2"/>
          </w:tcPr>
          <w:p>
            <w:pPr>
              <w:ind w:left="220"/>
              <w:spacing w:after="0" w:line="156" w:lineRule="exact"/>
              <w:rPr>
                <w:sz w:val="20"/>
                <w:szCs w:val="20"/>
                <w:color w:val="auto"/>
              </w:rPr>
            </w:pPr>
            <w:r>
              <w:rPr>
                <w:rFonts w:ascii="Times New Roman" w:cs="Times New Roman" w:eastAsia="Times New Roman" w:hAnsi="Times New Roman"/>
                <w:sz w:val="14"/>
                <w:szCs w:val="14"/>
                <w:color w:val="auto"/>
              </w:rPr>
              <w:t>52</w:t>
            </w:r>
          </w:p>
        </w:tc>
        <w:tc>
          <w:tcPr>
            <w:tcW w:w="6520" w:type="dxa"/>
            <w:vAlign w:val="bottom"/>
            <w:gridSpan w:val="2"/>
          </w:tcPr>
          <w:p>
            <w:pPr>
              <w:ind w:left="200"/>
              <w:spacing w:after="0" w:line="156" w:lineRule="exact"/>
              <w:rPr>
                <w:sz w:val="20"/>
                <w:szCs w:val="20"/>
                <w:color w:val="auto"/>
              </w:rPr>
            </w:pPr>
            <w:r>
              <w:rPr>
                <w:rFonts w:ascii="Times New Roman" w:cs="Times New Roman" w:eastAsia="Times New Roman" w:hAnsi="Times New Roman"/>
                <w:sz w:val="14"/>
                <w:szCs w:val="14"/>
                <w:color w:val="auto"/>
              </w:rPr>
              <w:t>Chief Financial Officer</w:t>
            </w:r>
          </w:p>
        </w:tc>
      </w:tr>
      <w:tr>
        <w:trPr>
          <w:trHeight w:val="156"/>
        </w:trPr>
        <w:tc>
          <w:tcPr>
            <w:tcW w:w="31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Tyler Bourns</w:t>
            </w:r>
          </w:p>
        </w:tc>
        <w:tc>
          <w:tcPr>
            <w:tcW w:w="740" w:type="dxa"/>
            <w:vAlign w:val="bottom"/>
            <w:gridSpan w:val="2"/>
          </w:tcPr>
          <w:p>
            <w:pPr>
              <w:ind w:left="220"/>
              <w:spacing w:after="0" w:line="156" w:lineRule="exact"/>
              <w:rPr>
                <w:sz w:val="20"/>
                <w:szCs w:val="20"/>
                <w:color w:val="auto"/>
              </w:rPr>
            </w:pPr>
            <w:r>
              <w:rPr>
                <w:rFonts w:ascii="Times New Roman" w:cs="Times New Roman" w:eastAsia="Times New Roman" w:hAnsi="Times New Roman"/>
                <w:sz w:val="14"/>
                <w:szCs w:val="14"/>
                <w:color w:val="auto"/>
              </w:rPr>
              <w:t>34</w:t>
            </w:r>
          </w:p>
        </w:tc>
        <w:tc>
          <w:tcPr>
            <w:tcW w:w="6520" w:type="dxa"/>
            <w:vAlign w:val="bottom"/>
            <w:gridSpan w:val="2"/>
          </w:tcPr>
          <w:p>
            <w:pPr>
              <w:ind w:left="200"/>
              <w:spacing w:after="0" w:line="156" w:lineRule="exact"/>
              <w:rPr>
                <w:sz w:val="20"/>
                <w:szCs w:val="20"/>
                <w:color w:val="auto"/>
              </w:rPr>
            </w:pPr>
            <w:r>
              <w:rPr>
                <w:rFonts w:ascii="Times New Roman" w:cs="Times New Roman" w:eastAsia="Times New Roman" w:hAnsi="Times New Roman"/>
                <w:sz w:val="14"/>
                <w:szCs w:val="14"/>
                <w:color w:val="auto"/>
              </w:rPr>
              <w:t>Chief Marketing Officer</w:t>
            </w:r>
          </w:p>
        </w:tc>
      </w:tr>
      <w:tr>
        <w:trPr>
          <w:trHeight w:val="157"/>
        </w:trPr>
        <w:tc>
          <w:tcPr>
            <w:tcW w:w="31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Luisa Ingargiola</w:t>
            </w:r>
          </w:p>
        </w:tc>
        <w:tc>
          <w:tcPr>
            <w:tcW w:w="740" w:type="dxa"/>
            <w:vAlign w:val="bottom"/>
            <w:gridSpan w:val="2"/>
          </w:tcPr>
          <w:p>
            <w:pPr>
              <w:ind w:left="220"/>
              <w:spacing w:after="0" w:line="157" w:lineRule="exact"/>
              <w:rPr>
                <w:sz w:val="20"/>
                <w:szCs w:val="20"/>
                <w:color w:val="auto"/>
              </w:rPr>
            </w:pPr>
            <w:r>
              <w:rPr>
                <w:rFonts w:ascii="Times New Roman" w:cs="Times New Roman" w:eastAsia="Times New Roman" w:hAnsi="Times New Roman"/>
                <w:sz w:val="14"/>
                <w:szCs w:val="14"/>
                <w:color w:val="auto"/>
              </w:rPr>
              <w:t>55</w:t>
            </w:r>
          </w:p>
        </w:tc>
        <w:tc>
          <w:tcPr>
            <w:tcW w:w="6520" w:type="dxa"/>
            <w:vAlign w:val="bottom"/>
            <w:gridSpan w:val="2"/>
          </w:tcPr>
          <w:p>
            <w:pPr>
              <w:ind w:left="200"/>
              <w:spacing w:after="0" w:line="157" w:lineRule="exact"/>
              <w:rPr>
                <w:sz w:val="20"/>
                <w:szCs w:val="20"/>
                <w:color w:val="auto"/>
              </w:rPr>
            </w:pPr>
            <w:r>
              <w:rPr>
                <w:rFonts w:ascii="Times New Roman" w:cs="Times New Roman" w:eastAsia="Times New Roman" w:hAnsi="Times New Roman"/>
                <w:sz w:val="14"/>
                <w:szCs w:val="14"/>
                <w:color w:val="auto"/>
              </w:rPr>
              <w:t>Lead Independent Director</w:t>
            </w:r>
          </w:p>
        </w:tc>
      </w:tr>
      <w:tr>
        <w:trPr>
          <w:trHeight w:val="156"/>
        </w:trPr>
        <w:tc>
          <w:tcPr>
            <w:tcW w:w="31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Rick Parod</w:t>
            </w:r>
          </w:p>
        </w:tc>
        <w:tc>
          <w:tcPr>
            <w:tcW w:w="740" w:type="dxa"/>
            <w:vAlign w:val="bottom"/>
            <w:gridSpan w:val="2"/>
          </w:tcPr>
          <w:p>
            <w:pPr>
              <w:ind w:left="220"/>
              <w:spacing w:after="0" w:line="156" w:lineRule="exact"/>
              <w:rPr>
                <w:sz w:val="20"/>
                <w:szCs w:val="20"/>
                <w:color w:val="auto"/>
              </w:rPr>
            </w:pPr>
            <w:r>
              <w:rPr>
                <w:rFonts w:ascii="Times New Roman" w:cs="Times New Roman" w:eastAsia="Times New Roman" w:hAnsi="Times New Roman"/>
                <w:sz w:val="14"/>
                <w:szCs w:val="14"/>
                <w:color w:val="auto"/>
              </w:rPr>
              <w:t>69</w:t>
            </w:r>
          </w:p>
        </w:tc>
        <w:tc>
          <w:tcPr>
            <w:tcW w:w="6520" w:type="dxa"/>
            <w:vAlign w:val="bottom"/>
            <w:gridSpan w:val="2"/>
          </w:tcPr>
          <w:p>
            <w:pPr>
              <w:ind w:left="200"/>
              <w:spacing w:after="0" w:line="156" w:lineRule="exact"/>
              <w:rPr>
                <w:sz w:val="20"/>
                <w:szCs w:val="20"/>
                <w:color w:val="auto"/>
              </w:rPr>
            </w:pPr>
            <w:r>
              <w:rPr>
                <w:rFonts w:ascii="Times New Roman" w:cs="Times New Roman" w:eastAsia="Times New Roman" w:hAnsi="Times New Roman"/>
                <w:sz w:val="14"/>
                <w:szCs w:val="14"/>
                <w:color w:val="auto"/>
              </w:rPr>
              <w:t>Director</w:t>
            </w:r>
          </w:p>
        </w:tc>
      </w:tr>
      <w:tr>
        <w:trPr>
          <w:trHeight w:val="156"/>
        </w:trPr>
        <w:tc>
          <w:tcPr>
            <w:tcW w:w="31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Karina Montilla Edmonds</w:t>
            </w:r>
          </w:p>
        </w:tc>
        <w:tc>
          <w:tcPr>
            <w:tcW w:w="740" w:type="dxa"/>
            <w:vAlign w:val="bottom"/>
            <w:gridSpan w:val="2"/>
          </w:tcPr>
          <w:p>
            <w:pPr>
              <w:ind w:left="220"/>
              <w:spacing w:after="0" w:line="156" w:lineRule="exact"/>
              <w:rPr>
                <w:sz w:val="20"/>
                <w:szCs w:val="20"/>
                <w:color w:val="auto"/>
              </w:rPr>
            </w:pPr>
            <w:r>
              <w:rPr>
                <w:rFonts w:ascii="Times New Roman" w:cs="Times New Roman" w:eastAsia="Times New Roman" w:hAnsi="Times New Roman"/>
                <w:sz w:val="14"/>
                <w:szCs w:val="14"/>
                <w:color w:val="auto"/>
              </w:rPr>
              <w:t>51</w:t>
            </w:r>
          </w:p>
        </w:tc>
        <w:tc>
          <w:tcPr>
            <w:tcW w:w="6520" w:type="dxa"/>
            <w:vAlign w:val="bottom"/>
            <w:gridSpan w:val="2"/>
          </w:tcPr>
          <w:p>
            <w:pPr>
              <w:ind w:left="200"/>
              <w:spacing w:after="0" w:line="156" w:lineRule="exact"/>
              <w:rPr>
                <w:sz w:val="20"/>
                <w:szCs w:val="20"/>
                <w:color w:val="auto"/>
              </w:rPr>
            </w:pPr>
            <w:r>
              <w:rPr>
                <w:rFonts w:ascii="Times New Roman" w:cs="Times New Roman" w:eastAsia="Times New Roman" w:hAnsi="Times New Roman"/>
                <w:sz w:val="14"/>
                <w:szCs w:val="14"/>
                <w:color w:val="auto"/>
              </w:rPr>
              <w:t>Director</w:t>
            </w:r>
          </w:p>
        </w:tc>
      </w:tr>
      <w:tr>
        <w:trPr>
          <w:trHeight w:val="157"/>
        </w:trPr>
        <w:tc>
          <w:tcPr>
            <w:tcW w:w="31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Brian Nelson</w:t>
            </w:r>
          </w:p>
        </w:tc>
        <w:tc>
          <w:tcPr>
            <w:tcW w:w="740" w:type="dxa"/>
            <w:vAlign w:val="bottom"/>
            <w:gridSpan w:val="2"/>
          </w:tcPr>
          <w:p>
            <w:pPr>
              <w:ind w:left="220"/>
              <w:spacing w:after="0" w:line="157" w:lineRule="exact"/>
              <w:rPr>
                <w:sz w:val="20"/>
                <w:szCs w:val="20"/>
                <w:color w:val="auto"/>
              </w:rPr>
            </w:pPr>
            <w:r>
              <w:rPr>
                <w:rFonts w:ascii="Times New Roman" w:cs="Times New Roman" w:eastAsia="Times New Roman" w:hAnsi="Times New Roman"/>
                <w:sz w:val="14"/>
                <w:szCs w:val="14"/>
                <w:color w:val="auto"/>
              </w:rPr>
              <w:t>51</w:t>
            </w:r>
          </w:p>
        </w:tc>
        <w:tc>
          <w:tcPr>
            <w:tcW w:w="6520" w:type="dxa"/>
            <w:vAlign w:val="bottom"/>
            <w:gridSpan w:val="2"/>
          </w:tcPr>
          <w:p>
            <w:pPr>
              <w:ind w:left="200"/>
              <w:spacing w:after="0" w:line="157" w:lineRule="exact"/>
              <w:rPr>
                <w:sz w:val="20"/>
                <w:szCs w:val="20"/>
                <w:color w:val="auto"/>
              </w:rPr>
            </w:pPr>
            <w:r>
              <w:rPr>
                <w:rFonts w:ascii="Times New Roman" w:cs="Times New Roman" w:eastAsia="Times New Roman" w:hAnsi="Times New Roman"/>
                <w:sz w:val="14"/>
                <w:szCs w:val="14"/>
                <w:color w:val="auto"/>
              </w:rPr>
              <w:t>Director</w:t>
            </w:r>
          </w:p>
        </w:tc>
      </w:tr>
      <w:tr>
        <w:trPr>
          <w:trHeight w:val="156"/>
        </w:trPr>
        <w:tc>
          <w:tcPr>
            <w:tcW w:w="31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Jonathan Bellows</w:t>
            </w:r>
          </w:p>
        </w:tc>
        <w:tc>
          <w:tcPr>
            <w:tcW w:w="740" w:type="dxa"/>
            <w:vAlign w:val="bottom"/>
            <w:gridSpan w:val="2"/>
          </w:tcPr>
          <w:p>
            <w:pPr>
              <w:ind w:left="220"/>
              <w:spacing w:after="0" w:line="156" w:lineRule="exact"/>
              <w:rPr>
                <w:sz w:val="20"/>
                <w:szCs w:val="20"/>
                <w:color w:val="auto"/>
              </w:rPr>
            </w:pPr>
            <w:r>
              <w:rPr>
                <w:rFonts w:ascii="Times New Roman" w:cs="Times New Roman" w:eastAsia="Times New Roman" w:hAnsi="Times New Roman"/>
                <w:sz w:val="14"/>
                <w:szCs w:val="14"/>
                <w:color w:val="auto"/>
              </w:rPr>
              <w:t>46</w:t>
            </w:r>
          </w:p>
        </w:tc>
        <w:tc>
          <w:tcPr>
            <w:tcW w:w="6520" w:type="dxa"/>
            <w:vAlign w:val="bottom"/>
            <w:gridSpan w:val="2"/>
          </w:tcPr>
          <w:p>
            <w:pPr>
              <w:ind w:left="200"/>
              <w:spacing w:after="0" w:line="156" w:lineRule="exact"/>
              <w:rPr>
                <w:sz w:val="20"/>
                <w:szCs w:val="20"/>
                <w:color w:val="auto"/>
              </w:rPr>
            </w:pPr>
            <w:r>
              <w:rPr>
                <w:rFonts w:ascii="Times New Roman" w:cs="Times New Roman" w:eastAsia="Times New Roman" w:hAnsi="Times New Roman"/>
                <w:sz w:val="14"/>
                <w:szCs w:val="14"/>
                <w:color w:val="auto"/>
              </w:rPr>
              <w:t>Director</w:t>
            </w:r>
          </w:p>
        </w:tc>
      </w:tr>
      <w:tr>
        <w:trPr>
          <w:trHeight w:val="181"/>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Perry Boyle</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59</w:t>
            </w:r>
          </w:p>
        </w:tc>
        <w:tc>
          <w:tcPr>
            <w:tcW w:w="6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152" w:lineRule="exact"/>
        <w:rPr>
          <w:sz w:val="20"/>
          <w:szCs w:val="20"/>
          <w:color w:val="auto"/>
        </w:rPr>
      </w:pPr>
    </w:p>
    <w:p>
      <w:pPr>
        <w:jc w:val="both"/>
        <w:ind w:right="20" w:firstLine="49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Dr. Denis Phares </w:t>
      </w:r>
      <w:r>
        <w:rPr>
          <w:rFonts w:ascii="Times New Roman" w:cs="Times New Roman" w:eastAsia="Times New Roman" w:hAnsi="Times New Roman"/>
          <w:sz w:val="14"/>
          <w:szCs w:val="14"/>
          <w:color w:val="auto"/>
        </w:rPr>
        <w:t>has served as our Chief Executive Officer and Chairman of our Board since October 2022. Dr. Phares is the co -founder of Dragonfly Energy Corp., a Nevada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w:t>
      </w:r>
      <w:r>
        <w:rPr>
          <w:rFonts w:ascii="Times New Roman" w:cs="Times New Roman" w:eastAsia="Times New Roman" w:hAnsi="Times New Roman"/>
          <w:sz w:val="14"/>
          <w:szCs w:val="14"/>
          <w:b w:val="1"/>
          <w:bCs w:val="1"/>
          <w:color w:val="auto"/>
        </w:rPr>
        <w:t>Legacy Dragonfly</w:t>
      </w:r>
      <w:r>
        <w:rPr>
          <w:rFonts w:ascii="Times New Roman" w:cs="Times New Roman" w:eastAsia="Times New Roman" w:hAnsi="Times New Roman"/>
          <w:sz w:val="14"/>
          <w:szCs w:val="14"/>
          <w:color w:val="auto"/>
        </w:rPr>
        <w:t>”)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Reno, a Ph.D. in Engineering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spacing w:after="0" w:line="131" w:lineRule="exact"/>
        <w:rPr>
          <w:sz w:val="20"/>
          <w:szCs w:val="20"/>
          <w:color w:val="auto"/>
        </w:rPr>
      </w:pPr>
    </w:p>
    <w:p>
      <w:pPr>
        <w:jc w:val="both"/>
        <w:ind w:right="20" w:firstLine="490"/>
        <w:spacing w:after="0" w:line="239" w:lineRule="auto"/>
        <w:rPr>
          <w:sz w:val="20"/>
          <w:szCs w:val="20"/>
          <w:color w:val="auto"/>
        </w:rPr>
      </w:pPr>
      <w:r>
        <w:rPr>
          <w:rFonts w:ascii="Times New Roman" w:cs="Times New Roman" w:eastAsia="Times New Roman" w:hAnsi="Times New Roman"/>
          <w:sz w:val="14"/>
          <w:szCs w:val="14"/>
          <w:b w:val="1"/>
          <w:bCs w:val="1"/>
          <w:color w:val="auto"/>
        </w:rPr>
        <w:t xml:space="preserve">John Marchetti </w:t>
      </w:r>
      <w:r>
        <w:rPr>
          <w:rFonts w:ascii="Times New Roman" w:cs="Times New Roman" w:eastAsia="Times New Roman" w:hAnsi="Times New Roman"/>
          <w:sz w:val="14"/>
          <w:szCs w:val="14"/>
          <w:color w:val="auto"/>
        </w:rPr>
        <w:t>has served as our Chief Financial Officer since October 2022. Mr. Marchetti has also served as the Chief Financial Officer of Legacy Dragonfly since September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2021. Mr. Marchetti has over 20 years of experience in the technology and financial services industries. Previously, Mr. Marchetti served as a Managing Director and senior research analyst at Stifel Financial Corp. from April 2018 until September 2021, where he was focused on communications infrastructure and applied technology markets, including advanced battery technologies. From 2016 to May 2018, Mr. Marchetti served as Senior Vice President for Strategy and Business Development of Cloudbus, a technology research and development company, and, from 2012 to 2015, he served as Chief Strategy Officer and Executive Vice President at Fabrinet, a publicly-traded manufacturing services company. Prior to joining Fabrinet, Mr. Marchetti was a senior equity analyst at Cowen &amp; Co. and Morgan Stanley. Mr. Marchetti also served as an officer in the United States Marine Corps. Mr. Marchetti holds a M.B.A. in Finance from the University of Connecticut, and a B.A. in Political Science from Virginia Tech</w:t>
      </w:r>
      <w:r>
        <w:rPr>
          <w:rFonts w:ascii="Times New Roman" w:cs="Times New Roman" w:eastAsia="Times New Roman" w:hAnsi="Times New Roman"/>
          <w:sz w:val="14"/>
          <w:szCs w:val="14"/>
          <w:b w:val="1"/>
          <w:bCs w:val="1"/>
          <w:color w:val="auto"/>
        </w:rPr>
        <w:t>.</w:t>
      </w:r>
    </w:p>
    <w:p>
      <w:pPr>
        <w:spacing w:after="0" w:line="128" w:lineRule="exact"/>
        <w:rPr>
          <w:sz w:val="20"/>
          <w:szCs w:val="20"/>
          <w:color w:val="auto"/>
        </w:rPr>
      </w:pPr>
    </w:p>
    <w:p>
      <w:pPr>
        <w:jc w:val="both"/>
        <w:ind w:right="20" w:firstLine="490"/>
        <w:spacing w:after="0" w:line="238" w:lineRule="auto"/>
        <w:rPr>
          <w:sz w:val="20"/>
          <w:szCs w:val="20"/>
          <w:color w:val="auto"/>
        </w:rPr>
      </w:pPr>
      <w:r>
        <w:rPr>
          <w:rFonts w:ascii="Times New Roman" w:cs="Times New Roman" w:eastAsia="Times New Roman" w:hAnsi="Times New Roman"/>
          <w:sz w:val="14"/>
          <w:szCs w:val="14"/>
          <w:b w:val="1"/>
          <w:bCs w:val="1"/>
          <w:color w:val="auto"/>
        </w:rPr>
        <w:t xml:space="preserve">Tyler Bourns </w:t>
      </w:r>
      <w:r>
        <w:rPr>
          <w:rFonts w:ascii="Times New Roman" w:cs="Times New Roman" w:eastAsia="Times New Roman" w:hAnsi="Times New Roman"/>
          <w:sz w:val="14"/>
          <w:szCs w:val="14"/>
          <w:color w:val="auto"/>
        </w:rPr>
        <w:t>has served as our Chief Marketing Officer since November 2022. Prior to the merger and the other transactions contemplated by that certain Agreement and Plan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Merger, dated May 15, 2022, as amended on July 12, 2022, by and among Chardan NexTech Acquisition 2 Corporation (“</w:t>
      </w:r>
      <w:r>
        <w:rPr>
          <w:rFonts w:ascii="Times New Roman" w:cs="Times New Roman" w:eastAsia="Times New Roman" w:hAnsi="Times New Roman"/>
          <w:sz w:val="14"/>
          <w:szCs w:val="14"/>
          <w:b w:val="1"/>
          <w:bCs w:val="1"/>
          <w:color w:val="auto"/>
        </w:rPr>
        <w:t>CNTQ</w:t>
      </w:r>
      <w:r>
        <w:rPr>
          <w:rFonts w:ascii="Times New Roman" w:cs="Times New Roman" w:eastAsia="Times New Roman" w:hAnsi="Times New Roman"/>
          <w:sz w:val="14"/>
          <w:szCs w:val="14"/>
          <w:color w:val="auto"/>
        </w:rPr>
        <w:t>”) Merger Sub and Dragonfly (the “</w:t>
      </w:r>
      <w:r>
        <w:rPr>
          <w:rFonts w:ascii="Times New Roman" w:cs="Times New Roman" w:eastAsia="Times New Roman" w:hAnsi="Times New Roman"/>
          <w:sz w:val="14"/>
          <w:szCs w:val="14"/>
          <w:b w:val="1"/>
          <w:bCs w:val="1"/>
          <w:color w:val="auto"/>
        </w:rPr>
        <w:t>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Combination</w:t>
      </w:r>
      <w:r>
        <w:rPr>
          <w:rFonts w:ascii="Times New Roman" w:cs="Times New Roman" w:eastAsia="Times New Roman" w:hAnsi="Times New Roman"/>
          <w:sz w:val="14"/>
          <w:szCs w:val="14"/>
          <w:color w:val="auto"/>
        </w:rPr>
        <w:t>”). Business Combination, Mr. Bourns served as the Senior Vice President of Marketing of Legacy Dragonfly from December 2021 through October 2022. Previously, Mr.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Bourns is the owner and serves as the present of Bourns Productions Inc., a video production and marketing company focused on content creation, messaging and strategy for various brands across multiple industries, for twelve years. At Bourns Productions Inc., he oversees the day-to-day business of the company, works closely with clients and provides hands 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17145</wp:posOffset>
                </wp:positionV>
                <wp:extent cx="6568440"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8440"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35pt" to="517.6pt,1.35pt" o:allowincell="f" strokecolor="#000000" strokeweight="1.1999pt"/>
            </w:pict>
          </mc:Fallback>
        </mc:AlternateContent>
      </w:r>
    </w:p>
    <w:p>
      <w:pPr>
        <w:sectPr>
          <w:pgSz w:w="12240" w:h="15840" w:orient="portrait"/>
          <w:cols w:equalWidth="0" w:num="1">
            <w:col w:w="10360"/>
          </w:cols>
          <w:pgMar w:left="940" w:top="1154" w:right="9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color w:val="auto"/>
        </w:rPr>
        <w:t>Non-Employee Directors</w:t>
      </w:r>
    </w:p>
    <w:p>
      <w:pPr>
        <w:spacing w:after="0" w:line="152" w:lineRule="exact"/>
        <w:rPr>
          <w:sz w:val="20"/>
          <w:szCs w:val="20"/>
          <w:color w:val="auto"/>
        </w:rPr>
      </w:pPr>
    </w:p>
    <w:p>
      <w:pPr>
        <w:jc w:val="both"/>
        <w:ind w:firstLine="490"/>
        <w:spacing w:after="0" w:line="238" w:lineRule="auto"/>
        <w:rPr>
          <w:sz w:val="20"/>
          <w:szCs w:val="20"/>
          <w:color w:val="auto"/>
        </w:rPr>
      </w:pPr>
      <w:r>
        <w:rPr>
          <w:rFonts w:ascii="Times New Roman" w:cs="Times New Roman" w:eastAsia="Times New Roman" w:hAnsi="Times New Roman"/>
          <w:sz w:val="14"/>
          <w:szCs w:val="14"/>
          <w:b w:val="1"/>
          <w:bCs w:val="1"/>
          <w:color w:val="auto"/>
        </w:rPr>
        <w:t xml:space="preserve">Rick Parod </w:t>
      </w:r>
      <w:r>
        <w:rPr>
          <w:rFonts w:ascii="Times New Roman" w:cs="Times New Roman" w:eastAsia="Times New Roman" w:hAnsi="Times New Roman"/>
          <w:sz w:val="14"/>
          <w:szCs w:val="14"/>
          <w:color w:val="auto"/>
        </w:rPr>
        <w:t>has served as a member of our Board since October 2022. Mr. Parod currently serves as the CEO of AdeptAg, a company that serves the controlled environment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is qualified to serve on our Board based on his experience in manufacturing operations, product development and sales and marketing.</w:t>
      </w:r>
    </w:p>
    <w:p>
      <w:pPr>
        <w:spacing w:after="0" w:line="129"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14"/>
          <w:szCs w:val="14"/>
          <w:b w:val="1"/>
          <w:bCs w:val="1"/>
          <w:color w:val="auto"/>
        </w:rPr>
        <w:t xml:space="preserve">Karina Montilla Edmonds, Ph.D. </w:t>
      </w:r>
      <w:r>
        <w:rPr>
          <w:rFonts w:ascii="Times New Roman" w:cs="Times New Roman" w:eastAsia="Times New Roman" w:hAnsi="Times New Roman"/>
          <w:sz w:val="14"/>
          <w:szCs w:val="14"/>
          <w:color w:val="auto"/>
        </w:rPr>
        <w:t>has served as a member of our Board since October 2022. Dr. Edmonds currently serves as the Senior Vice President and Global Head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Materials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based on her industry leadership and expertise in technology transfer and commercialization.</w:t>
      </w:r>
    </w:p>
    <w:p>
      <w:pPr>
        <w:spacing w:after="0" w:line="133" w:lineRule="exact"/>
        <w:rPr>
          <w:sz w:val="20"/>
          <w:szCs w:val="20"/>
          <w:color w:val="auto"/>
        </w:rPr>
      </w:pPr>
    </w:p>
    <w:p>
      <w:pPr>
        <w:jc w:val="both"/>
        <w:ind w:firstLine="490"/>
        <w:spacing w:after="0" w:line="238" w:lineRule="auto"/>
        <w:rPr>
          <w:sz w:val="20"/>
          <w:szCs w:val="20"/>
          <w:color w:val="auto"/>
        </w:rPr>
      </w:pPr>
      <w:r>
        <w:rPr>
          <w:rFonts w:ascii="Times New Roman" w:cs="Times New Roman" w:eastAsia="Times New Roman" w:hAnsi="Times New Roman"/>
          <w:sz w:val="14"/>
          <w:szCs w:val="14"/>
          <w:b w:val="1"/>
          <w:bCs w:val="1"/>
          <w:color w:val="auto"/>
        </w:rPr>
        <w:t xml:space="preserve">Brian Nelson </w:t>
      </w:r>
      <w:r>
        <w:rPr>
          <w:rFonts w:ascii="Times New Roman" w:cs="Times New Roman" w:eastAsia="Times New Roman" w:hAnsi="Times New Roman"/>
          <w:sz w:val="14"/>
          <w:szCs w:val="14"/>
          <w:color w:val="auto"/>
        </w:rPr>
        <w:t>has served as a member of our Board since October 2022. Prior to the Business Combination, Mr. Nelson served on the board of directors of Legacy Dragonfly from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spacing w:after="0" w:line="133" w:lineRule="exact"/>
        <w:rPr>
          <w:sz w:val="20"/>
          <w:szCs w:val="20"/>
          <w:color w:val="auto"/>
        </w:rPr>
      </w:pPr>
    </w:p>
    <w:p>
      <w:pPr>
        <w:jc w:val="both"/>
        <w:ind w:firstLine="490"/>
        <w:spacing w:after="0" w:line="238" w:lineRule="auto"/>
        <w:rPr>
          <w:sz w:val="20"/>
          <w:szCs w:val="20"/>
          <w:color w:val="auto"/>
        </w:rPr>
      </w:pPr>
      <w:r>
        <w:rPr>
          <w:rFonts w:ascii="Times New Roman" w:cs="Times New Roman" w:eastAsia="Times New Roman" w:hAnsi="Times New Roman"/>
          <w:sz w:val="14"/>
          <w:szCs w:val="14"/>
          <w:b w:val="1"/>
          <w:bCs w:val="1"/>
          <w:color w:val="auto"/>
        </w:rPr>
        <w:t xml:space="preserve">Jonathan Bellows </w:t>
      </w:r>
      <w:r>
        <w:rPr>
          <w:rFonts w:ascii="Times New Roman" w:cs="Times New Roman" w:eastAsia="Times New Roman" w:hAnsi="Times New Roman"/>
          <w:sz w:val="14"/>
          <w:szCs w:val="14"/>
          <w:color w:val="auto"/>
        </w:rPr>
        <w:t>has served as a member of our Board since October 2022. Mr. Bellows currently serves as President of KORE Power, which acquired Northern Reliability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resident of business and sales at Sovernet Communications, a fiber-optic bandwidth infrastructure services provider, from 2005 to 2015. Mr. Bellows graduated Northern Vermont University-Johnson in 1998, where he earned his B.A. in History. Mr. Bellows is qualified to serve on our Board based on his energy storage industry expertise and operating and leadership experience.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14605</wp:posOffset>
                </wp:positionV>
                <wp:extent cx="6568440"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8440"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15pt" to="517.6pt,1.15pt" o:allowincell="f" strokecolor="#000000" strokeweight="1.26pt"/>
            </w:pict>
          </mc:Fallback>
        </mc:AlternateContent>
      </w:r>
    </w:p>
    <w:p>
      <w:pPr>
        <w:sectPr>
          <w:pgSz w:w="12240" w:h="15840" w:orient="portrait"/>
          <w:cols w:equalWidth="0" w:num="1">
            <w:col w:w="10340"/>
          </w:cols>
          <w:pgMar w:left="940" w:top="1154" w:right="960" w:bottom="1440" w:gutter="0" w:footer="0" w:header="0"/>
        </w:sectPr>
      </w:pPr>
    </w:p>
    <w:bookmarkStart w:id="102" w:name="page103"/>
    <w:bookmarkEnd w:id="102"/>
    <w:p>
      <w:pPr>
        <w:jc w:val="both"/>
        <w:ind w:right="20" w:firstLine="490"/>
        <w:spacing w:after="0" w:line="238" w:lineRule="auto"/>
        <w:rPr>
          <w:sz w:val="20"/>
          <w:szCs w:val="20"/>
          <w:color w:val="auto"/>
        </w:rPr>
      </w:pPr>
      <w:r>
        <w:rPr>
          <w:rFonts w:ascii="Times New Roman" w:cs="Times New Roman" w:eastAsia="Times New Roman" w:hAnsi="Times New Roman"/>
          <w:sz w:val="14"/>
          <w:szCs w:val="14"/>
          <w:b w:val="1"/>
          <w:bCs w:val="1"/>
          <w:color w:val="auto"/>
        </w:rPr>
        <w:t xml:space="preserve">Luisa Ingargiola </w:t>
      </w:r>
      <w:r>
        <w:rPr>
          <w:rFonts w:ascii="Times New Roman" w:cs="Times New Roman" w:eastAsia="Times New Roman" w:hAnsi="Times New Roman"/>
          <w:sz w:val="14"/>
          <w:szCs w:val="14"/>
          <w:color w:val="auto"/>
        </w:rPr>
        <w:t>has served as a member of our Board since October 2022. Prior to the Business Combination, Ms. Ingargiola served on the board of directors of Legacy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Dragonfly from August 2021 to October 2022. Since February 2017, Ms. Ingargiola has served as Chief Financial Officer of Avalon GloboCare Corp., a publicly listed bio-tech health care company. Prior to joining Avalon GloboCare Corp., Ms. Ingargiola served as the Chief Financial Officer and Co-Founder of MagneGas Corporation from 2007 to 2016. Ms. Ingargiola has also served as a board director and audit committee chair for various over-the-counter and Nasdaq companies. Ms. Ingargiola has served as a member of the board of directors and as Audit Committee Chair for Progress Acquisition Corporation since November 2020, as a member of the board of directors and as Audit Committee Chair for AgEagle Aerial Systems since March 2019, and as a member of the board of directors and as Audit Committee Chair for Electra Meccanica since March 2018. Ms. Ingargiola holds a M.B.A. in Health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spacing w:after="0" w:line="130" w:lineRule="exact"/>
        <w:rPr>
          <w:sz w:val="20"/>
          <w:szCs w:val="20"/>
          <w:color w:val="auto"/>
        </w:rPr>
      </w:pPr>
    </w:p>
    <w:p>
      <w:pPr>
        <w:jc w:val="both"/>
        <w:ind w:firstLine="490"/>
        <w:spacing w:after="0" w:line="159" w:lineRule="exact"/>
        <w:rPr>
          <w:sz w:val="20"/>
          <w:szCs w:val="20"/>
          <w:color w:val="auto"/>
        </w:rPr>
      </w:pPr>
      <w:r>
        <w:rPr>
          <w:rFonts w:ascii="Times New Roman" w:cs="Times New Roman" w:eastAsia="Times New Roman" w:hAnsi="Times New Roman"/>
          <w:sz w:val="14"/>
          <w:szCs w:val="14"/>
          <w:b w:val="1"/>
          <w:bCs w:val="1"/>
          <w:color w:val="auto"/>
        </w:rPr>
        <w:t xml:space="preserve">Perry Boyle </w:t>
      </w:r>
      <w:r>
        <w:rPr>
          <w:rFonts w:ascii="Times New Roman" w:cs="Times New Roman" w:eastAsia="Times New Roman" w:hAnsi="Times New Roman"/>
          <w:sz w:val="14"/>
          <w:szCs w:val="14"/>
          <w:color w:val="auto"/>
        </w:rPr>
        <w:t>has served as a member of our Board since October 2022. Prior to the Business Combination, he served on the board of directors of CNTQ from August 2021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October 2022. Previously, Mr. Boyle was with Point72 and its affiliates and predecessors from 2004 through his retirement in March 2020. He helped lead Point72’s launch as a registered investment advisor, raising over $ 6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1999. He began his career as an investment banker with Salomon Brothers Inc. Mr. Boyle is a member of the advisory board of the Center for a New American Security, and a director of The US Friends of the International Institute for Strategic Studies. He was a 2018 and 2019 delegate from the IISS to the Shangri- 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Composition</w:t>
      </w:r>
    </w:p>
    <w:p>
      <w:pPr>
        <w:spacing w:after="0" w:line="154" w:lineRule="exact"/>
        <w:rPr>
          <w:sz w:val="20"/>
          <w:szCs w:val="20"/>
          <w:color w:val="auto"/>
        </w:rPr>
      </w:pPr>
    </w:p>
    <w:p>
      <w:pPr>
        <w:jc w:val="both"/>
        <w:ind w:right="20" w:firstLine="490"/>
        <w:spacing w:after="0" w:line="262" w:lineRule="auto"/>
        <w:rPr>
          <w:sz w:val="20"/>
          <w:szCs w:val="20"/>
          <w:color w:val="auto"/>
        </w:rPr>
      </w:pPr>
      <w:r>
        <w:rPr>
          <w:rFonts w:ascii="Times New Roman" w:cs="Times New Roman" w:eastAsia="Times New Roman" w:hAnsi="Times New Roman"/>
          <w:sz w:val="14"/>
          <w:szCs w:val="14"/>
          <w:color w:val="auto"/>
        </w:rPr>
        <w:t>Our Board currently consists of three classes of a total of seven directors. Our directors each serve staggered three-year terms with one class being elected at each year’s annual meeting of stockholders, as follows:</w:t>
      </w:r>
    </w:p>
    <w:p>
      <w:pPr>
        <w:spacing w:after="0" w:line="111" w:lineRule="exact"/>
        <w:rPr>
          <w:sz w:val="20"/>
          <w:szCs w:val="20"/>
          <w:color w:val="auto"/>
        </w:rPr>
      </w:pPr>
    </w:p>
    <w:p>
      <w:pPr>
        <w:ind w:left="500" w:hanging="251"/>
        <w:spacing w:after="0"/>
        <w:tabs>
          <w:tab w:leader="none" w:pos="500" w:val="left"/>
        </w:tabs>
        <w:numPr>
          <w:ilvl w:val="0"/>
          <w:numId w:val="49"/>
        </w:numPr>
        <w:rPr>
          <w:rFonts w:ascii="Arial" w:cs="Arial" w:eastAsia="Arial" w:hAnsi="Arial"/>
          <w:sz w:val="14"/>
          <w:szCs w:val="14"/>
          <w:color w:val="auto"/>
        </w:rPr>
      </w:pPr>
      <w:r>
        <w:rPr>
          <w:rFonts w:ascii="Times New Roman" w:cs="Times New Roman" w:eastAsia="Times New Roman" w:hAnsi="Times New Roman"/>
          <w:sz w:val="14"/>
          <w:szCs w:val="14"/>
          <w:color w:val="auto"/>
        </w:rPr>
        <w:t>Class A, which consists of Rick Parod and Karina Edmonds, whose terms will expire at the 2023 annual meeting of stockholders;</w:t>
      </w:r>
    </w:p>
    <w:p>
      <w:pPr>
        <w:spacing w:after="0" w:line="124" w:lineRule="exact"/>
        <w:rPr>
          <w:rFonts w:ascii="Arial" w:cs="Arial" w:eastAsia="Arial" w:hAnsi="Arial"/>
          <w:sz w:val="14"/>
          <w:szCs w:val="14"/>
          <w:color w:val="auto"/>
        </w:rPr>
      </w:pPr>
    </w:p>
    <w:p>
      <w:pPr>
        <w:ind w:left="500" w:hanging="251"/>
        <w:spacing w:after="0"/>
        <w:tabs>
          <w:tab w:leader="none" w:pos="500" w:val="left"/>
        </w:tabs>
        <w:numPr>
          <w:ilvl w:val="0"/>
          <w:numId w:val="49"/>
        </w:numPr>
        <w:rPr>
          <w:rFonts w:ascii="Arial" w:cs="Arial" w:eastAsia="Arial" w:hAnsi="Arial"/>
          <w:sz w:val="14"/>
          <w:szCs w:val="14"/>
          <w:color w:val="auto"/>
        </w:rPr>
      </w:pPr>
      <w:r>
        <w:rPr>
          <w:rFonts w:ascii="Times New Roman" w:cs="Times New Roman" w:eastAsia="Times New Roman" w:hAnsi="Times New Roman"/>
          <w:sz w:val="14"/>
          <w:szCs w:val="14"/>
          <w:color w:val="auto"/>
        </w:rPr>
        <w:t>Class B, which consists of Brian Nelson and Jonathan Bellows, whose terms will expire at the 2024 annual meeting of stockholders; and</w:t>
      </w:r>
    </w:p>
    <w:p>
      <w:pPr>
        <w:spacing w:after="0" w:line="132" w:lineRule="exact"/>
        <w:rPr>
          <w:rFonts w:ascii="Arial" w:cs="Arial" w:eastAsia="Arial" w:hAnsi="Arial"/>
          <w:sz w:val="14"/>
          <w:szCs w:val="14"/>
          <w:color w:val="auto"/>
        </w:rPr>
      </w:pPr>
    </w:p>
    <w:p>
      <w:pPr>
        <w:ind w:left="5140" w:right="2020" w:hanging="4891"/>
        <w:spacing w:after="0" w:line="456" w:lineRule="auto"/>
        <w:tabs>
          <w:tab w:leader="none" w:pos="491" w:val="left"/>
        </w:tabs>
        <w:numPr>
          <w:ilvl w:val="0"/>
          <w:numId w:val="49"/>
        </w:numPr>
        <w:rPr>
          <w:rFonts w:ascii="Arial" w:cs="Arial" w:eastAsia="Arial" w:hAnsi="Arial"/>
          <w:sz w:val="14"/>
          <w:szCs w:val="14"/>
          <w:color w:val="auto"/>
        </w:rPr>
      </w:pPr>
      <w:r>
        <w:rPr>
          <w:rFonts w:ascii="Times New Roman" w:cs="Times New Roman" w:eastAsia="Times New Roman" w:hAnsi="Times New Roman"/>
          <w:sz w:val="14"/>
          <w:szCs w:val="14"/>
          <w:color w:val="auto"/>
        </w:rPr>
        <w:t>Class C, which consists of Denis Phares, Luisa Ingargiola and Perry Boyle, whose terms will expire at the 2025 annual meeting of stockholders. 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-102870</wp:posOffset>
                </wp:positionV>
                <wp:extent cx="6568440"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8440"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8.0999pt" to="517.6pt,-8.0999pt" o:allowincell="f" strokecolor="#000000" strokeweight="1.2pt"/>
            </w:pict>
          </mc:Fallback>
        </mc:AlternateContent>
      </w:r>
    </w:p>
    <w:p>
      <w:pPr>
        <w:sectPr>
          <w:pgSz w:w="12240" w:h="15840" w:orient="portrait"/>
          <w:cols w:equalWidth="0" w:num="1">
            <w:col w:w="10360"/>
          </w:cols>
          <w:pgMar w:left="940" w:top="1154" w:right="940" w:bottom="1440" w:gutter="0" w:footer="0" w:header="0"/>
        </w:sectPr>
      </w:pPr>
    </w:p>
    <w:bookmarkStart w:id="103" w:name="page104"/>
    <w:bookmarkEnd w:id="103"/>
    <w:p>
      <w:pPr>
        <w:jc w:val="both"/>
        <w:ind w:right="20" w:firstLine="490"/>
        <w:spacing w:after="0" w:line="248" w:lineRule="auto"/>
        <w:rPr>
          <w:sz w:val="20"/>
          <w:szCs w:val="20"/>
          <w:color w:val="auto"/>
        </w:rPr>
      </w:pPr>
      <w:r>
        <w:rPr>
          <w:rFonts w:ascii="Times New Roman" w:cs="Times New Roman" w:eastAsia="Times New Roman" w:hAnsi="Times New Roman"/>
          <w:sz w:val="14"/>
          <w:szCs w:val="14"/>
          <w:color w:val="auto"/>
        </w:rPr>
        <w:t>We have no formal policy regarding board diversity. Our priority in selecting our board members is the identification of members who will further the interests of our stockholders through their established record of professional accomplishment, the ability to contribute positively to the collaborative culture among board members, knowledge of our business and understanding of the competitive landscape.</w:t>
      </w:r>
    </w:p>
    <w:p>
      <w:pPr>
        <w:spacing w:after="0" w:line="126" w:lineRule="exact"/>
        <w:rPr>
          <w:sz w:val="20"/>
          <w:szCs w:val="20"/>
          <w:color w:val="auto"/>
        </w:rPr>
      </w:pPr>
    </w:p>
    <w:p>
      <w:pPr>
        <w:jc w:val="both"/>
        <w:ind w:right="20" w:firstLine="490"/>
        <w:spacing w:after="0" w:line="243" w:lineRule="auto"/>
        <w:rPr>
          <w:sz w:val="20"/>
          <w:szCs w:val="20"/>
          <w:color w:val="auto"/>
        </w:rPr>
      </w:pPr>
      <w:r>
        <w:rPr>
          <w:rFonts w:ascii="Times New Roman" w:cs="Times New Roman" w:eastAsia="Times New Roman" w:hAnsi="Times New Roman"/>
          <w:sz w:val="14"/>
          <w:szCs w:val="14"/>
          <w:color w:val="auto"/>
        </w:rPr>
        <w:t>The Board oversees our business and monitors the performance of our management. In accordance with our corporate governance procedures, the Board does not involve itself in our day-to-day operations. Our executive officers and management oversee our day-to-day operations. Our directors fulfill their duties and responsibilities by attending meetings of the Board, which are usually held on at least a quarterly basis. Our directors also discuss business and other matters with other key executives and our principal external advisers (legal counsel, auditors, financial advisors and other consultants).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Committees</w:t>
      </w:r>
    </w:p>
    <w:p>
      <w:pPr>
        <w:spacing w:after="0" w:line="153" w:lineRule="exact"/>
        <w:rPr>
          <w:sz w:val="20"/>
          <w:szCs w:val="20"/>
          <w:color w:val="auto"/>
        </w:rPr>
      </w:pPr>
    </w:p>
    <w:p>
      <w:pPr>
        <w:jc w:val="both"/>
        <w:ind w:right="20" w:firstLine="490"/>
        <w:spacing w:after="0" w:line="169" w:lineRule="exact"/>
        <w:rPr>
          <w:sz w:val="20"/>
          <w:szCs w:val="20"/>
          <w:color w:val="auto"/>
        </w:rPr>
      </w:pPr>
      <w:r>
        <w:rPr>
          <w:rFonts w:ascii="Times New Roman" w:cs="Times New Roman" w:eastAsia="Times New Roman" w:hAnsi="Times New Roman"/>
          <w:sz w:val="14"/>
          <w:szCs w:val="14"/>
          <w:color w:val="auto"/>
        </w:rPr>
        <w:t>Our Board has three standing committees</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an audit committee, a compensation committee, and a nominating and corporate governance committee. Copies of the charters for each committee are posted under the “Investors” tab on our website, which is located at </w:t>
      </w:r>
      <w:r>
        <w:rPr>
          <w:rFonts w:ascii="Times New Roman" w:cs="Times New Roman" w:eastAsia="Times New Roman" w:hAnsi="Times New Roman"/>
          <w:sz w:val="14"/>
          <w:szCs w:val="14"/>
          <w:i w:val="1"/>
          <w:iCs w:val="1"/>
          <w:u w:val="single" w:color="auto"/>
          <w:color w:val="auto"/>
        </w:rPr>
        <w:t>https://dragonflyenergy.com</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150" w:lineRule="exact"/>
        <w:rPr>
          <w:sz w:val="20"/>
          <w:szCs w:val="20"/>
          <w:color w:val="auto"/>
        </w:rPr>
      </w:pPr>
    </w:p>
    <w:p>
      <w:pPr>
        <w:jc w:val="both"/>
        <w:ind w:right="20" w:firstLine="490"/>
        <w:spacing w:after="0" w:line="243" w:lineRule="auto"/>
        <w:rPr>
          <w:sz w:val="20"/>
          <w:szCs w:val="20"/>
          <w:color w:val="auto"/>
        </w:rPr>
      </w:pPr>
      <w:r>
        <w:rPr>
          <w:rFonts w:ascii="Times New Roman" w:cs="Times New Roman" w:eastAsia="Times New Roman" w:hAnsi="Times New Roman"/>
          <w:sz w:val="14"/>
          <w:szCs w:val="14"/>
          <w:color w:val="auto"/>
        </w:rPr>
        <w:t>The Board has formed an Audit Committee, which currently consists of Luisa Ingargiola, Rick Parod, and Perry Boyle. Each member of the Audit Committee is “independent” as that term is defined under the applicable rules of the SEC and Nasdaq. The Board has determined that each Audit Committee member has sufficient knowledge in financial and auditing matters to serve on the Audit Committee. In addition, our Board has determined that Ms. Ingargiola qualifies as an audit committee financial expert within the meaning of SEC regulations and the Nasdaq Marketplace Rules.</w:t>
      </w:r>
    </w:p>
    <w:p>
      <w:pPr>
        <w:spacing w:after="0" w:line="129"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14"/>
          <w:szCs w:val="14"/>
          <w:color w:val="auto"/>
        </w:rPr>
        <w:t>Luisa Ingargiola serves as the chair of the Audit Committee. The Audit Committee oversees and monitors our financial reporting process and internal control system, reviews and evaluates the audit performed by our registered independent public accountants and reports to our Board any substantive issues found during the audit. The Audit Committee will be directly responsible for the appointment, compensation and oversight of the work of our registered independent public accountants. The Audit Committee reviews and approves all transactions with affiliated parties. The Board has adopted a written charter for the Audit Committee.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w:t>
      </w:r>
    </w:p>
    <w:p>
      <w:pPr>
        <w:spacing w:after="0" w:line="149" w:lineRule="exact"/>
        <w:rPr>
          <w:sz w:val="20"/>
          <w:szCs w:val="20"/>
          <w:color w:val="auto"/>
        </w:rPr>
      </w:pPr>
    </w:p>
    <w:p>
      <w:pPr>
        <w:jc w:val="both"/>
        <w:ind w:right="20" w:firstLine="490"/>
        <w:spacing w:after="0"/>
        <w:rPr>
          <w:sz w:val="20"/>
          <w:szCs w:val="20"/>
          <w:color w:val="auto"/>
        </w:rPr>
      </w:pPr>
      <w:r>
        <w:rPr>
          <w:rFonts w:ascii="Times New Roman" w:cs="Times New Roman" w:eastAsia="Times New Roman" w:hAnsi="Times New Roman"/>
          <w:sz w:val="14"/>
          <w:szCs w:val="14"/>
          <w:color w:val="auto"/>
        </w:rPr>
        <w:t>The Board has formed a Compensation Committee which consists of Luisa Ingargiola, Brian Nelson, and Rick Parod, all of whom are independent (as that term is defined under the Nasdaq Marketplace Rules). Brian Nelson serves as the chair of the Compensation Committee. The Compensation Committee assists the Board in fulfilling its oversight responsibilities relating to (i) corporate governance practices and policies and (ii) compensation matters, including compensation of the directors and senior management of the Company and the administration of compensation plans of the Company. Our Board determined that each of the members of the compensation committee are a non-employee director, as defined in Rule 16b-3 promulgated under the Exchange Act and satisfies the independence requirements of Nasdaq.</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Nominating and Corporate Governance Committee</w:t>
      </w:r>
    </w:p>
    <w:p>
      <w:pPr>
        <w:spacing w:after="0" w:line="149" w:lineRule="exact"/>
        <w:rPr>
          <w:sz w:val="20"/>
          <w:szCs w:val="20"/>
          <w:color w:val="auto"/>
        </w:rPr>
      </w:pPr>
    </w:p>
    <w:p>
      <w:pPr>
        <w:jc w:val="both"/>
        <w:ind w:right="20" w:firstLine="490"/>
        <w:spacing w:after="0" w:line="309" w:lineRule="auto"/>
        <w:rPr>
          <w:sz w:val="20"/>
          <w:szCs w:val="20"/>
          <w:color w:val="auto"/>
        </w:rPr>
      </w:pPr>
      <w:r>
        <w:rPr>
          <w:rFonts w:ascii="Times New Roman" w:cs="Times New Roman" w:eastAsia="Times New Roman" w:hAnsi="Times New Roman"/>
          <w:sz w:val="12"/>
          <w:szCs w:val="12"/>
          <w:color w:val="auto"/>
        </w:rPr>
        <w:t>The Board has formed a Nominating and Corporate Governance Committee, which currently consists of Karina Montilla Edmonds, Brian Nelson and Jonathan Bellows, all of whom are independent (as that term is defined under the Nasdaq Marketplace Rules). Karina Montilla Edmonds serves as the chair of the Nominating and Corporate Governance Committee. The Nominating and Corporate Governance Committee assesses potential candidates to fill perceived needs on the Board for required, skills, expertise, independence and other factors.</w:t>
      </w:r>
    </w:p>
    <w:p>
      <w:pPr>
        <w:spacing w:after="0" w:line="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14605</wp:posOffset>
                </wp:positionV>
                <wp:extent cx="656844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8440"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15pt" to="517.6pt,1.15pt" o:allowincell="f" strokecolor="#000000" strokeweight="1.26pt"/>
            </w:pict>
          </mc:Fallback>
        </mc:AlternateContent>
      </w:r>
    </w:p>
    <w:p>
      <w:pPr>
        <w:sectPr>
          <w:pgSz w:w="12240" w:h="15840" w:orient="portrait"/>
          <w:cols w:equalWidth="0" w:num="1">
            <w:col w:w="10360"/>
          </w:cols>
          <w:pgMar w:left="940" w:top="1156" w:right="9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color w:val="auto"/>
        </w:rPr>
        <w:t>Nomination of Directors</w:t>
      </w:r>
    </w:p>
    <w:p>
      <w:pPr>
        <w:spacing w:after="0" w:line="154" w:lineRule="exact"/>
        <w:rPr>
          <w:sz w:val="20"/>
          <w:szCs w:val="20"/>
          <w:color w:val="auto"/>
        </w:rPr>
      </w:pPr>
    </w:p>
    <w:p>
      <w:pPr>
        <w:jc w:val="both"/>
        <w:ind w:firstLine="490"/>
        <w:spacing w:after="0" w:line="296" w:lineRule="auto"/>
        <w:rPr>
          <w:sz w:val="20"/>
          <w:szCs w:val="20"/>
          <w:color w:val="auto"/>
        </w:rPr>
      </w:pPr>
      <w:r>
        <w:rPr>
          <w:rFonts w:ascii="Times New Roman" w:cs="Times New Roman" w:eastAsia="Times New Roman" w:hAnsi="Times New Roman"/>
          <w:sz w:val="12"/>
          <w:szCs w:val="12"/>
          <w:color w:val="auto"/>
        </w:rPr>
        <w:t>The Nominating and Corporate Governance Committee of the Board assesses potential candidates to fill perceived needs on the Board of Directors for required skills, expertise, independence and other factors. A director candidate recommended by our stockholders will be considered in the same manner as a nominee recommended by a Board member, management or other sources. Stockholders wishing to recommend a candidate for nomination should contact our Secretary in writing at the Secretary of Dragonfly at 1190 Trademark Drive, #108, Reno, Nevada 89521. Our Nominating and Corporate Governance Committee has discretion to decide which individuals to recommend for nomination as directors.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Leadership Structure and Role in Risk Oversight</w:t>
      </w:r>
    </w:p>
    <w:p>
      <w:pPr>
        <w:spacing w:after="0" w:line="154" w:lineRule="exact"/>
        <w:rPr>
          <w:sz w:val="20"/>
          <w:szCs w:val="20"/>
          <w:color w:val="auto"/>
        </w:rPr>
      </w:pPr>
    </w:p>
    <w:p>
      <w:pPr>
        <w:jc w:val="both"/>
        <w:ind w:firstLine="490"/>
        <w:spacing w:after="0"/>
        <w:rPr>
          <w:sz w:val="20"/>
          <w:szCs w:val="20"/>
          <w:color w:val="auto"/>
        </w:rPr>
      </w:pPr>
      <w:r>
        <w:rPr>
          <w:rFonts w:ascii="Times New Roman" w:cs="Times New Roman" w:eastAsia="Times New Roman" w:hAnsi="Times New Roman"/>
          <w:sz w:val="14"/>
          <w:szCs w:val="14"/>
          <w:color w:val="auto"/>
        </w:rPr>
        <w:t>Periodically, our Board will assess the roles of Chairman and Chief Executive Officer, and the Board leadership structure to ensure the interests of Dragonfly and our stockholders are best served. Our Board believes the current combination of the two roles is satisfactory at present. Dr. Phares, as our President, Chief Executive Officer and Chairman, has extensive knowledge of all aspects of Dragonfly and our business. Our Board has appointed Ms. Ingargiola as Lead Independent Director. We have no policy requiring the combination or separation of leadership roles and our governing documents do not mandate a particular structure. This has allowed, and will continue to allow, our Board the flexibility to establish the most appropriate structure for the Company at any given time.</w:t>
      </w:r>
    </w:p>
    <w:p>
      <w:pPr>
        <w:spacing w:after="0" w:line="132" w:lineRule="exact"/>
        <w:rPr>
          <w:sz w:val="20"/>
          <w:szCs w:val="20"/>
          <w:color w:val="auto"/>
        </w:rPr>
      </w:pPr>
    </w:p>
    <w:p>
      <w:pPr>
        <w:jc w:val="both"/>
        <w:ind w:firstLine="490"/>
        <w:spacing w:after="0"/>
        <w:rPr>
          <w:sz w:val="20"/>
          <w:szCs w:val="20"/>
          <w:color w:val="auto"/>
        </w:rPr>
      </w:pPr>
      <w:r>
        <w:rPr>
          <w:rFonts w:ascii="Times New Roman" w:cs="Times New Roman" w:eastAsia="Times New Roman" w:hAnsi="Times New Roman"/>
          <w:sz w:val="14"/>
          <w:szCs w:val="14"/>
          <w:color w:val="auto"/>
        </w:rPr>
        <w:t>Our Board is primarily responsible for overseeing our risk management processes. The Board receives and reviews periodic reports from management, auditors, legal counsel, and others, as considered appropriate regarding the Company’s assessment of risks. The Board focuses on the most significant risks facing the Company and the Company’s general risk management strategy, and also ensures that risks undertaken by the Company are consistent with the Board’s risk strategy. While the Board oversees the Company’s risk management, management is responsible for day-to-day risk management processes. We believe this division of responsibilities is the most effective approach for addressing the risks facing the Company and that our Board leadership structure supports this approach.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Family Relationships</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There are no family relationships among any of our directors or executive officers.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154"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 xml:space="preserve">We have adopted a Code of Business Conduct and Ethics that applies to all of our executive officers, financial and accounting officers, our directors, our financial managers and all of our employees. The Board is committed to a high standard of corporate governance practices and, through its oversight role, encourages and promotes a culture of ethical business conduct. A copy of our Code of Business Conduct and Ethics is posted under the “Investors” tab on our website, which is located at </w:t>
      </w:r>
      <w:r>
        <w:rPr>
          <w:rFonts w:ascii="Times New Roman" w:cs="Times New Roman" w:eastAsia="Times New Roman" w:hAnsi="Times New Roman"/>
          <w:sz w:val="14"/>
          <w:szCs w:val="14"/>
          <w:i w:val="1"/>
          <w:iCs w:val="1"/>
          <w:color w:val="auto"/>
        </w:rPr>
        <w:t>https://dragonflyenergy.com/.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Delinquent Section 16(a) Reports</w:t>
      </w:r>
    </w:p>
    <w:p>
      <w:pPr>
        <w:spacing w:after="0" w:line="154" w:lineRule="exact"/>
        <w:rPr>
          <w:sz w:val="20"/>
          <w:szCs w:val="20"/>
          <w:color w:val="auto"/>
        </w:rPr>
      </w:pPr>
    </w:p>
    <w:p>
      <w:pPr>
        <w:jc w:val="both"/>
        <w:ind w:firstLine="490"/>
        <w:spacing w:after="0"/>
        <w:rPr>
          <w:sz w:val="20"/>
          <w:szCs w:val="20"/>
          <w:color w:val="auto"/>
        </w:rPr>
      </w:pPr>
      <w:r>
        <w:rPr>
          <w:rFonts w:ascii="Times New Roman" w:cs="Times New Roman" w:eastAsia="Times New Roman" w:hAnsi="Times New Roman"/>
          <w:sz w:val="14"/>
          <w:szCs w:val="14"/>
          <w:color w:val="auto"/>
        </w:rPr>
        <w:t>Section 16(a) of the Exchange Act requires the Company’s directors, executive officers and persons who own more than 10% of a registered class of the Company’s securities to file with the SEC initial reports of ownership and reports of changes in ownership of common stock and other equity securities of the Company. Directors, executive officers and greater than 10% stockholders are required by SEC regulation to furnish the Company with copies of all Section 16(a) reports they file. To our knowledge, based solely on the review of the copies of these forms furnished to us and representations that no other reports were required, the Company believes that all forms required to be filed under Section 16 of the Exchange Act for the year ended December 31, 2022 were filed timely.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15240</wp:posOffset>
                </wp:positionV>
                <wp:extent cx="6568440"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8440"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2pt" to="517.6pt,1.2pt" o:allowincell="f" strokecolor="#000000" strokeweight="1.26pt"/>
            </w:pict>
          </mc:Fallback>
        </mc:AlternateContent>
      </w:r>
    </w:p>
    <w:p>
      <w:pPr>
        <w:sectPr>
          <w:pgSz w:w="12240" w:h="15840" w:orient="portrait"/>
          <w:cols w:equalWidth="0" w:num="1">
            <w:col w:w="10340"/>
          </w:cols>
          <w:pgMar w:left="940" w:top="1154" w:right="96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54" w:lineRule="exact"/>
        <w:rPr>
          <w:sz w:val="20"/>
          <w:szCs w:val="20"/>
          <w:color w:val="auto"/>
        </w:rPr>
      </w:pPr>
    </w:p>
    <w:p>
      <w:pPr>
        <w:jc w:val="both"/>
        <w:ind w:right="20" w:firstLine="490"/>
        <w:spacing w:after="0" w:line="262" w:lineRule="auto"/>
        <w:rPr>
          <w:sz w:val="20"/>
          <w:szCs w:val="20"/>
          <w:color w:val="auto"/>
        </w:rPr>
      </w:pPr>
      <w:r>
        <w:rPr>
          <w:rFonts w:ascii="Times New Roman" w:cs="Times New Roman" w:eastAsia="Times New Roman" w:hAnsi="Times New Roman"/>
          <w:sz w:val="14"/>
          <w:szCs w:val="14"/>
          <w:color w:val="auto"/>
        </w:rPr>
        <w:t>Our Board has formed a Compensation Committee. The Compensation Committee is responsible for reviewing and approving management compensation, including salaries, bonuses, and equity compensation. We seek to provide competitive compensation arrangements that attract and retain key talent necessary to achieve our business objectives.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154" w:lineRule="exact"/>
        <w:rPr>
          <w:sz w:val="20"/>
          <w:szCs w:val="20"/>
          <w:color w:val="auto"/>
        </w:rPr>
      </w:pPr>
    </w:p>
    <w:p>
      <w:pPr>
        <w:jc w:val="both"/>
        <w:ind w:right="20" w:firstLine="490"/>
        <w:spacing w:after="0" w:line="241" w:lineRule="auto"/>
        <w:rPr>
          <w:sz w:val="20"/>
          <w:szCs w:val="20"/>
          <w:color w:val="auto"/>
        </w:rPr>
      </w:pPr>
      <w:r>
        <w:rPr>
          <w:rFonts w:ascii="Times New Roman" w:cs="Times New Roman" w:eastAsia="Times New Roman" w:hAnsi="Times New Roman"/>
          <w:sz w:val="14"/>
          <w:szCs w:val="14"/>
          <w:color w:val="auto"/>
        </w:rPr>
        <w:t>The following table presents information regarding the total compensation awarded to, earned by, or paid to each person serving as our Chief Executive Officer during the fiscal year ended December 31, 2022, the two most highly-compensated executive officers (other than the Chief Executive Officer) who were serving as executive officers during the fiscal years ended December 31, 2022 and December 31, 2021, and up to two additional individuals for whom disclosure would have been provided but for the fact that such individuals were not serving as an executive officer as of December 31, 2022 for services rendered in all capacities to us for the fiscal year ended December 31, 2022. These individuals are our named executive officers (“</w:t>
      </w: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14"/>
          <w:szCs w:val="14"/>
          <w:color w:val="auto"/>
        </w:rPr>
        <w:t>”) for fiscal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Non-Qualified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200"/>
              <w:spacing w:after="0" w:line="156" w:lineRule="exact"/>
              <w:rPr>
                <w:sz w:val="20"/>
                <w:szCs w:val="20"/>
                <w:color w:val="auto"/>
              </w:rPr>
            </w:pPr>
            <w:r>
              <w:rPr>
                <w:rFonts w:ascii="Times New Roman" w:cs="Times New Roman" w:eastAsia="Times New Roman" w:hAnsi="Times New Roman"/>
                <w:sz w:val="14"/>
                <w:szCs w:val="14"/>
                <w:b w:val="1"/>
                <w:bCs w:val="1"/>
                <w:color w:val="auto"/>
                <w:w w:val="97"/>
              </w:rPr>
              <w:t>Non-Equity</w:t>
            </w:r>
          </w:p>
        </w:tc>
        <w:tc>
          <w:tcPr>
            <w:tcW w:w="8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220" w:type="dxa"/>
            <w:vAlign w:val="bottom"/>
          </w:tcPr>
          <w:p>
            <w:pPr>
              <w:spacing w:after="0"/>
              <w:rPr>
                <w:sz w:val="13"/>
                <w:szCs w:val="13"/>
                <w:color w:val="auto"/>
              </w:rPr>
            </w:pPr>
          </w:p>
        </w:tc>
        <w:tc>
          <w:tcPr>
            <w:tcW w:w="5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200" w:type="dxa"/>
            <w:vAlign w:val="bottom"/>
          </w:tcPr>
          <w:p>
            <w:pPr>
              <w:spacing w:after="0"/>
              <w:rPr>
                <w:sz w:val="13"/>
                <w:szCs w:val="13"/>
                <w:color w:val="auto"/>
              </w:rPr>
            </w:pPr>
          </w:p>
        </w:tc>
        <w:tc>
          <w:tcPr>
            <w:tcW w:w="104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84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20" w:type="dxa"/>
            <w:vAlign w:val="bottom"/>
          </w:tcPr>
          <w:p>
            <w:pPr>
              <w:spacing w:after="0"/>
              <w:rPr>
                <w:sz w:val="13"/>
                <w:szCs w:val="13"/>
                <w:color w:val="auto"/>
              </w:rPr>
            </w:pPr>
          </w:p>
        </w:tc>
        <w:tc>
          <w:tcPr>
            <w:tcW w:w="104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w w:val="94"/>
              </w:rPr>
              <w:t>All Other</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284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0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Earnings</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7"/>
        </w:trPr>
        <w:tc>
          <w:tcPr>
            <w:tcW w:w="20" w:type="dxa"/>
            <w:vAlign w:val="bottom"/>
          </w:tcPr>
          <w:p>
            <w:pPr>
              <w:spacing w:after="0"/>
              <w:rPr>
                <w:sz w:val="15"/>
                <w:szCs w:val="15"/>
                <w:color w:val="auto"/>
              </w:rPr>
            </w:pPr>
          </w:p>
        </w:tc>
        <w:tc>
          <w:tcPr>
            <w:tcW w:w="284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w:t>
            </w:r>
          </w:p>
        </w:tc>
        <w:tc>
          <w:tcPr>
            <w:tcW w:w="72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w:t>
            </w:r>
          </w:p>
        </w:tc>
        <w:tc>
          <w:tcPr>
            <w:tcW w:w="2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72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4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22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r>
      <w:tr>
        <w:trPr>
          <w:trHeight w:val="139"/>
        </w:trPr>
        <w:tc>
          <w:tcPr>
            <w:tcW w:w="20" w:type="dxa"/>
            <w:vAlign w:val="bottom"/>
            <w:tcBorders>
              <w:top w:val="single" w:sz="8" w:color="D1EEF5"/>
            </w:tcBorders>
            <w:shd w:val="clear" w:color="auto" w:fill="D1EEF5"/>
          </w:tcPr>
          <w:p>
            <w:pPr>
              <w:spacing w:after="0"/>
              <w:rPr>
                <w:sz w:val="12"/>
                <w:szCs w:val="12"/>
                <w:color w:val="auto"/>
              </w:rPr>
            </w:pPr>
          </w:p>
        </w:tc>
        <w:tc>
          <w:tcPr>
            <w:tcW w:w="2840" w:type="dxa"/>
            <w:vAlign w:val="bottom"/>
            <w:tcBorders>
              <w:top w:val="single" w:sz="8" w:color="auto"/>
            </w:tcBorders>
            <w:shd w:val="clear" w:color="auto" w:fill="D1EEF5"/>
          </w:tcPr>
          <w:p>
            <w:pPr>
              <w:spacing w:after="0" w:line="139" w:lineRule="exact"/>
              <w:rPr>
                <w:sz w:val="20"/>
                <w:szCs w:val="20"/>
                <w:color w:val="auto"/>
              </w:rPr>
            </w:pPr>
            <w:r>
              <w:rPr>
                <w:rFonts w:ascii="Times New Roman" w:cs="Times New Roman" w:eastAsia="Times New Roman" w:hAnsi="Times New Roman"/>
                <w:sz w:val="14"/>
                <w:szCs w:val="14"/>
                <w:color w:val="auto"/>
              </w:rPr>
              <w:t>Dr. Denis Phares</w:t>
            </w:r>
          </w:p>
        </w:tc>
        <w:tc>
          <w:tcPr>
            <w:tcW w:w="140" w:type="dxa"/>
            <w:vAlign w:val="bottom"/>
            <w:tcBorders>
              <w:top w:val="single" w:sz="8" w:color="D1EEF5"/>
            </w:tcBorders>
            <w:shd w:val="clear" w:color="auto" w:fill="D1EEF5"/>
          </w:tcPr>
          <w:p>
            <w:pPr>
              <w:spacing w:after="0"/>
              <w:rPr>
                <w:sz w:val="12"/>
                <w:szCs w:val="12"/>
                <w:color w:val="auto"/>
              </w:rPr>
            </w:pPr>
          </w:p>
        </w:tc>
        <w:tc>
          <w:tcPr>
            <w:tcW w:w="420" w:type="dxa"/>
            <w:vAlign w:val="bottom"/>
            <w:tcBorders>
              <w:top w:val="single" w:sz="8" w:color="auto"/>
            </w:tcBorders>
            <w:shd w:val="clear" w:color="auto" w:fill="D1EEF5"/>
          </w:tcPr>
          <w:p>
            <w:pPr>
              <w:jc w:val="right"/>
              <w:spacing w:after="0" w:line="139" w:lineRule="exact"/>
              <w:rPr>
                <w:sz w:val="20"/>
                <w:szCs w:val="20"/>
                <w:color w:val="auto"/>
              </w:rPr>
            </w:pPr>
            <w:r>
              <w:rPr>
                <w:rFonts w:ascii="Times New Roman" w:cs="Times New Roman" w:eastAsia="Times New Roman" w:hAnsi="Times New Roman"/>
                <w:sz w:val="14"/>
                <w:szCs w:val="14"/>
                <w:color w:val="auto"/>
              </w:rPr>
              <w:t>2022</w:t>
            </w:r>
          </w:p>
        </w:tc>
        <w:tc>
          <w:tcPr>
            <w:tcW w:w="220" w:type="dxa"/>
            <w:vAlign w:val="bottom"/>
            <w:tcBorders>
              <w:top w:val="single" w:sz="8" w:color="D1EEF5"/>
            </w:tcBorders>
            <w:shd w:val="clear" w:color="auto" w:fill="D1EEF5"/>
          </w:tcPr>
          <w:p>
            <w:pPr>
              <w:spacing w:after="0"/>
              <w:rPr>
                <w:sz w:val="12"/>
                <w:szCs w:val="12"/>
                <w:color w:val="auto"/>
              </w:rPr>
            </w:pPr>
          </w:p>
        </w:tc>
        <w:tc>
          <w:tcPr>
            <w:tcW w:w="500" w:type="dxa"/>
            <w:vAlign w:val="bottom"/>
            <w:tcBorders>
              <w:top w:val="single" w:sz="8" w:color="auto"/>
            </w:tcBorders>
            <w:shd w:val="clear" w:color="auto" w:fill="D1EEF5"/>
          </w:tcPr>
          <w:p>
            <w:pPr>
              <w:jc w:val="right"/>
              <w:spacing w:after="0" w:line="139" w:lineRule="exact"/>
              <w:rPr>
                <w:sz w:val="20"/>
                <w:szCs w:val="20"/>
                <w:color w:val="auto"/>
              </w:rPr>
            </w:pPr>
            <w:r>
              <w:rPr>
                <w:rFonts w:ascii="Times New Roman" w:cs="Times New Roman" w:eastAsia="Times New Roman" w:hAnsi="Times New Roman"/>
                <w:sz w:val="14"/>
                <w:szCs w:val="14"/>
                <w:color w:val="auto"/>
              </w:rPr>
              <w:t>682,000</w:t>
            </w:r>
          </w:p>
        </w:tc>
        <w:tc>
          <w:tcPr>
            <w:tcW w:w="200" w:type="dxa"/>
            <w:vAlign w:val="bottom"/>
            <w:tcBorders>
              <w:top w:val="single" w:sz="8" w:color="D1EEF5"/>
            </w:tcBorders>
            <w:shd w:val="clear" w:color="auto" w:fill="D1EEF5"/>
          </w:tcPr>
          <w:p>
            <w:pPr>
              <w:spacing w:after="0"/>
              <w:rPr>
                <w:sz w:val="12"/>
                <w:szCs w:val="12"/>
                <w:color w:val="auto"/>
              </w:rPr>
            </w:pPr>
          </w:p>
        </w:tc>
        <w:tc>
          <w:tcPr>
            <w:tcW w:w="500" w:type="dxa"/>
            <w:vAlign w:val="bottom"/>
            <w:tcBorders>
              <w:top w:val="single" w:sz="8" w:color="auto"/>
            </w:tcBorders>
            <w:shd w:val="clear" w:color="auto" w:fill="D1EEF5"/>
          </w:tcPr>
          <w:p>
            <w:pPr>
              <w:jc w:val="right"/>
              <w:spacing w:after="0" w:line="139" w:lineRule="exact"/>
              <w:rPr>
                <w:sz w:val="20"/>
                <w:szCs w:val="20"/>
                <w:color w:val="auto"/>
              </w:rPr>
            </w:pPr>
            <w:r>
              <w:rPr>
                <w:rFonts w:ascii="Times New Roman" w:cs="Times New Roman" w:eastAsia="Times New Roman" w:hAnsi="Times New Roman"/>
                <w:sz w:val="14"/>
                <w:szCs w:val="14"/>
                <w:color w:val="auto"/>
              </w:rPr>
              <w:t>806,207</w:t>
            </w:r>
          </w:p>
        </w:tc>
        <w:tc>
          <w:tcPr>
            <w:tcW w:w="200" w:type="dxa"/>
            <w:vAlign w:val="bottom"/>
            <w:tcBorders>
              <w:top w:val="single" w:sz="8" w:color="D1EEF5"/>
            </w:tcBorders>
            <w:shd w:val="clear" w:color="auto" w:fill="D1EEF5"/>
          </w:tcPr>
          <w:p>
            <w:pPr>
              <w:spacing w:after="0"/>
              <w:rPr>
                <w:sz w:val="12"/>
                <w:szCs w:val="12"/>
                <w:color w:val="auto"/>
              </w:rPr>
            </w:pPr>
          </w:p>
        </w:tc>
        <w:tc>
          <w:tcPr>
            <w:tcW w:w="600" w:type="dxa"/>
            <w:vAlign w:val="bottom"/>
            <w:tcBorders>
              <w:top w:val="single" w:sz="8" w:color="auto"/>
            </w:tcBorders>
            <w:shd w:val="clear" w:color="auto" w:fill="D1EEF5"/>
          </w:tcPr>
          <w:p>
            <w:pPr>
              <w:jc w:val="center"/>
              <w:spacing w:after="0" w:line="139" w:lineRule="exact"/>
              <w:rPr>
                <w:sz w:val="20"/>
                <w:szCs w:val="20"/>
                <w:color w:val="auto"/>
              </w:rPr>
            </w:pPr>
            <w:r>
              <w:rPr>
                <w:rFonts w:ascii="Times New Roman" w:cs="Times New Roman" w:eastAsia="Times New Roman" w:hAnsi="Times New Roman"/>
                <w:sz w:val="14"/>
                <w:szCs w:val="14"/>
                <w:color w:val="auto"/>
                <w:w w:val="96"/>
              </w:rPr>
              <w:t>1,531,545</w:t>
            </w:r>
          </w:p>
        </w:tc>
        <w:tc>
          <w:tcPr>
            <w:tcW w:w="220" w:type="dxa"/>
            <w:vAlign w:val="bottom"/>
            <w:tcBorders>
              <w:top w:val="single" w:sz="8" w:color="D1EEF5"/>
            </w:tcBorders>
            <w:shd w:val="clear" w:color="auto" w:fill="D1EEF5"/>
          </w:tcPr>
          <w:p>
            <w:pPr>
              <w:spacing w:after="0"/>
              <w:rPr>
                <w:sz w:val="12"/>
                <w:szCs w:val="12"/>
                <w:color w:val="auto"/>
              </w:rPr>
            </w:pPr>
          </w:p>
        </w:tc>
        <w:tc>
          <w:tcPr>
            <w:tcW w:w="500" w:type="dxa"/>
            <w:vAlign w:val="bottom"/>
            <w:tcBorders>
              <w:top w:val="single" w:sz="8" w:color="auto"/>
            </w:tcBorders>
            <w:shd w:val="clear" w:color="auto" w:fill="D1EEF5"/>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top w:val="single" w:sz="8" w:color="D1EEF5"/>
            </w:tcBorders>
            <w:shd w:val="clear" w:color="auto" w:fill="D1EEF5"/>
          </w:tcPr>
          <w:p>
            <w:pPr>
              <w:spacing w:after="0"/>
              <w:rPr>
                <w:sz w:val="12"/>
                <w:szCs w:val="12"/>
                <w:color w:val="auto"/>
              </w:rPr>
            </w:pPr>
          </w:p>
        </w:tc>
        <w:tc>
          <w:tcPr>
            <w:tcW w:w="840" w:type="dxa"/>
            <w:vAlign w:val="bottom"/>
            <w:tcBorders>
              <w:top w:val="single" w:sz="8" w:color="auto"/>
            </w:tcBorders>
            <w:shd w:val="clear" w:color="auto" w:fill="D1EEF5"/>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top w:val="single" w:sz="8" w:color="D1EEF5"/>
            </w:tcBorders>
            <w:shd w:val="clear" w:color="auto" w:fill="D1EEF5"/>
          </w:tcPr>
          <w:p>
            <w:pPr>
              <w:spacing w:after="0"/>
              <w:rPr>
                <w:sz w:val="12"/>
                <w:szCs w:val="12"/>
                <w:color w:val="auto"/>
              </w:rPr>
            </w:pPr>
          </w:p>
        </w:tc>
        <w:tc>
          <w:tcPr>
            <w:tcW w:w="840" w:type="dxa"/>
            <w:vAlign w:val="bottom"/>
            <w:tcBorders>
              <w:top w:val="single" w:sz="8" w:color="auto"/>
            </w:tcBorders>
            <w:shd w:val="clear" w:color="auto" w:fill="D1EEF5"/>
          </w:tcPr>
          <w:p>
            <w:pPr>
              <w:ind w:left="4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D1EEF5"/>
            </w:tcBorders>
            <w:shd w:val="clear" w:color="auto" w:fill="D1EEF5"/>
          </w:tcPr>
          <w:p>
            <w:pPr>
              <w:spacing w:after="0"/>
              <w:rPr>
                <w:sz w:val="12"/>
                <w:szCs w:val="12"/>
                <w:color w:val="auto"/>
              </w:rPr>
            </w:pPr>
          </w:p>
        </w:tc>
        <w:tc>
          <w:tcPr>
            <w:tcW w:w="820" w:type="dxa"/>
            <w:vAlign w:val="bottom"/>
            <w:tcBorders>
              <w:top w:val="single" w:sz="8" w:color="auto"/>
            </w:tcBorders>
            <w:shd w:val="clear" w:color="auto" w:fill="D1EEF5"/>
          </w:tcPr>
          <w:p>
            <w:pPr>
              <w:jc w:val="center"/>
              <w:ind w:left="12"/>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top w:val="single" w:sz="8" w:color="D1EEF5"/>
            </w:tcBorders>
            <w:shd w:val="clear" w:color="auto" w:fill="D1EEF5"/>
          </w:tcPr>
          <w:p>
            <w:pPr>
              <w:spacing w:after="0"/>
              <w:rPr>
                <w:sz w:val="12"/>
                <w:szCs w:val="12"/>
                <w:color w:val="auto"/>
              </w:rPr>
            </w:pPr>
          </w:p>
        </w:tc>
        <w:tc>
          <w:tcPr>
            <w:tcW w:w="600" w:type="dxa"/>
            <w:vAlign w:val="bottom"/>
            <w:tcBorders>
              <w:top w:val="single" w:sz="8" w:color="auto"/>
            </w:tcBorders>
            <w:shd w:val="clear" w:color="auto" w:fill="D1EEF5"/>
          </w:tcPr>
          <w:p>
            <w:pPr>
              <w:jc w:val="right"/>
              <w:spacing w:after="0" w:line="139" w:lineRule="exact"/>
              <w:rPr>
                <w:sz w:val="20"/>
                <w:szCs w:val="20"/>
                <w:color w:val="auto"/>
              </w:rPr>
            </w:pPr>
            <w:r>
              <w:rPr>
                <w:rFonts w:ascii="Times New Roman" w:cs="Times New Roman" w:eastAsia="Times New Roman" w:hAnsi="Times New Roman"/>
                <w:sz w:val="14"/>
                <w:szCs w:val="14"/>
                <w:color w:val="auto"/>
              </w:rPr>
              <w:t>3,019,752</w:t>
            </w:r>
          </w:p>
        </w:tc>
        <w:tc>
          <w:tcPr>
            <w:tcW w:w="40" w:type="dxa"/>
            <w:vAlign w:val="bottom"/>
            <w:tcBorders>
              <w:top w:val="single" w:sz="8" w:color="D1EEF5"/>
            </w:tcBorders>
            <w:shd w:val="clear" w:color="auto" w:fill="D1EEF5"/>
          </w:tcPr>
          <w:p>
            <w:pPr>
              <w:spacing w:after="0"/>
              <w:rPr>
                <w:sz w:val="12"/>
                <w:szCs w:val="12"/>
                <w:color w:val="auto"/>
              </w:rPr>
            </w:pPr>
          </w:p>
        </w:tc>
      </w:tr>
      <w:tr>
        <w:trPr>
          <w:trHeight w:val="176"/>
        </w:trPr>
        <w:tc>
          <w:tcPr>
            <w:tcW w:w="20" w:type="dxa"/>
            <w:vAlign w:val="bottom"/>
            <w:shd w:val="clear" w:color="auto" w:fill="D1EEF5"/>
          </w:tcPr>
          <w:p>
            <w:pPr>
              <w:spacing w:after="0"/>
              <w:rPr>
                <w:sz w:val="15"/>
                <w:szCs w:val="15"/>
                <w:color w:val="auto"/>
              </w:rPr>
            </w:pPr>
          </w:p>
        </w:tc>
        <w:tc>
          <w:tcPr>
            <w:tcW w:w="2840" w:type="dxa"/>
            <w:vAlign w:val="bottom"/>
            <w:shd w:val="clear" w:color="auto" w:fill="D1EEF5"/>
          </w:tcPr>
          <w:p>
            <w:pPr>
              <w:ind w:left="12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56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72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579,593</w:t>
            </w:r>
          </w:p>
        </w:tc>
        <w:tc>
          <w:tcPr>
            <w:tcW w:w="900" w:type="dxa"/>
            <w:vAlign w:val="bottom"/>
            <w:gridSpan w:val="3"/>
            <w:shd w:val="clear" w:color="auto" w:fill="D1EEF5"/>
          </w:tcPr>
          <w:p>
            <w:pPr>
              <w:jc w:val="right"/>
              <w:ind w:right="200"/>
              <w:spacing w:after="0"/>
              <w:rPr>
                <w:sz w:val="20"/>
                <w:szCs w:val="20"/>
                <w:color w:val="auto"/>
              </w:rPr>
            </w:pPr>
            <w:r>
              <w:rPr>
                <w:rFonts w:ascii="Times New Roman" w:cs="Times New Roman" w:eastAsia="Times New Roman" w:hAnsi="Times New Roman"/>
                <w:sz w:val="14"/>
                <w:szCs w:val="14"/>
                <w:color w:val="auto"/>
              </w:rPr>
              <w:t>362,137</w:t>
            </w:r>
          </w:p>
        </w:tc>
        <w:tc>
          <w:tcPr>
            <w:tcW w:w="600" w:type="dxa"/>
            <w:vAlign w:val="bottom"/>
            <w:shd w:val="clear" w:color="auto" w:fill="D1EEF5"/>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D1EEF5"/>
          </w:tcPr>
          <w:p>
            <w:pPr>
              <w:spacing w:after="0"/>
              <w:rPr>
                <w:sz w:val="15"/>
                <w:szCs w:val="15"/>
                <w:color w:val="auto"/>
              </w:rPr>
            </w:pPr>
          </w:p>
        </w:tc>
        <w:tc>
          <w:tcPr>
            <w:tcW w:w="500" w:type="dxa"/>
            <w:vAlign w:val="bottom"/>
            <w:shd w:val="clear" w:color="auto" w:fill="D1EEF5"/>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D1EEF5"/>
          </w:tcPr>
          <w:p>
            <w:pPr>
              <w:spacing w:after="0"/>
              <w:rPr>
                <w:sz w:val="15"/>
                <w:szCs w:val="15"/>
                <w:color w:val="auto"/>
              </w:rPr>
            </w:pPr>
          </w:p>
        </w:tc>
        <w:tc>
          <w:tcPr>
            <w:tcW w:w="1040" w:type="dxa"/>
            <w:vAlign w:val="bottom"/>
            <w:gridSpan w:val="2"/>
            <w:shd w:val="clear" w:color="auto" w:fill="D1EEF5"/>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shd w:val="clear" w:color="auto" w:fill="D1EEF5"/>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D1EEF5"/>
          </w:tcPr>
          <w:p>
            <w:pPr>
              <w:jc w:val="center"/>
              <w:ind w:left="212"/>
              <w:spacing w:after="0"/>
              <w:rPr>
                <w:sz w:val="20"/>
                <w:szCs w:val="20"/>
                <w:color w:val="auto"/>
              </w:rPr>
            </w:pPr>
            <w:r>
              <w:rPr>
                <w:rFonts w:ascii="Times New Roman" w:cs="Times New Roman" w:eastAsia="Times New Roman" w:hAnsi="Times New Roman"/>
                <w:sz w:val="14"/>
                <w:szCs w:val="14"/>
                <w:color w:val="auto"/>
                <w:w w:val="93"/>
              </w:rPr>
              <w:t>22,234</w:t>
            </w:r>
          </w:p>
        </w:tc>
        <w:tc>
          <w:tcPr>
            <w:tcW w:w="220" w:type="dxa"/>
            <w:vAlign w:val="bottom"/>
            <w:shd w:val="clear" w:color="auto" w:fill="D1EEF5"/>
          </w:tcPr>
          <w:p>
            <w:pPr>
              <w:spacing w:after="0"/>
              <w:rPr>
                <w:sz w:val="15"/>
                <w:szCs w:val="15"/>
                <w:color w:val="auto"/>
              </w:rPr>
            </w:pPr>
          </w:p>
        </w:tc>
        <w:tc>
          <w:tcPr>
            <w:tcW w:w="640" w:type="dxa"/>
            <w:vAlign w:val="bottom"/>
            <w:gridSpan w:val="2"/>
            <w:shd w:val="clear" w:color="auto" w:fill="D1EEF5"/>
          </w:tcPr>
          <w:p>
            <w:pPr>
              <w:jc w:val="right"/>
              <w:ind w:right="40"/>
              <w:spacing w:after="0"/>
              <w:rPr>
                <w:sz w:val="20"/>
                <w:szCs w:val="20"/>
                <w:color w:val="auto"/>
              </w:rPr>
            </w:pPr>
            <w:r>
              <w:rPr>
                <w:rFonts w:ascii="Times New Roman" w:cs="Times New Roman" w:eastAsia="Times New Roman" w:hAnsi="Times New Roman"/>
                <w:sz w:val="14"/>
                <w:szCs w:val="14"/>
                <w:color w:val="auto"/>
              </w:rPr>
              <w:t>963,964</w:t>
            </w:r>
          </w:p>
        </w:tc>
      </w:tr>
      <w:tr>
        <w:trPr>
          <w:trHeight w:val="138"/>
        </w:trPr>
        <w:tc>
          <w:tcPr>
            <w:tcW w:w="286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Sean Nichols(5)</w:t>
            </w:r>
          </w:p>
        </w:tc>
        <w:tc>
          <w:tcPr>
            <w:tcW w:w="5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2022</w:t>
            </w:r>
          </w:p>
        </w:tc>
        <w:tc>
          <w:tcPr>
            <w:tcW w:w="72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598,462</w:t>
            </w:r>
          </w:p>
        </w:tc>
        <w:tc>
          <w:tcPr>
            <w:tcW w:w="900" w:type="dxa"/>
            <w:vAlign w:val="bottom"/>
            <w:gridSpan w:val="3"/>
          </w:tcPr>
          <w:p>
            <w:pPr>
              <w:jc w:val="right"/>
              <w:ind w:right="200"/>
              <w:spacing w:after="0" w:line="138" w:lineRule="exact"/>
              <w:rPr>
                <w:sz w:val="20"/>
                <w:szCs w:val="20"/>
                <w:color w:val="auto"/>
              </w:rPr>
            </w:pPr>
            <w:r>
              <w:rPr>
                <w:rFonts w:ascii="Times New Roman" w:cs="Times New Roman" w:eastAsia="Times New Roman" w:hAnsi="Times New Roman"/>
                <w:sz w:val="14"/>
                <w:szCs w:val="14"/>
                <w:color w:val="auto"/>
              </w:rPr>
              <w:t>655,587</w:t>
            </w:r>
          </w:p>
        </w:tc>
        <w:tc>
          <w:tcPr>
            <w:tcW w:w="6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1"/>
                <w:szCs w:val="11"/>
                <w:color w:val="auto"/>
              </w:rPr>
            </w:pPr>
          </w:p>
        </w:tc>
        <w:tc>
          <w:tcPr>
            <w:tcW w:w="5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1"/>
                <w:szCs w:val="11"/>
                <w:color w:val="auto"/>
              </w:rPr>
            </w:pPr>
          </w:p>
        </w:tc>
        <w:tc>
          <w:tcPr>
            <w:tcW w:w="1040" w:type="dxa"/>
            <w:vAlign w:val="bottom"/>
            <w:gridSpan w:val="2"/>
          </w:tcPr>
          <w:p>
            <w:pPr>
              <w:jc w:val="center"/>
              <w:ind w:right="140"/>
              <w:spacing w:after="0" w:line="138" w:lineRule="exact"/>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Pr>
          <w:p>
            <w:pPr>
              <w:ind w:left="440"/>
              <w:spacing w:after="0" w:line="13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center"/>
              <w:ind w:left="212"/>
              <w:spacing w:after="0" w:line="138" w:lineRule="exact"/>
              <w:rPr>
                <w:sz w:val="20"/>
                <w:szCs w:val="20"/>
                <w:color w:val="auto"/>
              </w:rPr>
            </w:pPr>
            <w:r>
              <w:rPr>
                <w:rFonts w:ascii="Times New Roman" w:cs="Times New Roman" w:eastAsia="Times New Roman" w:hAnsi="Times New Roman"/>
                <w:sz w:val="14"/>
                <w:szCs w:val="14"/>
                <w:color w:val="auto"/>
                <w:w w:val="96"/>
              </w:rPr>
              <w:t>157,693</w:t>
            </w:r>
          </w:p>
        </w:tc>
        <w:tc>
          <w:tcPr>
            <w:tcW w:w="220" w:type="dxa"/>
            <w:vAlign w:val="bottom"/>
          </w:tcPr>
          <w:p>
            <w:pPr>
              <w:spacing w:after="0"/>
              <w:rPr>
                <w:sz w:val="11"/>
                <w:szCs w:val="11"/>
                <w:color w:val="auto"/>
              </w:rPr>
            </w:pPr>
          </w:p>
        </w:tc>
        <w:tc>
          <w:tcPr>
            <w:tcW w:w="640" w:type="dxa"/>
            <w:vAlign w:val="bottom"/>
            <w:gridSpan w:val="2"/>
          </w:tcPr>
          <w:p>
            <w:pPr>
              <w:jc w:val="right"/>
              <w:ind w:right="40"/>
              <w:spacing w:after="0" w:line="138" w:lineRule="exact"/>
              <w:rPr>
                <w:sz w:val="20"/>
                <w:szCs w:val="20"/>
                <w:color w:val="auto"/>
              </w:rPr>
            </w:pPr>
            <w:r>
              <w:rPr>
                <w:rFonts w:ascii="Times New Roman" w:cs="Times New Roman" w:eastAsia="Times New Roman" w:hAnsi="Times New Roman"/>
                <w:sz w:val="14"/>
                <w:szCs w:val="14"/>
                <w:color w:val="auto"/>
              </w:rPr>
              <w:t>1,411,742</w:t>
            </w:r>
          </w:p>
        </w:tc>
      </w:tr>
      <w:tr>
        <w:trPr>
          <w:trHeight w:val="176"/>
        </w:trPr>
        <w:tc>
          <w:tcPr>
            <w:tcW w:w="20" w:type="dxa"/>
            <w:vAlign w:val="bottom"/>
          </w:tcPr>
          <w:p>
            <w:pPr>
              <w:spacing w:after="0"/>
              <w:rPr>
                <w:sz w:val="15"/>
                <w:szCs w:val="15"/>
                <w:color w:val="auto"/>
              </w:rPr>
            </w:pPr>
          </w:p>
        </w:tc>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Former Chief Operating Officer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579,593</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362,137</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center"/>
              <w:ind w:left="212"/>
              <w:spacing w:after="0"/>
              <w:rPr>
                <w:sz w:val="20"/>
                <w:szCs w:val="20"/>
                <w:color w:val="auto"/>
              </w:rPr>
            </w:pPr>
            <w:r>
              <w:rPr>
                <w:rFonts w:ascii="Times New Roman" w:cs="Times New Roman" w:eastAsia="Times New Roman" w:hAnsi="Times New Roman"/>
                <w:sz w:val="14"/>
                <w:szCs w:val="14"/>
                <w:color w:val="auto"/>
                <w:w w:val="93"/>
              </w:rPr>
              <w:t>20,244</w:t>
            </w:r>
          </w:p>
        </w:tc>
        <w:tc>
          <w:tcPr>
            <w:tcW w:w="2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961,974</w:t>
            </w:r>
          </w:p>
        </w:tc>
      </w:tr>
      <w:tr>
        <w:trPr>
          <w:trHeight w:val="136"/>
        </w:trPr>
        <w:tc>
          <w:tcPr>
            <w:tcW w:w="2860" w:type="dxa"/>
            <w:vAlign w:val="bottom"/>
            <w:gridSpan w:val="2"/>
            <w:shd w:val="clear" w:color="auto" w:fill="D1EEF5"/>
          </w:tcPr>
          <w:p>
            <w:pPr>
              <w:spacing w:after="0" w:line="137" w:lineRule="exact"/>
              <w:rPr>
                <w:sz w:val="20"/>
                <w:szCs w:val="20"/>
                <w:color w:val="auto"/>
              </w:rPr>
            </w:pPr>
            <w:r>
              <w:rPr>
                <w:rFonts w:ascii="Times New Roman" w:cs="Times New Roman" w:eastAsia="Times New Roman" w:hAnsi="Times New Roman"/>
                <w:sz w:val="14"/>
                <w:szCs w:val="14"/>
                <w:color w:val="auto"/>
              </w:rPr>
              <w:t>John Marchetti(6)</w:t>
            </w:r>
          </w:p>
        </w:tc>
        <w:tc>
          <w:tcPr>
            <w:tcW w:w="560" w:type="dxa"/>
            <w:vAlign w:val="bottom"/>
            <w:gridSpan w:val="2"/>
            <w:shd w:val="clear" w:color="auto" w:fill="D1EEF5"/>
          </w:tcPr>
          <w:p>
            <w:pPr>
              <w:jc w:val="right"/>
              <w:spacing w:after="0" w:line="137" w:lineRule="exact"/>
              <w:rPr>
                <w:sz w:val="20"/>
                <w:szCs w:val="20"/>
                <w:color w:val="auto"/>
              </w:rPr>
            </w:pPr>
            <w:r>
              <w:rPr>
                <w:rFonts w:ascii="Times New Roman" w:cs="Times New Roman" w:eastAsia="Times New Roman" w:hAnsi="Times New Roman"/>
                <w:sz w:val="14"/>
                <w:szCs w:val="14"/>
                <w:color w:val="auto"/>
              </w:rPr>
              <w:t>2022</w:t>
            </w:r>
          </w:p>
        </w:tc>
        <w:tc>
          <w:tcPr>
            <w:tcW w:w="720" w:type="dxa"/>
            <w:vAlign w:val="bottom"/>
            <w:gridSpan w:val="2"/>
            <w:shd w:val="clear" w:color="auto" w:fill="D1EEF5"/>
          </w:tcPr>
          <w:p>
            <w:pPr>
              <w:jc w:val="right"/>
              <w:spacing w:after="0" w:line="137" w:lineRule="exact"/>
              <w:rPr>
                <w:sz w:val="20"/>
                <w:szCs w:val="20"/>
                <w:color w:val="auto"/>
              </w:rPr>
            </w:pPr>
            <w:r>
              <w:rPr>
                <w:rFonts w:ascii="Times New Roman" w:cs="Times New Roman" w:eastAsia="Times New Roman" w:hAnsi="Times New Roman"/>
                <w:sz w:val="14"/>
                <w:szCs w:val="14"/>
                <w:color w:val="auto"/>
              </w:rPr>
              <w:t>316,153</w:t>
            </w:r>
          </w:p>
        </w:tc>
        <w:tc>
          <w:tcPr>
            <w:tcW w:w="900" w:type="dxa"/>
            <w:vAlign w:val="bottom"/>
            <w:gridSpan w:val="3"/>
            <w:shd w:val="clear" w:color="auto" w:fill="D1EEF5"/>
          </w:tcPr>
          <w:p>
            <w:pPr>
              <w:jc w:val="right"/>
              <w:ind w:right="200"/>
              <w:spacing w:after="0" w:line="137" w:lineRule="exact"/>
              <w:rPr>
                <w:sz w:val="20"/>
                <w:szCs w:val="20"/>
                <w:color w:val="auto"/>
              </w:rPr>
            </w:pPr>
            <w:r>
              <w:rPr>
                <w:rFonts w:ascii="Times New Roman" w:cs="Times New Roman" w:eastAsia="Times New Roman" w:hAnsi="Times New Roman"/>
                <w:sz w:val="14"/>
                <w:szCs w:val="14"/>
                <w:color w:val="auto"/>
              </w:rPr>
              <w:t>769,366</w:t>
            </w:r>
          </w:p>
        </w:tc>
        <w:tc>
          <w:tcPr>
            <w:tcW w:w="600" w:type="dxa"/>
            <w:vAlign w:val="bottom"/>
            <w:shd w:val="clear" w:color="auto" w:fill="D1EEF5"/>
          </w:tcPr>
          <w:p>
            <w:pPr>
              <w:jc w:val="center"/>
              <w:ind w:left="12"/>
              <w:spacing w:after="0" w:line="137" w:lineRule="exact"/>
              <w:rPr>
                <w:sz w:val="20"/>
                <w:szCs w:val="20"/>
                <w:color w:val="auto"/>
              </w:rPr>
            </w:pPr>
            <w:r>
              <w:rPr>
                <w:rFonts w:ascii="Times New Roman" w:cs="Times New Roman" w:eastAsia="Times New Roman" w:hAnsi="Times New Roman"/>
                <w:sz w:val="14"/>
                <w:szCs w:val="14"/>
                <w:color w:val="auto"/>
                <w:w w:val="96"/>
              </w:rPr>
              <w:t>645,998</w:t>
            </w:r>
          </w:p>
        </w:tc>
        <w:tc>
          <w:tcPr>
            <w:tcW w:w="220" w:type="dxa"/>
            <w:vAlign w:val="bottom"/>
            <w:shd w:val="clear" w:color="auto" w:fill="D1EEF5"/>
          </w:tcPr>
          <w:p>
            <w:pPr>
              <w:spacing w:after="0"/>
              <w:rPr>
                <w:sz w:val="11"/>
                <w:szCs w:val="11"/>
                <w:color w:val="auto"/>
              </w:rPr>
            </w:pPr>
          </w:p>
        </w:tc>
        <w:tc>
          <w:tcPr>
            <w:tcW w:w="500" w:type="dxa"/>
            <w:vAlign w:val="bottom"/>
            <w:shd w:val="clear" w:color="auto" w:fill="D1EEF5"/>
          </w:tcPr>
          <w:p>
            <w:pPr>
              <w:jc w:val="center"/>
              <w:spacing w:after="0" w:line="137"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D1EEF5"/>
          </w:tcPr>
          <w:p>
            <w:pPr>
              <w:spacing w:after="0"/>
              <w:rPr>
                <w:sz w:val="11"/>
                <w:szCs w:val="11"/>
                <w:color w:val="auto"/>
              </w:rPr>
            </w:pPr>
          </w:p>
        </w:tc>
        <w:tc>
          <w:tcPr>
            <w:tcW w:w="1040" w:type="dxa"/>
            <w:vAlign w:val="bottom"/>
            <w:gridSpan w:val="2"/>
            <w:shd w:val="clear" w:color="auto" w:fill="D1EEF5"/>
          </w:tcPr>
          <w:p>
            <w:pPr>
              <w:jc w:val="center"/>
              <w:ind w:right="140"/>
              <w:spacing w:after="0" w:line="137" w:lineRule="exact"/>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shd w:val="clear" w:color="auto" w:fill="D1EEF5"/>
          </w:tcPr>
          <w:p>
            <w:pPr>
              <w:ind w:left="440"/>
              <w:spacing w:after="0" w:line="137"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D1EEF5"/>
          </w:tcPr>
          <w:p>
            <w:pPr>
              <w:jc w:val="center"/>
              <w:ind w:left="232"/>
              <w:spacing w:after="0" w:line="137" w:lineRule="exact"/>
              <w:rPr>
                <w:sz w:val="20"/>
                <w:szCs w:val="20"/>
                <w:color w:val="auto"/>
              </w:rPr>
            </w:pPr>
            <w:r>
              <w:rPr>
                <w:rFonts w:ascii="Times New Roman" w:cs="Times New Roman" w:eastAsia="Times New Roman" w:hAnsi="Times New Roman"/>
                <w:sz w:val="14"/>
                <w:szCs w:val="14"/>
                <w:color w:val="auto"/>
                <w:w w:val="98"/>
              </w:rPr>
              <w:t>11,057</w:t>
            </w:r>
          </w:p>
        </w:tc>
        <w:tc>
          <w:tcPr>
            <w:tcW w:w="220" w:type="dxa"/>
            <w:vAlign w:val="bottom"/>
            <w:shd w:val="clear" w:color="auto" w:fill="D1EEF5"/>
          </w:tcPr>
          <w:p>
            <w:pPr>
              <w:spacing w:after="0"/>
              <w:rPr>
                <w:sz w:val="11"/>
                <w:szCs w:val="11"/>
                <w:color w:val="auto"/>
              </w:rPr>
            </w:pPr>
          </w:p>
        </w:tc>
        <w:tc>
          <w:tcPr>
            <w:tcW w:w="640" w:type="dxa"/>
            <w:vAlign w:val="bottom"/>
            <w:gridSpan w:val="2"/>
            <w:shd w:val="clear" w:color="auto" w:fill="D1EEF5"/>
          </w:tcPr>
          <w:p>
            <w:pPr>
              <w:jc w:val="right"/>
              <w:ind w:right="40"/>
              <w:spacing w:after="0" w:line="137" w:lineRule="exact"/>
              <w:rPr>
                <w:sz w:val="20"/>
                <w:szCs w:val="20"/>
                <w:color w:val="auto"/>
              </w:rPr>
            </w:pPr>
            <w:r>
              <w:rPr>
                <w:rFonts w:ascii="Times New Roman" w:cs="Times New Roman" w:eastAsia="Times New Roman" w:hAnsi="Times New Roman"/>
                <w:sz w:val="14"/>
                <w:szCs w:val="14"/>
                <w:color w:val="auto"/>
              </w:rPr>
              <w:t>1,742,574</w:t>
            </w:r>
          </w:p>
        </w:tc>
      </w:tr>
      <w:tr>
        <w:trPr>
          <w:trHeight w:val="176"/>
        </w:trPr>
        <w:tc>
          <w:tcPr>
            <w:tcW w:w="20" w:type="dxa"/>
            <w:vAlign w:val="bottom"/>
            <w:shd w:val="clear" w:color="auto" w:fill="D1EEF5"/>
          </w:tcPr>
          <w:p>
            <w:pPr>
              <w:spacing w:after="0"/>
              <w:rPr>
                <w:sz w:val="15"/>
                <w:szCs w:val="15"/>
                <w:color w:val="auto"/>
              </w:rPr>
            </w:pPr>
          </w:p>
        </w:tc>
        <w:tc>
          <w:tcPr>
            <w:tcW w:w="2840" w:type="dxa"/>
            <w:vAlign w:val="bottom"/>
            <w:shd w:val="clear" w:color="auto" w:fill="D1EEF5"/>
          </w:tcPr>
          <w:p>
            <w:pPr>
              <w:ind w:left="1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56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72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91,154</w:t>
            </w:r>
          </w:p>
        </w:tc>
        <w:tc>
          <w:tcPr>
            <w:tcW w:w="900" w:type="dxa"/>
            <w:vAlign w:val="bottom"/>
            <w:gridSpan w:val="3"/>
            <w:shd w:val="clear" w:color="auto" w:fill="D1EEF5"/>
          </w:tcPr>
          <w:p>
            <w:pPr>
              <w:jc w:val="right"/>
              <w:ind w:right="200"/>
              <w:spacing w:after="0"/>
              <w:rPr>
                <w:sz w:val="20"/>
                <w:szCs w:val="20"/>
                <w:color w:val="auto"/>
              </w:rPr>
            </w:pPr>
            <w:r>
              <w:rPr>
                <w:rFonts w:ascii="Times New Roman" w:cs="Times New Roman" w:eastAsia="Times New Roman" w:hAnsi="Times New Roman"/>
                <w:sz w:val="14"/>
                <w:szCs w:val="14"/>
                <w:color w:val="auto"/>
              </w:rPr>
              <w:t>82,000</w:t>
            </w:r>
          </w:p>
        </w:tc>
        <w:tc>
          <w:tcPr>
            <w:tcW w:w="600" w:type="dxa"/>
            <w:vAlign w:val="bottom"/>
            <w:shd w:val="clear" w:color="auto" w:fill="D1EEF5"/>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2"/>
            <w:shd w:val="clear" w:color="auto" w:fill="D1EEF5"/>
          </w:tcPr>
          <w:p>
            <w:pPr>
              <w:jc w:val="center"/>
              <w:ind w:left="192"/>
              <w:spacing w:after="0"/>
              <w:rPr>
                <w:sz w:val="20"/>
                <w:szCs w:val="20"/>
                <w:color w:val="auto"/>
              </w:rPr>
            </w:pPr>
            <w:r>
              <w:rPr>
                <w:rFonts w:ascii="Times New Roman" w:cs="Times New Roman" w:eastAsia="Times New Roman" w:hAnsi="Times New Roman"/>
                <w:sz w:val="14"/>
                <w:szCs w:val="14"/>
                <w:color w:val="auto"/>
              </w:rPr>
              <w:t>399,999</w:t>
            </w:r>
          </w:p>
        </w:tc>
        <w:tc>
          <w:tcPr>
            <w:tcW w:w="1040" w:type="dxa"/>
            <w:vAlign w:val="bottom"/>
            <w:gridSpan w:val="2"/>
            <w:shd w:val="clear" w:color="auto" w:fill="D1EEF5"/>
          </w:tcPr>
          <w:p>
            <w:pPr>
              <w:jc w:val="center"/>
              <w:ind w:left="212"/>
              <w:spacing w:after="0"/>
              <w:rPr>
                <w:sz w:val="20"/>
                <w:szCs w:val="20"/>
                <w:color w:val="auto"/>
              </w:rPr>
            </w:pPr>
            <w:r>
              <w:rPr>
                <w:rFonts w:ascii="Times New Roman" w:cs="Times New Roman" w:eastAsia="Times New Roman" w:hAnsi="Times New Roman"/>
                <w:sz w:val="14"/>
                <w:szCs w:val="14"/>
                <w:color w:val="auto"/>
                <w:w w:val="96"/>
              </w:rPr>
              <w:t>283,249</w:t>
            </w:r>
          </w:p>
        </w:tc>
        <w:tc>
          <w:tcPr>
            <w:tcW w:w="200" w:type="dxa"/>
            <w:vAlign w:val="bottom"/>
            <w:shd w:val="clear" w:color="auto" w:fill="D1EEF5"/>
          </w:tcPr>
          <w:p>
            <w:pPr>
              <w:spacing w:after="0"/>
              <w:rPr>
                <w:sz w:val="15"/>
                <w:szCs w:val="15"/>
                <w:color w:val="auto"/>
              </w:rPr>
            </w:pPr>
          </w:p>
        </w:tc>
        <w:tc>
          <w:tcPr>
            <w:tcW w:w="840" w:type="dxa"/>
            <w:vAlign w:val="bottom"/>
            <w:shd w:val="clear" w:color="auto" w:fill="D1EEF5"/>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1EEF5"/>
          </w:tcPr>
          <w:p>
            <w:pPr>
              <w:spacing w:after="0"/>
              <w:rPr>
                <w:sz w:val="15"/>
                <w:szCs w:val="15"/>
                <w:color w:val="auto"/>
              </w:rPr>
            </w:pPr>
          </w:p>
        </w:tc>
        <w:tc>
          <w:tcPr>
            <w:tcW w:w="1040" w:type="dxa"/>
            <w:vAlign w:val="bottom"/>
            <w:gridSpan w:val="2"/>
            <w:shd w:val="clear" w:color="auto" w:fill="D1EEF5"/>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gridSpan w:val="2"/>
            <w:shd w:val="clear" w:color="auto" w:fill="D1EEF5"/>
          </w:tcPr>
          <w:p>
            <w:pPr>
              <w:jc w:val="right"/>
              <w:ind w:right="40"/>
              <w:spacing w:after="0"/>
              <w:rPr>
                <w:sz w:val="20"/>
                <w:szCs w:val="20"/>
                <w:color w:val="auto"/>
              </w:rPr>
            </w:pPr>
            <w:r>
              <w:rPr>
                <w:rFonts w:ascii="Times New Roman" w:cs="Times New Roman" w:eastAsia="Times New Roman" w:hAnsi="Times New Roman"/>
                <w:sz w:val="14"/>
                <w:szCs w:val="14"/>
                <w:color w:val="auto"/>
              </w:rPr>
              <w:t>856,402</w:t>
            </w:r>
          </w:p>
        </w:tc>
      </w:tr>
      <w:tr>
        <w:trPr>
          <w:trHeight w:val="138"/>
        </w:trPr>
        <w:tc>
          <w:tcPr>
            <w:tcW w:w="286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color w:val="auto"/>
              </w:rPr>
              <w:t>Nicole Harvey(7)</w:t>
            </w:r>
          </w:p>
        </w:tc>
        <w:tc>
          <w:tcPr>
            <w:tcW w:w="5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color w:val="auto"/>
              </w:rPr>
              <w:t>2022</w:t>
            </w:r>
          </w:p>
        </w:tc>
        <w:tc>
          <w:tcPr>
            <w:tcW w:w="72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color w:val="auto"/>
              </w:rPr>
              <w:t>242,461</w:t>
            </w:r>
          </w:p>
        </w:tc>
        <w:tc>
          <w:tcPr>
            <w:tcW w:w="900" w:type="dxa"/>
            <w:vAlign w:val="bottom"/>
            <w:gridSpan w:val="3"/>
          </w:tcPr>
          <w:p>
            <w:pPr>
              <w:jc w:val="right"/>
              <w:ind w:right="200"/>
              <w:spacing w:after="0" w:line="137" w:lineRule="exact"/>
              <w:rPr>
                <w:sz w:val="20"/>
                <w:szCs w:val="20"/>
                <w:color w:val="auto"/>
              </w:rPr>
            </w:pPr>
            <w:r>
              <w:rPr>
                <w:rFonts w:ascii="Times New Roman" w:cs="Times New Roman" w:eastAsia="Times New Roman" w:hAnsi="Times New Roman"/>
                <w:sz w:val="14"/>
                <w:szCs w:val="14"/>
                <w:color w:val="auto"/>
              </w:rPr>
              <w:t>80,000</w:t>
            </w:r>
          </w:p>
        </w:tc>
        <w:tc>
          <w:tcPr>
            <w:tcW w:w="600" w:type="dxa"/>
            <w:vAlign w:val="bottom"/>
          </w:tcPr>
          <w:p>
            <w:pPr>
              <w:jc w:val="center"/>
              <w:ind w:left="12"/>
              <w:spacing w:after="0" w:line="137" w:lineRule="exact"/>
              <w:rPr>
                <w:sz w:val="20"/>
                <w:szCs w:val="20"/>
                <w:color w:val="auto"/>
              </w:rPr>
            </w:pPr>
            <w:r>
              <w:rPr>
                <w:rFonts w:ascii="Times New Roman" w:cs="Times New Roman" w:eastAsia="Times New Roman" w:hAnsi="Times New Roman"/>
                <w:sz w:val="14"/>
                <w:szCs w:val="14"/>
                <w:color w:val="auto"/>
                <w:w w:val="96"/>
              </w:rPr>
              <w:t>561,000</w:t>
            </w:r>
          </w:p>
        </w:tc>
        <w:tc>
          <w:tcPr>
            <w:tcW w:w="220" w:type="dxa"/>
            <w:vAlign w:val="bottom"/>
          </w:tcPr>
          <w:p>
            <w:pPr>
              <w:spacing w:after="0"/>
              <w:rPr>
                <w:sz w:val="11"/>
                <w:szCs w:val="11"/>
                <w:color w:val="auto"/>
              </w:rPr>
            </w:pPr>
          </w:p>
        </w:tc>
        <w:tc>
          <w:tcPr>
            <w:tcW w:w="5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1"/>
                <w:szCs w:val="11"/>
                <w:color w:val="auto"/>
              </w:rPr>
            </w:pPr>
          </w:p>
        </w:tc>
        <w:tc>
          <w:tcPr>
            <w:tcW w:w="104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Pr>
          <w:p>
            <w:pPr>
              <w:ind w:left="440"/>
              <w:spacing w:after="0" w:line="13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04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4"/>
                <w:szCs w:val="14"/>
                <w:color w:val="auto"/>
              </w:rPr>
              <w:t>883,461</w:t>
            </w:r>
          </w:p>
        </w:tc>
      </w:tr>
      <w:tr>
        <w:trPr>
          <w:trHeight w:val="181"/>
        </w:trPr>
        <w:tc>
          <w:tcPr>
            <w:tcW w:w="20" w:type="dxa"/>
            <w:vAlign w:val="bottom"/>
          </w:tcPr>
          <w:p>
            <w:pPr>
              <w:spacing w:after="0"/>
              <w:rPr>
                <w:sz w:val="15"/>
                <w:szCs w:val="15"/>
                <w:color w:val="auto"/>
              </w:rPr>
            </w:pPr>
          </w:p>
        </w:tc>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Former Chief Legal Officer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66,346</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25,000</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2"/>
          </w:tcPr>
          <w:p>
            <w:pPr>
              <w:jc w:val="center"/>
              <w:ind w:left="192"/>
              <w:spacing w:after="0"/>
              <w:rPr>
                <w:sz w:val="20"/>
                <w:szCs w:val="20"/>
                <w:color w:val="auto"/>
              </w:rPr>
            </w:pPr>
            <w:r>
              <w:rPr>
                <w:rFonts w:ascii="Times New Roman" w:cs="Times New Roman" w:eastAsia="Times New Roman" w:hAnsi="Times New Roman"/>
                <w:sz w:val="14"/>
                <w:szCs w:val="14"/>
                <w:color w:val="auto"/>
              </w:rPr>
              <w:t>341,621</w:t>
            </w:r>
          </w:p>
        </w:tc>
        <w:tc>
          <w:tcPr>
            <w:tcW w:w="20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432,967</w:t>
            </w:r>
          </w:p>
        </w:tc>
      </w:tr>
    </w:tbl>
    <w:p>
      <w:pPr>
        <w:spacing w:after="0" w:line="131" w:lineRule="exact"/>
        <w:rPr>
          <w:sz w:val="20"/>
          <w:szCs w:val="20"/>
          <w:color w:val="auto"/>
        </w:rPr>
      </w:pPr>
    </w:p>
    <w:p>
      <w:pPr>
        <w:ind w:left="500" w:right="20" w:hanging="251"/>
        <w:spacing w:after="0" w:line="248" w:lineRule="auto"/>
        <w:tabs>
          <w:tab w:leader="none" w:pos="499"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discretionary bonuses awarded to each executive for performance during the fiscal years ended December 31, 2022 and December 31, 2021.</w:t>
      </w:r>
    </w:p>
    <w:p>
      <w:pPr>
        <w:jc w:val="both"/>
        <w:ind w:left="500" w:hanging="251"/>
        <w:spacing w:after="0" w:line="233" w:lineRule="auto"/>
        <w:tabs>
          <w:tab w:leader="none" w:pos="5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reflect the grant date fair value of restricted stock awards granted to the NEOs for performance during the fiscal year ended December 31, 2022 under the 2022 Plan (as defined below) and are accounted for in accordance with FASB ASC Topic 718. Please see the section titled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beginning on page F-11 of our Notes to Consolidated Financial Statements included elsewhere in this Annual Report for a discussion of the relevant assumptions used in calculating these amounts.</w:t>
      </w:r>
    </w:p>
    <w:p>
      <w:pPr>
        <w:jc w:val="both"/>
        <w:ind w:left="500" w:right="20" w:hanging="251"/>
        <w:spacing w:after="0" w:line="233" w:lineRule="auto"/>
        <w:tabs>
          <w:tab w:leader="none" w:pos="5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reflect the grant date fair value of stock option awards granted to the NEOs during 2021 under our stock incentive plans and are accounted for in accordance with FASB ASC Topic 718. Please see the section titled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beginning on page F-11 of our Notes to Consolidated Financial Statements included elsewhere in this Annual Report for a discussion of the relevant assumptions used in calculating these amounts.</w:t>
      </w:r>
    </w:p>
    <w:p>
      <w:pPr>
        <w:ind w:left="500" w:hanging="251"/>
        <w:spacing w:after="0" w:line="232" w:lineRule="auto"/>
        <w:tabs>
          <w:tab w:leader="none" w:pos="5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our matching contribution to the executive’s account under our 401(k) plan.</w:t>
      </w:r>
    </w:p>
    <w:p>
      <w:pPr>
        <w:ind w:left="500" w:hanging="251"/>
        <w:spacing w:after="0" w:line="232" w:lineRule="auto"/>
        <w:tabs>
          <w:tab w:leader="none" w:pos="5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4, 2022, we announced that Mr. Nichols would be stepping down as our Chief Operating Officer on November 7, 2022.</w:t>
      </w:r>
    </w:p>
    <w:p>
      <w:pPr>
        <w:ind w:left="500" w:hanging="251"/>
        <w:spacing w:after="0" w:line="234" w:lineRule="auto"/>
        <w:tabs>
          <w:tab w:leader="none" w:pos="5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Marchetti commenced employment as Legacy Dragonfly’s Chief Financial Officer on September 6, 2021.</w:t>
      </w:r>
    </w:p>
    <w:p>
      <w:pPr>
        <w:ind w:left="500" w:hanging="251"/>
        <w:spacing w:after="0"/>
        <w:tabs>
          <w:tab w:leader="none" w:pos="5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Harvey’s employment with us ended on April 26, 2023.</w:t>
      </w:r>
    </w:p>
    <w:p>
      <w:pPr>
        <w:spacing w:after="0" w:line="131" w:lineRule="exact"/>
        <w:rPr>
          <w:sz w:val="20"/>
          <w:szCs w:val="20"/>
          <w:color w:val="auto"/>
        </w:rPr>
      </w:pPr>
    </w:p>
    <w:p>
      <w:pPr>
        <w:jc w:val="both"/>
        <w:ind w:right="20" w:firstLine="490"/>
        <w:spacing w:after="0" w:line="243" w:lineRule="auto"/>
        <w:rPr>
          <w:sz w:val="20"/>
          <w:szCs w:val="20"/>
          <w:color w:val="auto"/>
        </w:rPr>
      </w:pPr>
      <w:r>
        <w:rPr>
          <w:rFonts w:ascii="Times New Roman" w:cs="Times New Roman" w:eastAsia="Times New Roman" w:hAnsi="Times New Roman"/>
          <w:sz w:val="14"/>
          <w:szCs w:val="14"/>
          <w:color w:val="auto"/>
        </w:rPr>
        <w:t>The Compensation Committee has engaged Compensia, Inc. as our independent compensation consultant. In 2022, Compensia, Inc. viewed both executive and director compensation and did not provide us any other services. Compensia, Inc. reported directly to the Compensation Committee and provided guidance on trends in executive and non-employee director compensation, the development of specific executive compensation programs, the composition of our compensation peer group and other matters as directed by the Compensation Committee.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16510</wp:posOffset>
                </wp:positionV>
                <wp:extent cx="6568440"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8440"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3pt" to="517.6pt,1.3pt" o:allowincell="f" strokecolor="#000000" strokeweight="1.2pt"/>
            </w:pict>
          </mc:Fallback>
        </mc:AlternateContent>
      </w:r>
    </w:p>
    <w:p>
      <w:pPr>
        <w:sectPr>
          <w:pgSz w:w="12240" w:h="15840" w:orient="portrait"/>
          <w:cols w:equalWidth="0" w:num="1">
            <w:col w:w="10360"/>
          </w:cols>
          <w:pgMar w:left="940" w:top="1154" w:right="9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color w:val="auto"/>
        </w:rPr>
        <w:t>Executive Employment Agreements</w:t>
      </w:r>
    </w:p>
    <w:p>
      <w:pPr>
        <w:spacing w:after="0" w:line="154" w:lineRule="exact"/>
        <w:rPr>
          <w:sz w:val="20"/>
          <w:szCs w:val="20"/>
          <w:color w:val="auto"/>
        </w:rPr>
      </w:pPr>
    </w:p>
    <w:p>
      <w:pPr>
        <w:jc w:val="both"/>
        <w:ind w:firstLine="490"/>
        <w:spacing w:after="0" w:line="161" w:lineRule="exact"/>
        <w:rPr>
          <w:sz w:val="20"/>
          <w:szCs w:val="20"/>
          <w:color w:val="auto"/>
        </w:rPr>
      </w:pPr>
      <w:r>
        <w:rPr>
          <w:rFonts w:ascii="Times New Roman" w:cs="Times New Roman" w:eastAsia="Times New Roman" w:hAnsi="Times New Roman"/>
          <w:sz w:val="12"/>
          <w:szCs w:val="12"/>
          <w:color w:val="auto"/>
        </w:rPr>
        <w:t>We have entered into employment agreements, dated as of October 11, 2022 with each of Dr. Phares, Ms. Nicole Harvey and Mr. Marchetti. Each agreement provides for a three-year initial employment term, with automatic three-year renewal terms thereafter, subject to 90 days’ notice of non- renewal by either party. Each agreement also provides for the executive to receive an annual base salary (Dr. Phares</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$622,000; Ms. Harvey</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$334,000; Mr. Marchetti</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$370,000) and to be eligible for an annual bonus of up to a specified percentage of the executive’s base salary (Dr. Phares</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100%; Ms. Harvey</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46%; Mr. Marchetti</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63%). The executive is generally eligible for an annual bonus only if he or she remains employed with us through the date the bonus is paid (or if the executive’s employment terminates due to his or her death or disability during the year). The executive is also eligible to receive a long-term incentive award each fiscal year with a grant-date value not less than a dollar amount specified in the agreement (Dr. Phares</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$1,532,000; Ms. Harvey</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$561,000; Mr. Marchetti</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$646,000),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spacing w:after="0" w:line="283" w:lineRule="exact"/>
        <w:rPr>
          <w:sz w:val="20"/>
          <w:szCs w:val="20"/>
          <w:color w:val="auto"/>
        </w:rPr>
      </w:pPr>
    </w:p>
    <w:p>
      <w:pPr>
        <w:jc w:val="both"/>
        <w:ind w:right="40" w:firstLine="490"/>
        <w:spacing w:after="0" w:line="283" w:lineRule="auto"/>
        <w:rPr>
          <w:sz w:val="20"/>
          <w:szCs w:val="20"/>
          <w:color w:val="auto"/>
        </w:rPr>
      </w:pPr>
      <w:r>
        <w:rPr>
          <w:rFonts w:ascii="Times New Roman" w:cs="Times New Roman" w:eastAsia="Times New Roman" w:hAnsi="Times New Roman"/>
          <w:sz w:val="12"/>
          <w:szCs w:val="12"/>
          <w:color w:val="auto"/>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and Ms. Harvey) or 1.0 times the executive’s annual base salary (in the case of Mr. Marchetti), payable in installments over two years following the termination date,</w:t>
      </w:r>
    </w:p>
    <w:p>
      <w:pPr>
        <w:spacing w:after="0" w:line="1" w:lineRule="exact"/>
        <w:rPr>
          <w:sz w:val="20"/>
          <w:szCs w:val="20"/>
          <w:color w:val="auto"/>
        </w:rPr>
      </w:pPr>
    </w:p>
    <w:p>
      <w:pPr>
        <w:jc w:val="both"/>
        <w:ind w:right="20" w:firstLine="4"/>
        <w:spacing w:after="0" w:line="234" w:lineRule="auto"/>
        <w:tabs>
          <w:tab w:leader="none" w:pos="20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reimbursement of monthly COBRA premiums for the executive and his or her dependents for up to 18 months (in the case of Dr. Phares) or 12 months (in the case of Ms. Harvey and Mr. Marchetti),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135" w:lineRule="exact"/>
        <w:rPr>
          <w:sz w:val="20"/>
          <w:szCs w:val="20"/>
          <w:color w:val="auto"/>
        </w:rPr>
      </w:pPr>
    </w:p>
    <w:p>
      <w:pPr>
        <w:jc w:val="both"/>
        <w:ind w:right="40" w:firstLine="490"/>
        <w:spacing w:after="0" w:line="238" w:lineRule="auto"/>
        <w:rPr>
          <w:sz w:val="20"/>
          <w:szCs w:val="20"/>
          <w:color w:val="auto"/>
        </w:rPr>
      </w:pPr>
      <w:r>
        <w:rPr>
          <w:rFonts w:ascii="Times New Roman" w:cs="Times New Roman" w:eastAsia="Times New Roman" w:hAnsi="Times New Roman"/>
          <w:sz w:val="14"/>
          <w:szCs w:val="14"/>
          <w:color w:val="auto"/>
        </w:rPr>
        <w:t>If, during the period commencing three months before a change in control of the Company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Ms. Harvey and Mr. Marchetti,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133" w:lineRule="exact"/>
        <w:rPr>
          <w:sz w:val="20"/>
          <w:szCs w:val="20"/>
          <w:color w:val="auto"/>
        </w:rPr>
      </w:pPr>
    </w:p>
    <w:p>
      <w:pPr>
        <w:jc w:val="both"/>
        <w:ind w:right="40" w:firstLine="490"/>
        <w:spacing w:after="0" w:line="262" w:lineRule="auto"/>
        <w:rPr>
          <w:sz w:val="20"/>
          <w:szCs w:val="20"/>
          <w:color w:val="auto"/>
        </w:rPr>
      </w:pPr>
      <w:r>
        <w:rPr>
          <w:rFonts w:ascii="Times New Roman" w:cs="Times New Roman" w:eastAsia="Times New Roman" w:hAnsi="Times New Roman"/>
          <w:sz w:val="14"/>
          <w:szCs w:val="14"/>
          <w:color w:val="auto"/>
        </w:rPr>
        <w:t>In each case, the executive’s right to receive the severance benefits described above is subject to his or her providing a release of claims to us and his or her continued compliance with the restrictive covenants in favor of us in the agreement.</w:t>
      </w:r>
    </w:p>
    <w:p>
      <w:pPr>
        <w:spacing w:after="0" w:line="118" w:lineRule="exact"/>
        <w:rPr>
          <w:sz w:val="20"/>
          <w:szCs w:val="20"/>
          <w:color w:val="auto"/>
        </w:rPr>
      </w:pPr>
    </w:p>
    <w:p>
      <w:pPr>
        <w:jc w:val="both"/>
        <w:ind w:right="40" w:firstLine="490"/>
        <w:spacing w:after="0" w:line="238" w:lineRule="auto"/>
        <w:rPr>
          <w:sz w:val="20"/>
          <w:szCs w:val="20"/>
          <w:color w:val="auto"/>
        </w:rPr>
      </w:pPr>
      <w:r>
        <w:rPr>
          <w:rFonts w:ascii="Times New Roman" w:cs="Times New Roman" w:eastAsia="Times New Roman" w:hAnsi="Times New Roman"/>
          <w:sz w:val="14"/>
          <w:szCs w:val="14"/>
          <w:color w:val="auto"/>
        </w:rPr>
        <w:t>On November 4, 2022, we announced that Sean Nichols, our Chief Operating Officer, would be stepping down to pursue other interests. His last day of employment was November 7, 2022. We have entered into a separation and release agreement (the “</w:t>
      </w:r>
      <w:r>
        <w:rPr>
          <w:rFonts w:ascii="Times New Roman" w:cs="Times New Roman" w:eastAsia="Times New Roman" w:hAnsi="Times New Roman"/>
          <w:sz w:val="14"/>
          <w:szCs w:val="14"/>
          <w:b w:val="1"/>
          <w:bCs w:val="1"/>
          <w:color w:val="auto"/>
        </w:rPr>
        <w:t>Separation Agreement</w:t>
      </w:r>
      <w:r>
        <w:rPr>
          <w:rFonts w:ascii="Times New Roman" w:cs="Times New Roman" w:eastAsia="Times New Roman" w:hAnsi="Times New Roman"/>
          <w:sz w:val="14"/>
          <w:szCs w:val="14"/>
          <w:color w:val="auto"/>
        </w:rPr>
        <w:t>”) with Mr. Nichols that became effective and fully irrevocable on November 2, 2022. Pursuant to the Separation Agreement, Mr. Nichols received a cash payment of $100,000 in one installment in December 2022 and will receive a cash payment of $ 1,000,000 in 24 monthly installments commencing in December 2022. Mr. Nichols’ outstanding equity awards granted by us will fully vest and, in the case of options, will be exercisable for 12 months following his termination date. The Separation Agreement also provides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15240</wp:posOffset>
                </wp:positionV>
                <wp:extent cx="6568440"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8440"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2pt" to="517.6pt,1.2pt" o:allowincell="f" strokecolor="#000000" strokeweight="1.2pt"/>
            </w:pict>
          </mc:Fallback>
        </mc:AlternateContent>
      </w:r>
    </w:p>
    <w:p>
      <w:pPr>
        <w:sectPr>
          <w:pgSz w:w="12240" w:h="15840" w:orient="portrait"/>
          <w:cols w:equalWidth="0" w:num="1">
            <w:col w:w="10380"/>
          </w:cols>
          <w:pgMar w:left="940" w:top="1154" w:right="920" w:bottom="1440" w:gutter="0" w:footer="0" w:header="0"/>
        </w:sectPr>
      </w:pPr>
    </w:p>
    <w:bookmarkStart w:id="107" w:name="page108"/>
    <w:bookmarkEnd w:id="107"/>
    <w:p>
      <w:pPr>
        <w:ind w:firstLine="490"/>
        <w:spacing w:after="0" w:line="262" w:lineRule="auto"/>
        <w:rPr>
          <w:sz w:val="20"/>
          <w:szCs w:val="20"/>
          <w:color w:val="auto"/>
        </w:rPr>
      </w:pPr>
      <w:r>
        <w:rPr>
          <w:rFonts w:ascii="Times New Roman" w:cs="Times New Roman" w:eastAsia="Times New Roman" w:hAnsi="Times New Roman"/>
          <w:sz w:val="14"/>
          <w:szCs w:val="14"/>
          <w:color w:val="auto"/>
        </w:rPr>
        <w:t>On February 24, 2023, we entered into an amended and restated employment agreement with Mr. Marchetti to provide that Mr. Marchetti will receive a minimum annual bonus of $175,000 for the fiscal year ending December 31, 2023. All other terms of the amended and restated Agreement remain the same as the original agreement.</w:t>
      </w:r>
    </w:p>
    <w:p>
      <w:pPr>
        <w:spacing w:after="0" w:line="118" w:lineRule="exact"/>
        <w:rPr>
          <w:sz w:val="20"/>
          <w:szCs w:val="20"/>
          <w:color w:val="auto"/>
        </w:rPr>
      </w:pPr>
    </w:p>
    <w:p>
      <w:pPr>
        <w:ind w:firstLine="490"/>
        <w:spacing w:after="0" w:line="262" w:lineRule="auto"/>
        <w:rPr>
          <w:sz w:val="20"/>
          <w:szCs w:val="20"/>
          <w:color w:val="auto"/>
        </w:rPr>
      </w:pPr>
      <w:r>
        <w:rPr>
          <w:rFonts w:ascii="Times New Roman" w:cs="Times New Roman" w:eastAsia="Times New Roman" w:hAnsi="Times New Roman"/>
          <w:sz w:val="14"/>
          <w:szCs w:val="14"/>
          <w:color w:val="auto"/>
        </w:rPr>
        <w:t>On April 26, 2023, Ms. Harvey’s employment with us ended and her employment agreement would be deemed terminated as of that date by us without cause for purposes of determining severance thereunder.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Outstanding Equity Awards at Fiscal Year-End</w:t>
      </w:r>
    </w:p>
    <w:p>
      <w:pPr>
        <w:spacing w:after="0" w:line="153" w:lineRule="exact"/>
        <w:rPr>
          <w:sz w:val="20"/>
          <w:szCs w:val="20"/>
          <w:color w:val="auto"/>
        </w:rPr>
      </w:pPr>
    </w:p>
    <w:p>
      <w:pPr>
        <w:ind w:firstLine="490"/>
        <w:spacing w:after="0" w:line="263" w:lineRule="auto"/>
        <w:rPr>
          <w:sz w:val="20"/>
          <w:szCs w:val="20"/>
          <w:color w:val="auto"/>
        </w:rPr>
      </w:pPr>
      <w:r>
        <w:rPr>
          <w:rFonts w:ascii="Times New Roman" w:cs="Times New Roman" w:eastAsia="Times New Roman" w:hAnsi="Times New Roman"/>
          <w:sz w:val="14"/>
          <w:szCs w:val="14"/>
          <w:color w:val="auto"/>
        </w:rPr>
        <w:t>The following table provides information regarding outstanding options to acquire our common stock held by each of the NEOs as of December 31, 2022, including the vesting dates for the portions of these awards that had not vested as of that date. The NEO did not hold any other outstanding equity awards as of that date.</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7"/>
              </w:rPr>
              <w:t>Plan Awards: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80"/>
              <w:spacing w:after="0" w:line="156"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360" w:type="dxa"/>
            <w:vAlign w:val="bottom"/>
            <w:gridSpan w:val="2"/>
          </w:tcPr>
          <w:p>
            <w:pPr>
              <w:jc w:val="center"/>
              <w:ind w:right="360"/>
              <w:spacing w:after="0" w:line="156"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06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80"/>
              <w:spacing w:after="0" w:line="156"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1360" w:type="dxa"/>
            <w:vAlign w:val="bottom"/>
            <w:gridSpan w:val="2"/>
          </w:tcPr>
          <w:p>
            <w:pPr>
              <w:jc w:val="center"/>
              <w:ind w:right="360"/>
              <w:spacing w:after="0" w:line="156"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106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60"/>
              <w:spacing w:after="0" w:line="157"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360" w:type="dxa"/>
            <w:vAlign w:val="bottom"/>
            <w:gridSpan w:val="2"/>
          </w:tcPr>
          <w:p>
            <w:pPr>
              <w:jc w:val="center"/>
              <w:ind w:right="360"/>
              <w:spacing w:after="0" w:line="157"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10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80"/>
              <w:spacing w:after="0" w:line="156"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1360" w:type="dxa"/>
            <w:vAlign w:val="bottom"/>
            <w:gridSpan w:val="2"/>
          </w:tcPr>
          <w:p>
            <w:pPr>
              <w:jc w:val="center"/>
              <w:ind w:right="360"/>
              <w:spacing w:after="0" w:line="156"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106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300" w:type="dxa"/>
            <w:vAlign w:val="bottom"/>
          </w:tcPr>
          <w:p>
            <w:pPr>
              <w:spacing w:after="0"/>
              <w:rPr>
                <w:sz w:val="13"/>
                <w:szCs w:val="13"/>
                <w:color w:val="auto"/>
              </w:rPr>
            </w:pPr>
          </w:p>
        </w:tc>
        <w:tc>
          <w:tcPr>
            <w:tcW w:w="1320" w:type="dxa"/>
            <w:vAlign w:val="bottom"/>
            <w:gridSpan w:val="2"/>
          </w:tcPr>
          <w:p>
            <w:pPr>
              <w:jc w:val="right"/>
              <w:ind w:right="600"/>
              <w:spacing w:after="0" w:line="156" w:lineRule="exact"/>
              <w:rPr>
                <w:sz w:val="20"/>
                <w:szCs w:val="20"/>
                <w:color w:val="auto"/>
              </w:rPr>
            </w:pPr>
            <w:r>
              <w:rPr>
                <w:rFonts w:ascii="Times New Roman" w:cs="Times New Roman" w:eastAsia="Times New Roman" w:hAnsi="Times New Roman"/>
                <w:sz w:val="14"/>
                <w:szCs w:val="14"/>
                <w:b w:val="1"/>
                <w:bCs w:val="1"/>
                <w:color w:val="auto"/>
              </w:rPr>
              <w:t>Option</w:t>
            </w:r>
          </w:p>
        </w:tc>
        <w:tc>
          <w:tcPr>
            <w:tcW w:w="110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0" w:type="dxa"/>
            <w:vAlign w:val="bottom"/>
          </w:tcPr>
          <w:p>
            <w:pPr>
              <w:spacing w:after="0"/>
              <w:rPr>
                <w:sz w:val="1"/>
                <w:szCs w:val="1"/>
                <w:color w:val="auto"/>
              </w:rPr>
            </w:pPr>
          </w:p>
        </w:tc>
      </w:tr>
      <w:tr>
        <w:trPr>
          <w:trHeight w:val="167"/>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Options (#)</w:t>
            </w: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Options (#)</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w:t>
            </w:r>
          </w:p>
        </w:tc>
        <w:tc>
          <w:tcPr>
            <w:tcW w:w="30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Expiration</w:t>
            </w:r>
          </w:p>
        </w:tc>
        <w:tc>
          <w:tcPr>
            <w:tcW w:w="0" w:type="dxa"/>
            <w:vAlign w:val="bottom"/>
          </w:tcPr>
          <w:p>
            <w:pPr>
              <w:spacing w:after="0"/>
              <w:rPr>
                <w:sz w:val="1"/>
                <w:szCs w:val="1"/>
                <w:color w:val="auto"/>
              </w:rPr>
            </w:pPr>
          </w:p>
        </w:tc>
      </w:tr>
      <w:tr>
        <w:trPr>
          <w:trHeight w:val="178"/>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Unexercisable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Options (#)</w:t>
            </w:r>
          </w:p>
        </w:tc>
        <w:tc>
          <w:tcPr>
            <w:tcW w:w="300" w:type="dxa"/>
            <w:vAlign w:val="bottom"/>
          </w:tcPr>
          <w:p>
            <w:pPr>
              <w:spacing w:after="0"/>
              <w:rPr>
                <w:sz w:val="15"/>
                <w:szCs w:val="15"/>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4"/>
        </w:trPr>
        <w:tc>
          <w:tcPr>
            <w:tcW w:w="3620" w:type="dxa"/>
            <w:vAlign w:val="bottom"/>
            <w:tcBorders>
              <w:left w:val="single" w:sz="8" w:color="D1EEF5"/>
            </w:tcBorders>
            <w:shd w:val="clear" w:color="auto" w:fill="000000"/>
          </w:tcPr>
          <w:p>
            <w:pPr>
              <w:spacing w:after="0"/>
              <w:rPr>
                <w:sz w:val="2"/>
                <w:szCs w:val="2"/>
                <w:color w:val="auto"/>
              </w:rPr>
            </w:pPr>
          </w:p>
        </w:tc>
        <w:tc>
          <w:tcPr>
            <w:tcW w:w="200" w:type="dxa"/>
            <w:vAlign w:val="bottom"/>
            <w:vMerge w:val="restart"/>
            <w:shd w:val="clear" w:color="auto" w:fill="D1EEF5"/>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60" w:type="dxa"/>
            <w:vAlign w:val="bottom"/>
            <w:vMerge w:val="restart"/>
            <w:shd w:val="clear" w:color="auto" w:fill="D1EEF5"/>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shd w:val="clear" w:color="auto" w:fill="D1EEF5"/>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vMerge w:val="restart"/>
            <w:shd w:val="clear" w:color="auto" w:fill="D1EEF5"/>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vMerge w:val="restart"/>
            <w:shd w:val="clear" w:color="auto" w:fill="D1EEF5"/>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D1EEF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3620" w:type="dxa"/>
            <w:vAlign w:val="bottom"/>
            <w:tcBorders>
              <w:left w:val="single" w:sz="8" w:color="D1EEF5"/>
            </w:tcBorders>
            <w:shd w:val="clear" w:color="auto" w:fill="D1EEF5"/>
          </w:tcPr>
          <w:p>
            <w:pPr>
              <w:spacing w:after="0" w:line="153" w:lineRule="exact"/>
              <w:rPr>
                <w:sz w:val="20"/>
                <w:szCs w:val="20"/>
                <w:color w:val="auto"/>
              </w:rPr>
            </w:pPr>
            <w:r>
              <w:rPr>
                <w:rFonts w:ascii="Times New Roman" w:cs="Times New Roman" w:eastAsia="Times New Roman" w:hAnsi="Times New Roman"/>
                <w:sz w:val="14"/>
                <w:szCs w:val="14"/>
                <w:color w:val="auto"/>
              </w:rPr>
              <w:t>Dr. Denis Phares</w:t>
            </w:r>
          </w:p>
        </w:tc>
        <w:tc>
          <w:tcPr>
            <w:tcW w:w="200" w:type="dxa"/>
            <w:vAlign w:val="bottom"/>
            <w:vMerge w:val="continue"/>
            <w:shd w:val="clear" w:color="auto" w:fill="D1EEF5"/>
          </w:tcPr>
          <w:p>
            <w:pPr>
              <w:spacing w:after="0"/>
              <w:rPr>
                <w:sz w:val="13"/>
                <w:szCs w:val="13"/>
                <w:color w:val="auto"/>
              </w:rPr>
            </w:pPr>
          </w:p>
        </w:tc>
        <w:tc>
          <w:tcPr>
            <w:tcW w:w="1020" w:type="dxa"/>
            <w:vAlign w:val="bottom"/>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118,208</w:t>
            </w:r>
          </w:p>
        </w:tc>
        <w:tc>
          <w:tcPr>
            <w:tcW w:w="360" w:type="dxa"/>
            <w:vAlign w:val="bottom"/>
            <w:vMerge w:val="continue"/>
            <w:shd w:val="clear" w:color="auto" w:fill="D1EEF5"/>
          </w:tcPr>
          <w:p>
            <w:pPr>
              <w:spacing w:after="0"/>
              <w:rPr>
                <w:sz w:val="13"/>
                <w:szCs w:val="13"/>
                <w:color w:val="auto"/>
              </w:rPr>
            </w:pPr>
          </w:p>
        </w:tc>
        <w:tc>
          <w:tcPr>
            <w:tcW w:w="1360" w:type="dxa"/>
            <w:vAlign w:val="bottom"/>
            <w:gridSpan w:val="2"/>
            <w:shd w:val="clear" w:color="auto" w:fill="D1EEF5"/>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59,108(1)</w:t>
            </w:r>
          </w:p>
        </w:tc>
        <w:tc>
          <w:tcPr>
            <w:tcW w:w="1060" w:type="dxa"/>
            <w:vAlign w:val="bottom"/>
            <w:shd w:val="clear" w:color="auto" w:fill="D1EEF5"/>
          </w:tcPr>
          <w:p>
            <w:pPr>
              <w:ind w:left="5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continue"/>
            <w:shd w:val="clear" w:color="auto" w:fill="D1EEF5"/>
          </w:tcPr>
          <w:p>
            <w:pPr>
              <w:spacing w:after="0"/>
              <w:rPr>
                <w:sz w:val="13"/>
                <w:szCs w:val="13"/>
                <w:color w:val="auto"/>
              </w:rPr>
            </w:pPr>
          </w:p>
        </w:tc>
        <w:tc>
          <w:tcPr>
            <w:tcW w:w="1020" w:type="dxa"/>
            <w:vAlign w:val="bottom"/>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0.32</w:t>
            </w:r>
          </w:p>
        </w:tc>
        <w:tc>
          <w:tcPr>
            <w:tcW w:w="300" w:type="dxa"/>
            <w:vAlign w:val="bottom"/>
            <w:vMerge w:val="continue"/>
            <w:shd w:val="clear" w:color="auto" w:fill="D1EEF5"/>
          </w:tcPr>
          <w:p>
            <w:pPr>
              <w:spacing w:after="0"/>
              <w:rPr>
                <w:sz w:val="13"/>
                <w:szCs w:val="13"/>
                <w:color w:val="auto"/>
              </w:rPr>
            </w:pPr>
          </w:p>
        </w:tc>
        <w:tc>
          <w:tcPr>
            <w:tcW w:w="1020" w:type="dxa"/>
            <w:vAlign w:val="bottom"/>
            <w:shd w:val="clear" w:color="auto" w:fill="D1EEF5"/>
          </w:tcPr>
          <w:p>
            <w:pPr>
              <w:jc w:val="center"/>
              <w:ind w:left="12"/>
              <w:spacing w:after="0" w:line="153" w:lineRule="exact"/>
              <w:rPr>
                <w:sz w:val="20"/>
                <w:szCs w:val="20"/>
                <w:color w:val="auto"/>
              </w:rPr>
            </w:pPr>
            <w:r>
              <w:rPr>
                <w:rFonts w:ascii="Times New Roman" w:cs="Times New Roman" w:eastAsia="Times New Roman" w:hAnsi="Times New Roman"/>
                <w:sz w:val="14"/>
                <w:szCs w:val="14"/>
                <w:color w:val="auto"/>
                <w:w w:val="95"/>
              </w:rPr>
              <w:t>12/5/2029</w:t>
            </w:r>
          </w:p>
        </w:tc>
        <w:tc>
          <w:tcPr>
            <w:tcW w:w="80" w:type="dxa"/>
            <w:vAlign w:val="bottom"/>
            <w:shd w:val="clear" w:color="auto" w:fill="D1EEF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Sean Nichols</w:t>
            </w:r>
          </w:p>
        </w:tc>
        <w:tc>
          <w:tcPr>
            <w:tcW w:w="1380" w:type="dxa"/>
            <w:vAlign w:val="bottom"/>
            <w:gridSpan w:val="2"/>
          </w:tcPr>
          <w:p>
            <w:pPr>
              <w:jc w:val="right"/>
              <w:ind w:right="360"/>
              <w:spacing w:after="0" w:line="157" w:lineRule="exact"/>
              <w:rPr>
                <w:sz w:val="20"/>
                <w:szCs w:val="20"/>
                <w:color w:val="auto"/>
              </w:rPr>
            </w:pPr>
            <w:r>
              <w:rPr>
                <w:rFonts w:ascii="Times New Roman" w:cs="Times New Roman" w:eastAsia="Times New Roman" w:hAnsi="Times New Roman"/>
                <w:sz w:val="14"/>
                <w:szCs w:val="14"/>
                <w:color w:val="auto"/>
              </w:rPr>
              <w:t>177,316</w:t>
            </w:r>
          </w:p>
        </w:tc>
        <w:tc>
          <w:tcPr>
            <w:tcW w:w="1360" w:type="dxa"/>
            <w:vAlign w:val="bottom"/>
            <w:gridSpan w:val="2"/>
          </w:tcPr>
          <w:p>
            <w:pPr>
              <w:jc w:val="right"/>
              <w:ind w:right="200"/>
              <w:spacing w:after="0" w:line="157" w:lineRule="exact"/>
              <w:rPr>
                <w:sz w:val="20"/>
                <w:szCs w:val="20"/>
                <w:color w:val="auto"/>
              </w:rPr>
            </w:pPr>
            <w:r>
              <w:rPr>
                <w:rFonts w:ascii="Times New Roman" w:cs="Times New Roman" w:eastAsia="Times New Roman" w:hAnsi="Times New Roman"/>
                <w:sz w:val="14"/>
                <w:szCs w:val="14"/>
                <w:color w:val="auto"/>
              </w:rPr>
              <w:t>—(1)</w:t>
            </w:r>
          </w:p>
        </w:tc>
        <w:tc>
          <w:tcPr>
            <w:tcW w:w="1060" w:type="dxa"/>
            <w:vAlign w:val="bottom"/>
          </w:tcPr>
          <w:p>
            <w:pPr>
              <w:ind w:left="54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tcPr>
          <w:p>
            <w:pPr>
              <w:jc w:val="right"/>
              <w:ind w:right="300"/>
              <w:spacing w:after="0" w:line="157" w:lineRule="exact"/>
              <w:rPr>
                <w:sz w:val="20"/>
                <w:szCs w:val="20"/>
                <w:color w:val="auto"/>
              </w:rPr>
            </w:pPr>
            <w:r>
              <w:rPr>
                <w:rFonts w:ascii="Times New Roman" w:cs="Times New Roman" w:eastAsia="Times New Roman" w:hAnsi="Times New Roman"/>
                <w:sz w:val="14"/>
                <w:szCs w:val="14"/>
                <w:color w:val="auto"/>
              </w:rPr>
              <w:t>0.32</w:t>
            </w:r>
          </w:p>
        </w:tc>
        <w:tc>
          <w:tcPr>
            <w:tcW w:w="1020" w:type="dxa"/>
            <w:vAlign w:val="bottom"/>
          </w:tcPr>
          <w:p>
            <w:pPr>
              <w:jc w:val="center"/>
              <w:ind w:left="12"/>
              <w:spacing w:after="0" w:line="157" w:lineRule="exact"/>
              <w:rPr>
                <w:sz w:val="20"/>
                <w:szCs w:val="20"/>
                <w:color w:val="auto"/>
              </w:rPr>
            </w:pPr>
            <w:r>
              <w:rPr>
                <w:rFonts w:ascii="Times New Roman" w:cs="Times New Roman" w:eastAsia="Times New Roman" w:hAnsi="Times New Roman"/>
                <w:sz w:val="14"/>
                <w:szCs w:val="14"/>
                <w:color w:val="auto"/>
                <w:w w:val="95"/>
              </w:rPr>
              <w:t>11/7/2023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20" w:type="dxa"/>
            <w:vAlign w:val="bottom"/>
            <w:tcBorders>
              <w:left w:val="single" w:sz="8" w:color="D1EEF5"/>
            </w:tcBorders>
            <w:gridSpan w:val="2"/>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John Marchetti</w:t>
            </w:r>
          </w:p>
        </w:tc>
        <w:tc>
          <w:tcPr>
            <w:tcW w:w="1380" w:type="dxa"/>
            <w:vAlign w:val="bottom"/>
            <w:gridSpan w:val="2"/>
            <w:shd w:val="clear" w:color="auto" w:fill="D1EEF5"/>
          </w:tcPr>
          <w:p>
            <w:pPr>
              <w:jc w:val="right"/>
              <w:ind w:right="200"/>
              <w:spacing w:after="0" w:line="156" w:lineRule="exact"/>
              <w:rPr>
                <w:sz w:val="20"/>
                <w:szCs w:val="20"/>
                <w:color w:val="auto"/>
              </w:rPr>
            </w:pPr>
            <w:r>
              <w:rPr>
                <w:rFonts w:ascii="Times New Roman" w:cs="Times New Roman" w:eastAsia="Times New Roman" w:hAnsi="Times New Roman"/>
                <w:sz w:val="14"/>
                <w:szCs w:val="14"/>
                <w:color w:val="auto"/>
              </w:rPr>
              <w:t>93,587(2)</w:t>
            </w:r>
          </w:p>
        </w:tc>
        <w:tc>
          <w:tcPr>
            <w:tcW w:w="102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142,831</w:t>
            </w:r>
          </w:p>
        </w:tc>
        <w:tc>
          <w:tcPr>
            <w:tcW w:w="340" w:type="dxa"/>
            <w:vAlign w:val="bottom"/>
            <w:shd w:val="clear" w:color="auto" w:fill="D1EEF5"/>
          </w:tcPr>
          <w:p>
            <w:pPr>
              <w:spacing w:after="0"/>
              <w:rPr>
                <w:sz w:val="13"/>
                <w:szCs w:val="13"/>
                <w:color w:val="auto"/>
              </w:rPr>
            </w:pPr>
          </w:p>
        </w:tc>
        <w:tc>
          <w:tcPr>
            <w:tcW w:w="1060" w:type="dxa"/>
            <w:vAlign w:val="bottom"/>
            <w:shd w:val="clear" w:color="auto" w:fill="D1EEF5"/>
          </w:tcPr>
          <w:p>
            <w:pPr>
              <w:ind w:left="5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shd w:val="clear" w:color="auto" w:fill="D1EEF5"/>
          </w:tcPr>
          <w:p>
            <w:pPr>
              <w:jc w:val="right"/>
              <w:ind w:right="300"/>
              <w:spacing w:after="0" w:line="156" w:lineRule="exact"/>
              <w:rPr>
                <w:sz w:val="20"/>
                <w:szCs w:val="20"/>
                <w:color w:val="auto"/>
              </w:rPr>
            </w:pPr>
            <w:r>
              <w:rPr>
                <w:rFonts w:ascii="Times New Roman" w:cs="Times New Roman" w:eastAsia="Times New Roman" w:hAnsi="Times New Roman"/>
                <w:sz w:val="14"/>
                <w:szCs w:val="14"/>
                <w:color w:val="auto"/>
              </w:rPr>
              <w:t>2.89</w:t>
            </w:r>
          </w:p>
        </w:tc>
        <w:tc>
          <w:tcPr>
            <w:tcW w:w="1020" w:type="dxa"/>
            <w:vAlign w:val="bottom"/>
            <w:shd w:val="clear" w:color="auto" w:fill="D1EEF5"/>
          </w:tcPr>
          <w:p>
            <w:pPr>
              <w:jc w:val="center"/>
              <w:ind w:left="12"/>
              <w:spacing w:after="0" w:line="156" w:lineRule="exact"/>
              <w:rPr>
                <w:sz w:val="20"/>
                <w:szCs w:val="20"/>
                <w:color w:val="auto"/>
              </w:rPr>
            </w:pPr>
            <w:r>
              <w:rPr>
                <w:rFonts w:ascii="Times New Roman" w:cs="Times New Roman" w:eastAsia="Times New Roman" w:hAnsi="Times New Roman"/>
                <w:sz w:val="14"/>
                <w:szCs w:val="14"/>
                <w:color w:val="auto"/>
                <w:w w:val="98"/>
              </w:rPr>
              <w:t>9/13/31</w:t>
            </w:r>
          </w:p>
        </w:tc>
        <w:tc>
          <w:tcPr>
            <w:tcW w:w="80" w:type="dxa"/>
            <w:vAlign w:val="bottom"/>
            <w:shd w:val="clear" w:color="auto" w:fill="D1EEF5"/>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Nicole Harvey</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51,497</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57,257</w:t>
            </w:r>
          </w:p>
        </w:tc>
        <w:tc>
          <w:tcPr>
            <w:tcW w:w="340" w:type="dxa"/>
            <w:vAlign w:val="bottom"/>
          </w:tcPr>
          <w:p>
            <w:pPr>
              <w:spacing w:after="0"/>
              <w:rPr>
                <w:sz w:val="15"/>
                <w:szCs w:val="15"/>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2.89</w:t>
            </w:r>
          </w:p>
        </w:tc>
        <w:tc>
          <w:tcPr>
            <w:tcW w:w="102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7"/>
              </w:rPr>
              <w:t>10/22/2031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500" w:hanging="251"/>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unvested portion of this option vests in 20 monthly installments from January 12, 2022 and August 12, 2023.</w:t>
      </w:r>
    </w:p>
    <w:p>
      <w:pPr>
        <w:spacing w:after="0" w:line="16" w:lineRule="exact"/>
        <w:rPr>
          <w:rFonts w:ascii="Times New Roman" w:cs="Times New Roman" w:eastAsia="Times New Roman" w:hAnsi="Times New Roman"/>
          <w:sz w:val="14"/>
          <w:szCs w:val="14"/>
          <w:color w:val="auto"/>
        </w:rPr>
      </w:pPr>
    </w:p>
    <w:p>
      <w:pPr>
        <w:ind w:left="500" w:hanging="251"/>
        <w:spacing w:after="0" w:line="236" w:lineRule="auto"/>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unvested portion of this option vests as to 25% of the option on September 10, 2022 and as to 75% of the option in 36 monthly installments from October 10, 2022 through September 10,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2022 Equity Grants</w:t>
      </w:r>
    </w:p>
    <w:p>
      <w:pPr>
        <w:spacing w:after="0" w:line="134"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color w:val="auto"/>
        </w:rPr>
        <w:t>During 2022, Mr. Marchetti received an option to purchase 200,000 shares of our common stock at a price of $3.41 per share. This option was granted under the Legacy Dragonfly 2021 Stock Incentive Plan and vests as to 25% of the option on the first anniversary of the vesting start date established by our board of directors for the option and as to the remaining 75% of the option in monthly installments over the three-year period thereafter, subject to Mr. Marchetti’s continued service with us through the applicable vesting date.</w:t>
      </w:r>
    </w:p>
    <w:p>
      <w:pPr>
        <w:spacing w:after="0" w:line="126" w:lineRule="exact"/>
        <w:rPr>
          <w:sz w:val="20"/>
          <w:szCs w:val="20"/>
          <w:color w:val="auto"/>
        </w:rPr>
      </w:pPr>
    </w:p>
    <w:p>
      <w:pPr>
        <w:jc w:val="both"/>
        <w:ind w:firstLine="245"/>
        <w:spacing w:after="0" w:line="265" w:lineRule="auto"/>
        <w:rPr>
          <w:sz w:val="20"/>
          <w:szCs w:val="20"/>
          <w:color w:val="auto"/>
        </w:rPr>
      </w:pPr>
      <w:r>
        <w:rPr>
          <w:rFonts w:ascii="Times New Roman" w:cs="Times New Roman" w:eastAsia="Times New Roman" w:hAnsi="Times New Roman"/>
          <w:sz w:val="14"/>
          <w:szCs w:val="14"/>
          <w:color w:val="auto"/>
        </w:rPr>
        <w:t>For services performed during the year ended December 31, 2022, on February 10, 2023, Dr. Phares was granted 204,266 restricted stock units (“</w:t>
      </w:r>
      <w:r>
        <w:rPr>
          <w:rFonts w:ascii="Times New Roman" w:cs="Times New Roman" w:eastAsia="Times New Roman" w:hAnsi="Times New Roman"/>
          <w:sz w:val="14"/>
          <w:szCs w:val="14"/>
          <w:b w:val="1"/>
          <w:bCs w:val="1"/>
          <w:color w:val="auto"/>
        </w:rPr>
        <w:t>RSUs</w:t>
      </w:r>
      <w:r>
        <w:rPr>
          <w:rFonts w:ascii="Times New Roman" w:cs="Times New Roman" w:eastAsia="Times New Roman" w:hAnsi="Times New Roman"/>
          <w:sz w:val="14"/>
          <w:szCs w:val="14"/>
          <w:color w:val="auto"/>
        </w:rPr>
        <w:t>”), Mr. Marchetti was granted 86,133 RSUs, and Ms. Harvey was granted 74,800 RSUs. Each grant vested in full on the date of grant.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151" w:lineRule="exact"/>
        <w:rPr>
          <w:sz w:val="20"/>
          <w:szCs w:val="20"/>
          <w:color w:val="auto"/>
        </w:rPr>
      </w:pPr>
    </w:p>
    <w:p>
      <w:pPr>
        <w:jc w:val="both"/>
        <w:ind w:firstLine="245"/>
        <w:spacing w:after="0" w:line="249" w:lineRule="auto"/>
        <w:rPr>
          <w:sz w:val="20"/>
          <w:szCs w:val="20"/>
          <w:color w:val="auto"/>
        </w:rPr>
      </w:pPr>
      <w:r>
        <w:rPr>
          <w:rFonts w:ascii="Times New Roman" w:cs="Times New Roman" w:eastAsia="Times New Roman" w:hAnsi="Times New Roman"/>
          <w:sz w:val="14"/>
          <w:szCs w:val="14"/>
          <w:color w:val="auto"/>
        </w:rPr>
        <w:t>In connection with the closing of the Business Combination (the “</w:t>
      </w:r>
      <w:r>
        <w:rPr>
          <w:rFonts w:ascii="Times New Roman" w:cs="Times New Roman" w:eastAsia="Times New Roman" w:hAnsi="Times New Roman"/>
          <w:sz w:val="14"/>
          <w:szCs w:val="14"/>
          <w:b w:val="1"/>
          <w:bCs w:val="1"/>
          <w:color w:val="auto"/>
        </w:rPr>
        <w:t>Closing</w:t>
      </w:r>
      <w:r>
        <w:rPr>
          <w:rFonts w:ascii="Times New Roman" w:cs="Times New Roman" w:eastAsia="Times New Roman" w:hAnsi="Times New Roman"/>
          <w:sz w:val="14"/>
          <w:szCs w:val="14"/>
          <w:color w:val="auto"/>
        </w:rPr>
        <w:t xml:space="preserve"> ”), we adopted a policy that provides for cash and equity compensation for members of our Board of directors who are not employed by us or any of our subsidiaries (our “</w:t>
      </w:r>
      <w:r>
        <w:rPr>
          <w:rFonts w:ascii="Times New Roman" w:cs="Times New Roman" w:eastAsia="Times New Roman" w:hAnsi="Times New Roman"/>
          <w:sz w:val="14"/>
          <w:szCs w:val="14"/>
          <w:b w:val="1"/>
          <w:bCs w:val="1"/>
          <w:color w:val="auto"/>
        </w:rPr>
        <w:t>Non-Employee Directors</w:t>
      </w:r>
      <w:r>
        <w:rPr>
          <w:rFonts w:ascii="Times New Roman" w:cs="Times New Roman" w:eastAsia="Times New Roman" w:hAnsi="Times New Roman"/>
          <w:sz w:val="14"/>
          <w:szCs w:val="14"/>
          <w:color w:val="auto"/>
        </w:rPr>
        <w:t>”). The policy provides that each Non-Employee Director is entitled to receive the following cash compensation for board service, as applicable:</w:t>
      </w:r>
    </w:p>
    <w:p>
      <w:pPr>
        <w:spacing w:after="0" w:line="126" w:lineRule="exact"/>
        <w:rPr>
          <w:sz w:val="20"/>
          <w:szCs w:val="20"/>
          <w:color w:val="auto"/>
        </w:rPr>
      </w:pPr>
    </w:p>
    <w:p>
      <w:pPr>
        <w:ind w:left="500" w:hanging="251"/>
        <w:spacing w:after="0"/>
        <w:tabs>
          <w:tab w:leader="none" w:pos="5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$58,800 annual retainer for service as a Board member;</w:t>
      </w:r>
    </w:p>
    <w:p>
      <w:pPr>
        <w:spacing w:after="0" w:line="16" w:lineRule="exact"/>
        <w:rPr>
          <w:rFonts w:ascii="Times New Roman" w:cs="Times New Roman" w:eastAsia="Times New Roman" w:hAnsi="Times New Roman"/>
          <w:sz w:val="14"/>
          <w:szCs w:val="14"/>
          <w:color w:val="auto"/>
        </w:rPr>
      </w:pPr>
    </w:p>
    <w:p>
      <w:pPr>
        <w:ind w:left="500" w:hanging="251"/>
        <w:spacing w:after="0" w:line="232" w:lineRule="auto"/>
        <w:tabs>
          <w:tab w:leader="none" w:pos="5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 additional annual retainer for service as Lead Independent Director; and</w:t>
      </w:r>
    </w:p>
    <w:p>
      <w:pPr>
        <w:ind w:left="500" w:hanging="251"/>
        <w:spacing w:after="0" w:line="236" w:lineRule="auto"/>
        <w:tabs>
          <w:tab w:leader="none" w:pos="5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p>
      <w:pPr>
        <w:spacing w:after="0" w:line="133"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color w:val="auto"/>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13970</wp:posOffset>
                </wp:positionV>
                <wp:extent cx="6568440"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8440"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1pt" to="517.6pt,1.1pt" o:allowincell="f" strokecolor="#000000" strokeweight="1.26pt"/>
            </w:pict>
          </mc:Fallback>
        </mc:AlternateContent>
      </w:r>
    </w:p>
    <w:p>
      <w:pPr>
        <w:sectPr>
          <w:pgSz w:w="12240" w:h="15840" w:orient="portrait"/>
          <w:cols w:equalWidth="0" w:num="1">
            <w:col w:w="10340"/>
          </w:cols>
          <w:pgMar w:left="940" w:top="1156" w:right="960" w:bottom="1440" w:gutter="0" w:footer="0" w:header="0"/>
        </w:sectPr>
      </w:pPr>
    </w:p>
    <w:bookmarkStart w:id="108" w:name="page109"/>
    <w:bookmarkEnd w:id="108"/>
    <w:p>
      <w:pPr>
        <w:jc w:val="both"/>
        <w:ind w:firstLine="490"/>
        <w:spacing w:after="0" w:line="239" w:lineRule="auto"/>
        <w:rPr>
          <w:sz w:val="20"/>
          <w:szCs w:val="20"/>
          <w:color w:val="auto"/>
        </w:rPr>
      </w:pPr>
      <w:r>
        <w:rPr>
          <w:rFonts w:ascii="Times New Roman" w:cs="Times New Roman" w:eastAsia="Times New Roman" w:hAnsi="Times New Roman"/>
          <w:sz w:val="14"/>
          <w:szCs w:val="14"/>
          <w:color w:val="auto"/>
        </w:rPr>
        <w:t>Our Board also has discretion under the director compensation policy to grant Non-Employee Directors equity-based awards under our Dragonfly Energy Holdings 2022 Equity Incentive Plan (“</w:t>
      </w:r>
      <w:r>
        <w:rPr>
          <w:rFonts w:ascii="Times New Roman" w:cs="Times New Roman" w:eastAsia="Times New Roman" w:hAnsi="Times New Roman"/>
          <w:sz w:val="14"/>
          <w:szCs w:val="14"/>
          <w:b w:val="1"/>
          <w:bCs w:val="1"/>
          <w:color w:val="auto"/>
        </w:rPr>
        <w:t>2022 Plan</w:t>
      </w:r>
      <w:r>
        <w:rPr>
          <w:rFonts w:ascii="Times New Roman" w:cs="Times New Roman" w:eastAsia="Times New Roman" w:hAnsi="Times New Roman"/>
          <w:sz w:val="14"/>
          <w:szCs w:val="14"/>
          <w:color w:val="auto"/>
        </w:rPr>
        <w:t>”) (or any successor equity compensation plan approved by our stockholders). It is currently expected that Non-Employee Directors will receive an award of options or restricted stock units with a value of $300,000 upon their initial appointment to the Board and an award of options or restricted stock units with a value of $100,000 on an annual basis thereafter. For each award, the Board will determine at the time of grant the methodology for converting the foregoing dollar amounts to shares and the vesting schedule. The Board may approve other grants of equity-based awards to Non-Employee Directors from time to time, on such terms as the Board may determine and subject to the applicable provisions of our equity compensation plan then in effect.</w:t>
      </w:r>
    </w:p>
    <w:p>
      <w:pPr>
        <w:spacing w:after="0" w:line="133" w:lineRule="exact"/>
        <w:rPr>
          <w:sz w:val="20"/>
          <w:szCs w:val="20"/>
          <w:color w:val="auto"/>
        </w:rPr>
      </w:pPr>
    </w:p>
    <w:p>
      <w:pPr>
        <w:jc w:val="both"/>
        <w:ind w:firstLine="490"/>
        <w:spacing w:after="0" w:line="262" w:lineRule="auto"/>
        <w:rPr>
          <w:sz w:val="20"/>
          <w:szCs w:val="20"/>
          <w:color w:val="auto"/>
        </w:rPr>
      </w:pPr>
      <w:r>
        <w:rPr>
          <w:rFonts w:ascii="Times New Roman" w:cs="Times New Roman" w:eastAsia="Times New Roman" w:hAnsi="Times New Roman"/>
          <w:sz w:val="14"/>
          <w:szCs w:val="14"/>
          <w:color w:val="auto"/>
        </w:rPr>
        <w:t>Under the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Our Board may change the terms of our director compensation policy from time to time.</w:t>
      </w:r>
    </w:p>
    <w:p>
      <w:pPr>
        <w:spacing w:after="0" w:line="152"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Effective on the October 7, 2022, we granted each of our Non-Employee Directors then serving of the Board (i.e. Jonathan Bellows, Perry Boyle, Karina Edmonds, Luisa Ingargiola, Brian Nelson, and Rick Parod) an award of 30,000 restricted stock units under the 2022 Plan that are eligible to vest on the first anniversary of the grant date, subject to the director’s continued service on the Board through the vesting date.</w:t>
      </w:r>
    </w:p>
    <w:p>
      <w:pPr>
        <w:spacing w:after="0" w:line="125"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b w:val="1"/>
          <w:bCs w:val="1"/>
          <w:color w:val="auto"/>
        </w:rPr>
        <w:t>Director Compensation Table</w:t>
      </w:r>
      <w:r>
        <w:rPr>
          <w:rFonts w:ascii="Arial Unicode MS" w:cs="Arial Unicode MS" w:eastAsia="Arial Unicode MS" w:hAnsi="Arial Unicode MS"/>
          <w:sz w:val="14"/>
          <w:szCs w:val="14"/>
          <w:b w:val="1"/>
          <w:bCs w:val="1"/>
          <w:color w:val="auto"/>
        </w:rPr>
        <w:t>ௗ</w:t>
      </w:r>
      <w:r>
        <w:rPr>
          <w:rFonts w:ascii="Times New Roman" w:cs="Times New Roman" w:eastAsia="Times New Roman" w:hAnsi="Times New Roman"/>
          <w:sz w:val="14"/>
          <w:szCs w:val="14"/>
          <w:b w:val="1"/>
          <w:bCs w:val="1"/>
          <w:color w:val="auto"/>
        </w:rPr>
        <w:t>—</w:t>
      </w:r>
      <w:r>
        <w:rPr>
          <w:rFonts w:ascii="Arial Unicode MS" w:cs="Arial Unicode MS" w:eastAsia="Arial Unicode MS" w:hAnsi="Arial Unicode MS"/>
          <w:sz w:val="14"/>
          <w:szCs w:val="14"/>
          <w:b w:val="1"/>
          <w:bCs w:val="1"/>
          <w:color w:val="auto"/>
        </w:rPr>
        <w:t>ௗ</w:t>
      </w:r>
      <w:r>
        <w:rPr>
          <w:rFonts w:ascii="Times New Roman" w:cs="Times New Roman" w:eastAsia="Times New Roman" w:hAnsi="Times New Roman"/>
          <w:sz w:val="14"/>
          <w:szCs w:val="14"/>
          <w:b w:val="1"/>
          <w:bCs w:val="1"/>
          <w:color w:val="auto"/>
        </w:rPr>
        <w:t>Fiscal 2022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certain information concerning compensation paid to our Non-Employee Directors for services on our board during the year ended December 31, 2022.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Messrs. Phares and Nichols did not receive any additional compensation for their service on our board during the year ended December 31,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30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 ($)</w:t>
            </w: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18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Paid in Cash ($)</w:t>
            </w: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(1)</w:t>
            </w:r>
          </w:p>
        </w:tc>
        <w:tc>
          <w:tcPr>
            <w:tcW w:w="30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($)(1)</w:t>
            </w:r>
          </w:p>
        </w:tc>
        <w:tc>
          <w:tcPr>
            <w:tcW w:w="36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61"/>
        </w:trPr>
        <w:tc>
          <w:tcPr>
            <w:tcW w:w="20" w:type="dxa"/>
            <w:vAlign w:val="bottom"/>
            <w:tcBorders>
              <w:top w:val="single" w:sz="8" w:color="D1EEF5"/>
            </w:tcBorders>
            <w:shd w:val="clear" w:color="auto" w:fill="D1EEF5"/>
          </w:tcPr>
          <w:p>
            <w:pPr>
              <w:spacing w:after="0"/>
              <w:rPr>
                <w:sz w:val="13"/>
                <w:szCs w:val="13"/>
                <w:color w:val="auto"/>
              </w:rPr>
            </w:pPr>
          </w:p>
        </w:tc>
        <w:tc>
          <w:tcPr>
            <w:tcW w:w="3600" w:type="dxa"/>
            <w:vAlign w:val="bottom"/>
            <w:tcBorders>
              <w:top w:val="single" w:sz="8" w:color="auto"/>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Jonathan Bellows</w:t>
            </w:r>
          </w:p>
        </w:tc>
        <w:tc>
          <w:tcPr>
            <w:tcW w:w="200" w:type="dxa"/>
            <w:vAlign w:val="bottom"/>
            <w:tcBorders>
              <w:top w:val="single" w:sz="8" w:color="D1EEF5"/>
            </w:tcBorders>
            <w:shd w:val="clear" w:color="auto" w:fill="D1EEF5"/>
          </w:tcPr>
          <w:p>
            <w:pPr>
              <w:spacing w:after="0"/>
              <w:rPr>
                <w:sz w:val="13"/>
                <w:szCs w:val="13"/>
                <w:color w:val="auto"/>
              </w:rPr>
            </w:pPr>
          </w:p>
        </w:tc>
        <w:tc>
          <w:tcPr>
            <w:tcW w:w="104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13,741</w:t>
            </w:r>
          </w:p>
        </w:tc>
        <w:tc>
          <w:tcPr>
            <w:tcW w:w="300" w:type="dxa"/>
            <w:vAlign w:val="bottom"/>
            <w:tcBorders>
              <w:top w:val="single" w:sz="8" w:color="D1EEF5"/>
            </w:tcBorders>
            <w:shd w:val="clear" w:color="auto" w:fill="D1EEF5"/>
          </w:tcPr>
          <w:p>
            <w:pPr>
              <w:spacing w:after="0"/>
              <w:rPr>
                <w:sz w:val="13"/>
                <w:szCs w:val="13"/>
                <w:color w:val="auto"/>
              </w:rPr>
            </w:pPr>
          </w:p>
        </w:tc>
        <w:tc>
          <w:tcPr>
            <w:tcW w:w="1020" w:type="dxa"/>
            <w:vAlign w:val="bottom"/>
            <w:tcBorders>
              <w:top w:val="single" w:sz="8" w:color="auto"/>
            </w:tcBorders>
            <w:shd w:val="clear" w:color="auto" w:fill="D1EEF5"/>
          </w:tcPr>
          <w:p>
            <w:pPr>
              <w:ind w:left="580"/>
              <w:spacing w:after="0"/>
              <w:rPr>
                <w:sz w:val="20"/>
                <w:szCs w:val="20"/>
                <w:color w:val="auto"/>
              </w:rPr>
            </w:pPr>
            <w:r>
              <w:rPr>
                <w:rFonts w:ascii="Times New Roman" w:cs="Times New Roman" w:eastAsia="Times New Roman" w:hAnsi="Times New Roman"/>
                <w:sz w:val="14"/>
                <w:szCs w:val="14"/>
                <w:color w:val="auto"/>
                <w:w w:val="92"/>
              </w:rPr>
              <w:t>420,000</w:t>
            </w:r>
          </w:p>
        </w:tc>
        <w:tc>
          <w:tcPr>
            <w:tcW w:w="300" w:type="dxa"/>
            <w:vAlign w:val="bottom"/>
            <w:tcBorders>
              <w:top w:val="single" w:sz="8" w:color="D1EEF5"/>
            </w:tcBorders>
            <w:shd w:val="clear" w:color="auto" w:fill="D1EEF5"/>
          </w:tcPr>
          <w:p>
            <w:pPr>
              <w:spacing w:after="0"/>
              <w:rPr>
                <w:sz w:val="13"/>
                <w:szCs w:val="13"/>
                <w:color w:val="auto"/>
              </w:rPr>
            </w:pPr>
          </w:p>
        </w:tc>
        <w:tc>
          <w:tcPr>
            <w:tcW w:w="104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D1EEF5"/>
            </w:tcBorders>
            <w:shd w:val="clear" w:color="auto" w:fill="D1EEF5"/>
          </w:tcPr>
          <w:p>
            <w:pPr>
              <w:spacing w:after="0"/>
              <w:rPr>
                <w:sz w:val="13"/>
                <w:szCs w:val="13"/>
                <w:color w:val="auto"/>
              </w:rPr>
            </w:pPr>
          </w:p>
        </w:tc>
        <w:tc>
          <w:tcPr>
            <w:tcW w:w="1040" w:type="dxa"/>
            <w:vAlign w:val="bottom"/>
            <w:tcBorders>
              <w:top w:val="single" w:sz="8" w:color="auto"/>
            </w:tcBorders>
            <w:shd w:val="clear" w:color="auto" w:fill="D1EEF5"/>
          </w:tcPr>
          <w:p>
            <w:pPr>
              <w:ind w:left="90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D1EEF5"/>
            </w:tcBorders>
            <w:shd w:val="clear" w:color="auto" w:fill="D1EEF5"/>
          </w:tcPr>
          <w:p>
            <w:pPr>
              <w:spacing w:after="0"/>
              <w:rPr>
                <w:sz w:val="13"/>
                <w:szCs w:val="13"/>
                <w:color w:val="auto"/>
              </w:rPr>
            </w:pPr>
          </w:p>
        </w:tc>
        <w:tc>
          <w:tcPr>
            <w:tcW w:w="160" w:type="dxa"/>
            <w:vAlign w:val="bottom"/>
            <w:tcBorders>
              <w:top w:val="single" w:sz="8" w:color="D1EEF5"/>
            </w:tcBorders>
            <w:shd w:val="clear" w:color="auto" w:fill="D1EEF5"/>
          </w:tcPr>
          <w:p>
            <w:pPr>
              <w:spacing w:after="0"/>
              <w:rPr>
                <w:sz w:val="13"/>
                <w:szCs w:val="13"/>
                <w:color w:val="auto"/>
              </w:rPr>
            </w:pPr>
          </w:p>
        </w:tc>
        <w:tc>
          <w:tcPr>
            <w:tcW w:w="1020" w:type="dxa"/>
            <w:vAlign w:val="bottom"/>
            <w:tcBorders>
              <w:top w:val="single" w:sz="8" w:color="auto"/>
            </w:tcBorders>
            <w:shd w:val="clear" w:color="auto" w:fill="D1EEF5"/>
          </w:tcPr>
          <w:p>
            <w:pPr>
              <w:ind w:left="580"/>
              <w:spacing w:after="0"/>
              <w:rPr>
                <w:sz w:val="20"/>
                <w:szCs w:val="20"/>
                <w:color w:val="auto"/>
              </w:rPr>
            </w:pPr>
            <w:r>
              <w:rPr>
                <w:rFonts w:ascii="Times New Roman" w:cs="Times New Roman" w:eastAsia="Times New Roman" w:hAnsi="Times New Roman"/>
                <w:sz w:val="14"/>
                <w:szCs w:val="14"/>
                <w:color w:val="auto"/>
                <w:w w:val="92"/>
              </w:rPr>
              <w:t>433,741</w:t>
            </w:r>
          </w:p>
        </w:tc>
        <w:tc>
          <w:tcPr>
            <w:tcW w:w="100" w:type="dxa"/>
            <w:vAlign w:val="bottom"/>
            <w:tcBorders>
              <w:top w:val="single" w:sz="8" w:color="D1EEF5"/>
            </w:tcBorders>
            <w:shd w:val="clear" w:color="auto" w:fill="D1EEF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2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Perry Boyle</w:t>
            </w:r>
          </w:p>
        </w:tc>
        <w:tc>
          <w:tcPr>
            <w:tcW w:w="12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13,741</w:t>
            </w:r>
          </w:p>
        </w:tc>
        <w:tc>
          <w:tcPr>
            <w:tcW w:w="1620" w:type="dxa"/>
            <w:vAlign w:val="bottom"/>
            <w:gridSpan w:val="3"/>
          </w:tcPr>
          <w:p>
            <w:pPr>
              <w:ind w:left="880"/>
              <w:spacing w:after="0" w:line="157" w:lineRule="exact"/>
              <w:rPr>
                <w:sz w:val="20"/>
                <w:szCs w:val="20"/>
                <w:color w:val="auto"/>
              </w:rPr>
            </w:pPr>
            <w:r>
              <w:rPr>
                <w:rFonts w:ascii="Times New Roman" w:cs="Times New Roman" w:eastAsia="Times New Roman" w:hAnsi="Times New Roman"/>
                <w:sz w:val="14"/>
                <w:szCs w:val="14"/>
                <w:color w:val="auto"/>
              </w:rPr>
              <w:t>420,000</w:t>
            </w:r>
          </w:p>
        </w:tc>
        <w:tc>
          <w:tcPr>
            <w:tcW w:w="1400" w:type="dxa"/>
            <w:vAlign w:val="bottom"/>
            <w:gridSpan w:val="2"/>
          </w:tcPr>
          <w:p>
            <w:pPr>
              <w:jc w:val="right"/>
              <w:ind w:right="36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ind w:left="90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3"/>
          </w:tcPr>
          <w:p>
            <w:pPr>
              <w:ind w:left="740"/>
              <w:spacing w:after="0" w:line="157" w:lineRule="exact"/>
              <w:rPr>
                <w:sz w:val="20"/>
                <w:szCs w:val="20"/>
                <w:color w:val="auto"/>
              </w:rPr>
            </w:pPr>
            <w:r>
              <w:rPr>
                <w:rFonts w:ascii="Times New Roman" w:cs="Times New Roman" w:eastAsia="Times New Roman" w:hAnsi="Times New Roman"/>
                <w:sz w:val="14"/>
                <w:szCs w:val="14"/>
                <w:color w:val="auto"/>
              </w:rPr>
              <w:t>433,741</w:t>
            </w:r>
          </w:p>
        </w:tc>
        <w:tc>
          <w:tcPr>
            <w:tcW w:w="0" w:type="dxa"/>
            <w:vAlign w:val="bottom"/>
          </w:tcPr>
          <w:p>
            <w:pPr>
              <w:spacing w:after="0"/>
              <w:rPr>
                <w:sz w:val="1"/>
                <w:szCs w:val="1"/>
                <w:color w:val="auto"/>
              </w:rPr>
            </w:pPr>
          </w:p>
        </w:tc>
      </w:tr>
      <w:tr>
        <w:trPr>
          <w:trHeight w:val="156"/>
        </w:trPr>
        <w:tc>
          <w:tcPr>
            <w:tcW w:w="3620" w:type="dxa"/>
            <w:vAlign w:val="bottom"/>
            <w:gridSpan w:val="2"/>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Karina Montilla Edmonds, Ph.D.</w:t>
            </w:r>
          </w:p>
        </w:tc>
        <w:tc>
          <w:tcPr>
            <w:tcW w:w="1240" w:type="dxa"/>
            <w:vAlign w:val="bottom"/>
            <w:gridSpan w:val="2"/>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16,078</w:t>
            </w:r>
          </w:p>
        </w:tc>
        <w:tc>
          <w:tcPr>
            <w:tcW w:w="1620" w:type="dxa"/>
            <w:vAlign w:val="bottom"/>
            <w:gridSpan w:val="3"/>
            <w:shd w:val="clear" w:color="auto" w:fill="D1EEF5"/>
          </w:tcPr>
          <w:p>
            <w:pPr>
              <w:ind w:left="880"/>
              <w:spacing w:after="0" w:line="156" w:lineRule="exact"/>
              <w:rPr>
                <w:sz w:val="20"/>
                <w:szCs w:val="20"/>
                <w:color w:val="auto"/>
              </w:rPr>
            </w:pPr>
            <w:r>
              <w:rPr>
                <w:rFonts w:ascii="Times New Roman" w:cs="Times New Roman" w:eastAsia="Times New Roman" w:hAnsi="Times New Roman"/>
                <w:sz w:val="14"/>
                <w:szCs w:val="14"/>
                <w:color w:val="auto"/>
              </w:rPr>
              <w:t>420,000</w:t>
            </w:r>
          </w:p>
        </w:tc>
        <w:tc>
          <w:tcPr>
            <w:tcW w:w="1400" w:type="dxa"/>
            <w:vAlign w:val="bottom"/>
            <w:gridSpan w:val="2"/>
            <w:shd w:val="clear" w:color="auto" w:fill="D1EEF5"/>
          </w:tcPr>
          <w:p>
            <w:pPr>
              <w:jc w:val="right"/>
              <w:ind w:right="3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D1EEF5"/>
          </w:tcPr>
          <w:p>
            <w:pPr>
              <w:ind w:left="9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3"/>
            <w:shd w:val="clear" w:color="auto" w:fill="D1EEF5"/>
          </w:tcPr>
          <w:p>
            <w:pPr>
              <w:ind w:left="740"/>
              <w:spacing w:after="0" w:line="156" w:lineRule="exact"/>
              <w:rPr>
                <w:sz w:val="20"/>
                <w:szCs w:val="20"/>
                <w:color w:val="auto"/>
              </w:rPr>
            </w:pPr>
            <w:r>
              <w:rPr>
                <w:rFonts w:ascii="Times New Roman" w:cs="Times New Roman" w:eastAsia="Times New Roman" w:hAnsi="Times New Roman"/>
                <w:sz w:val="14"/>
                <w:szCs w:val="14"/>
                <w:color w:val="auto"/>
              </w:rPr>
              <w:t>436,078</w:t>
            </w:r>
          </w:p>
        </w:tc>
        <w:tc>
          <w:tcPr>
            <w:tcW w:w="0" w:type="dxa"/>
            <w:vAlign w:val="bottom"/>
          </w:tcPr>
          <w:p>
            <w:pPr>
              <w:spacing w:after="0"/>
              <w:rPr>
                <w:sz w:val="1"/>
                <w:szCs w:val="1"/>
                <w:color w:val="auto"/>
              </w:rPr>
            </w:pPr>
          </w:p>
        </w:tc>
      </w:tr>
      <w:tr>
        <w:trPr>
          <w:trHeight w:val="156"/>
        </w:trPr>
        <w:tc>
          <w:tcPr>
            <w:tcW w:w="362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Luisa Ingargiola</w:t>
            </w:r>
          </w:p>
        </w:tc>
        <w:tc>
          <w:tcPr>
            <w:tcW w:w="12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23,089</w:t>
            </w:r>
          </w:p>
        </w:tc>
        <w:tc>
          <w:tcPr>
            <w:tcW w:w="1620" w:type="dxa"/>
            <w:vAlign w:val="bottom"/>
            <w:gridSpan w:val="3"/>
          </w:tcPr>
          <w:p>
            <w:pPr>
              <w:ind w:left="880"/>
              <w:spacing w:after="0" w:line="156" w:lineRule="exact"/>
              <w:rPr>
                <w:sz w:val="20"/>
                <w:szCs w:val="20"/>
                <w:color w:val="auto"/>
              </w:rPr>
            </w:pPr>
            <w:r>
              <w:rPr>
                <w:rFonts w:ascii="Times New Roman" w:cs="Times New Roman" w:eastAsia="Times New Roman" w:hAnsi="Times New Roman"/>
                <w:sz w:val="14"/>
                <w:szCs w:val="14"/>
                <w:color w:val="auto"/>
              </w:rPr>
              <w:t>420,000</w:t>
            </w:r>
          </w:p>
        </w:tc>
        <w:tc>
          <w:tcPr>
            <w:tcW w:w="140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4"/>
                <w:szCs w:val="14"/>
                <w:color w:val="auto"/>
              </w:rPr>
              <w:t>—(2)</w:t>
            </w:r>
          </w:p>
        </w:tc>
        <w:tc>
          <w:tcPr>
            <w:tcW w:w="1180" w:type="dxa"/>
            <w:vAlign w:val="bottom"/>
            <w:gridSpan w:val="2"/>
          </w:tcPr>
          <w:p>
            <w:pPr>
              <w:ind w:left="9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3"/>
          </w:tcPr>
          <w:p>
            <w:pPr>
              <w:ind w:left="740"/>
              <w:spacing w:after="0" w:line="156" w:lineRule="exact"/>
              <w:rPr>
                <w:sz w:val="20"/>
                <w:szCs w:val="20"/>
                <w:color w:val="auto"/>
              </w:rPr>
            </w:pPr>
            <w:r>
              <w:rPr>
                <w:rFonts w:ascii="Times New Roman" w:cs="Times New Roman" w:eastAsia="Times New Roman" w:hAnsi="Times New Roman"/>
                <w:sz w:val="14"/>
                <w:szCs w:val="14"/>
                <w:color w:val="auto"/>
              </w:rPr>
              <w:t>443,089</w:t>
            </w:r>
          </w:p>
        </w:tc>
        <w:tc>
          <w:tcPr>
            <w:tcW w:w="0" w:type="dxa"/>
            <w:vAlign w:val="bottom"/>
          </w:tcPr>
          <w:p>
            <w:pPr>
              <w:spacing w:after="0"/>
              <w:rPr>
                <w:sz w:val="1"/>
                <w:szCs w:val="1"/>
                <w:color w:val="auto"/>
              </w:rPr>
            </w:pPr>
          </w:p>
        </w:tc>
      </w:tr>
      <w:tr>
        <w:trPr>
          <w:trHeight w:val="156"/>
        </w:trPr>
        <w:tc>
          <w:tcPr>
            <w:tcW w:w="3620" w:type="dxa"/>
            <w:vAlign w:val="bottom"/>
            <w:gridSpan w:val="2"/>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Brian Nelson</w:t>
            </w:r>
          </w:p>
        </w:tc>
        <w:tc>
          <w:tcPr>
            <w:tcW w:w="1240" w:type="dxa"/>
            <w:vAlign w:val="bottom"/>
            <w:gridSpan w:val="2"/>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17,247</w:t>
            </w:r>
          </w:p>
        </w:tc>
        <w:tc>
          <w:tcPr>
            <w:tcW w:w="1620" w:type="dxa"/>
            <w:vAlign w:val="bottom"/>
            <w:gridSpan w:val="3"/>
            <w:shd w:val="clear" w:color="auto" w:fill="D1EEF5"/>
          </w:tcPr>
          <w:p>
            <w:pPr>
              <w:ind w:left="880"/>
              <w:spacing w:after="0" w:line="156" w:lineRule="exact"/>
              <w:rPr>
                <w:sz w:val="20"/>
                <w:szCs w:val="20"/>
                <w:color w:val="auto"/>
              </w:rPr>
            </w:pPr>
            <w:r>
              <w:rPr>
                <w:rFonts w:ascii="Times New Roman" w:cs="Times New Roman" w:eastAsia="Times New Roman" w:hAnsi="Times New Roman"/>
                <w:sz w:val="14"/>
                <w:szCs w:val="14"/>
                <w:color w:val="auto"/>
              </w:rPr>
              <w:t>420,000</w:t>
            </w:r>
          </w:p>
        </w:tc>
        <w:tc>
          <w:tcPr>
            <w:tcW w:w="1400" w:type="dxa"/>
            <w:vAlign w:val="bottom"/>
            <w:gridSpan w:val="2"/>
            <w:shd w:val="clear" w:color="auto" w:fill="D1EEF5"/>
          </w:tcPr>
          <w:p>
            <w:pPr>
              <w:jc w:val="right"/>
              <w:ind w:right="200"/>
              <w:spacing w:after="0" w:line="156" w:lineRule="exact"/>
              <w:rPr>
                <w:sz w:val="20"/>
                <w:szCs w:val="20"/>
                <w:color w:val="auto"/>
              </w:rPr>
            </w:pPr>
            <w:r>
              <w:rPr>
                <w:rFonts w:ascii="Times New Roman" w:cs="Times New Roman" w:eastAsia="Times New Roman" w:hAnsi="Times New Roman"/>
                <w:sz w:val="14"/>
                <w:szCs w:val="14"/>
                <w:color w:val="auto"/>
              </w:rPr>
              <w:t>245,401(3)</w:t>
            </w:r>
          </w:p>
        </w:tc>
        <w:tc>
          <w:tcPr>
            <w:tcW w:w="1180" w:type="dxa"/>
            <w:vAlign w:val="bottom"/>
            <w:gridSpan w:val="2"/>
            <w:shd w:val="clear" w:color="auto" w:fill="D1EEF5"/>
          </w:tcPr>
          <w:p>
            <w:pPr>
              <w:ind w:left="9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3"/>
            <w:shd w:val="clear" w:color="auto" w:fill="D1EEF5"/>
          </w:tcPr>
          <w:p>
            <w:pPr>
              <w:ind w:left="740"/>
              <w:spacing w:after="0" w:line="156" w:lineRule="exact"/>
              <w:rPr>
                <w:sz w:val="20"/>
                <w:szCs w:val="20"/>
                <w:color w:val="auto"/>
              </w:rPr>
            </w:pPr>
            <w:r>
              <w:rPr>
                <w:rFonts w:ascii="Times New Roman" w:cs="Times New Roman" w:eastAsia="Times New Roman" w:hAnsi="Times New Roman"/>
                <w:sz w:val="14"/>
                <w:szCs w:val="14"/>
                <w:color w:val="auto"/>
              </w:rPr>
              <w:t>682,648</w:t>
            </w:r>
          </w:p>
        </w:tc>
        <w:tc>
          <w:tcPr>
            <w:tcW w:w="0" w:type="dxa"/>
            <w:vAlign w:val="bottom"/>
          </w:tcPr>
          <w:p>
            <w:pPr>
              <w:spacing w:after="0"/>
              <w:rPr>
                <w:sz w:val="1"/>
                <w:szCs w:val="1"/>
                <w:color w:val="auto"/>
              </w:rPr>
            </w:pPr>
          </w:p>
        </w:tc>
      </w:tr>
      <w:tr>
        <w:trPr>
          <w:trHeight w:val="181"/>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Rick Parod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13,741</w:t>
            </w:r>
          </w:p>
        </w:tc>
        <w:tc>
          <w:tcPr>
            <w:tcW w:w="1620" w:type="dxa"/>
            <w:vAlign w:val="bottom"/>
            <w:gridSpan w:val="3"/>
          </w:tcPr>
          <w:p>
            <w:pPr>
              <w:ind w:left="880"/>
              <w:spacing w:after="0"/>
              <w:rPr>
                <w:sz w:val="20"/>
                <w:szCs w:val="20"/>
                <w:color w:val="auto"/>
              </w:rPr>
            </w:pPr>
            <w:r>
              <w:rPr>
                <w:rFonts w:ascii="Times New Roman" w:cs="Times New Roman" w:eastAsia="Times New Roman" w:hAnsi="Times New Roman"/>
                <w:sz w:val="14"/>
                <w:szCs w:val="14"/>
                <w:color w:val="auto"/>
              </w:rPr>
              <w:t>420,000</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rPr>
              <w:t>433,741</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firstLine="4"/>
        <w:spacing w:after="0" w:line="243" w:lineRule="auto"/>
        <w:tabs>
          <w:tab w:leader="none" w:pos="198"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in this column reflects the grant date fair value of the stock option and/or RSUs granted to the Non-Employee Directors during the year ended December 31, 2022 under the 2022 Plan as described above and is accounted for in accordance with FASB ASC Topic 718. Please see the section titled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beginning on page F-11 of our Notes to Consolidated Financial Statements included in our Annual Report. As of December 31, 2022, each Non-Employee Director held 30,000 unvested RSUs.</w:t>
      </w:r>
    </w:p>
    <w:p>
      <w:pPr>
        <w:ind w:left="200" w:hanging="196"/>
        <w:spacing w:after="0" w:line="232" w:lineRule="auto"/>
        <w:tabs>
          <w:tab w:leader="none" w:pos="2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shares of common stock underlying stock options and unvested RSUs outstanding as of December 31, 2022 held by Ms. Ingargiola was 127,521.</w:t>
      </w:r>
    </w:p>
    <w:p>
      <w:pPr>
        <w:ind w:firstLine="4"/>
        <w:spacing w:after="0" w:line="236" w:lineRule="auto"/>
        <w:tabs>
          <w:tab w:leader="none" w:pos="201"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 awards to purchase 70,925 shares of our common stock were granted to Mr. Nelson on May 9, 2022 and vest in 36 equal monthly installments beginning on May 15, 2022.</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17780</wp:posOffset>
                </wp:positionV>
                <wp:extent cx="6568440"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8440"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4pt" to="517.6pt,1.4pt" o:allowincell="f" strokecolor="#000000" strokeweight="1.26pt"/>
            </w:pict>
          </mc:Fallback>
        </mc:AlternateContent>
      </w:r>
    </w:p>
    <w:p>
      <w:pPr>
        <w:sectPr>
          <w:pgSz w:w="12240" w:h="15840" w:orient="portrait"/>
          <w:cols w:equalWidth="0" w:num="1">
            <w:col w:w="10340"/>
          </w:cols>
          <w:pgMar w:left="940" w:top="1156" w:right="96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table sets forth certain information as of April 17, 2023, with respect to the beneficial ownership of common stock by the following:</w:t>
      </w:r>
    </w:p>
    <w:p>
      <w:pPr>
        <w:spacing w:after="0" w:line="151" w:lineRule="exact"/>
        <w:rPr>
          <w:sz w:val="20"/>
          <w:szCs w:val="20"/>
          <w:color w:val="auto"/>
        </w:rPr>
      </w:pPr>
    </w:p>
    <w:p>
      <w:pPr>
        <w:ind w:left="740" w:hanging="246"/>
        <w:spacing w:after="0"/>
        <w:tabs>
          <w:tab w:leader="none" w:pos="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other person, or group of affiliated persons, known by us to beneficially own more than 5% of any class of our outstanding shares of common stock;</w:t>
      </w:r>
    </w:p>
    <w:p>
      <w:pPr>
        <w:spacing w:after="0" w:line="15" w:lineRule="exact"/>
        <w:rPr>
          <w:rFonts w:ascii="Times New Roman" w:cs="Times New Roman" w:eastAsia="Times New Roman" w:hAnsi="Times New Roman"/>
          <w:sz w:val="14"/>
          <w:szCs w:val="14"/>
          <w:color w:val="auto"/>
        </w:rPr>
      </w:pPr>
    </w:p>
    <w:p>
      <w:pPr>
        <w:ind w:left="740" w:hanging="246"/>
        <w:spacing w:after="0" w:line="234" w:lineRule="auto"/>
        <w:tabs>
          <w:tab w:leader="none" w:pos="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w:t>
      </w:r>
    </w:p>
    <w:p>
      <w:pPr>
        <w:ind w:left="740" w:hanging="246"/>
        <w:spacing w:after="0" w:line="232" w:lineRule="auto"/>
        <w:tabs>
          <w:tab w:leader="none" w:pos="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current directors; and</w:t>
      </w:r>
    </w:p>
    <w:p>
      <w:pPr>
        <w:ind w:left="740" w:hanging="246"/>
        <w:spacing w:after="0"/>
        <w:tabs>
          <w:tab w:leader="none" w:pos="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executive officers and directors as a group.</w:t>
      </w:r>
    </w:p>
    <w:p>
      <w:pPr>
        <w:spacing w:after="0" w:line="132" w:lineRule="exact"/>
        <w:rPr>
          <w:sz w:val="20"/>
          <w:szCs w:val="20"/>
          <w:color w:val="auto"/>
        </w:rPr>
      </w:pPr>
    </w:p>
    <w:p>
      <w:pPr>
        <w:jc w:val="both"/>
        <w:ind w:right="20" w:firstLine="490"/>
        <w:spacing w:after="0"/>
        <w:rPr>
          <w:sz w:val="20"/>
          <w:szCs w:val="20"/>
          <w:color w:val="auto"/>
        </w:rPr>
      </w:pPr>
      <w:r>
        <w:rPr>
          <w:rFonts w:ascii="Times New Roman" w:cs="Times New Roman" w:eastAsia="Times New Roman" w:hAnsi="Times New Roman"/>
          <w:sz w:val="14"/>
          <w:szCs w:val="14"/>
          <w:color w:val="auto"/>
        </w:rPr>
        <w:t>Information relating to beneficial ownership of the voting securities by our principal stockholders and management is based upon each person’s information using “beneficial ownership” concepts under the SEC rules. Under these rules, a person is deemed to be a beneficial owner of a security if that person has or shares voting power, which includes the power to vote or direct the voting of the security, or investment power, which includes the power to vote or direct the voting of the security. For purposes of computing the number and percentage of shares beneficially owned by a security holder, any shares which such person has the right to acquire within 60 days of April 17, 2023 (“</w:t>
      </w:r>
      <w:r>
        <w:rPr>
          <w:rFonts w:ascii="Times New Roman" w:cs="Times New Roman" w:eastAsia="Times New Roman" w:hAnsi="Times New Roman"/>
          <w:sz w:val="14"/>
          <w:szCs w:val="14"/>
          <w:b w:val="1"/>
          <w:bCs w:val="1"/>
          <w:color w:val="auto"/>
        </w:rPr>
        <w:t>Presently Exercisable Securities</w:t>
      </w:r>
      <w:r>
        <w:rPr>
          <w:rFonts w:ascii="Times New Roman" w:cs="Times New Roman" w:eastAsia="Times New Roman" w:hAnsi="Times New Roman"/>
          <w:sz w:val="14"/>
          <w:szCs w:val="14"/>
          <w:color w:val="auto"/>
        </w:rPr>
        <w:t>”), are deemed to be outstanding, but those shares are not deemed to be outstanding for the purpose of computing the percentage ownership of any other security holder.</w:t>
      </w:r>
    </w:p>
    <w:p>
      <w:pPr>
        <w:spacing w:after="0" w:line="132" w:lineRule="exact"/>
        <w:rPr>
          <w:sz w:val="20"/>
          <w:szCs w:val="20"/>
          <w:color w:val="auto"/>
        </w:rPr>
      </w:pPr>
    </w:p>
    <w:p>
      <w:pPr>
        <w:jc w:val="both"/>
        <w:ind w:right="20" w:firstLine="490"/>
        <w:spacing w:after="0" w:line="263" w:lineRule="auto"/>
        <w:rPr>
          <w:sz w:val="20"/>
          <w:szCs w:val="20"/>
          <w:color w:val="auto"/>
        </w:rPr>
      </w:pPr>
      <w:r>
        <w:rPr>
          <w:rFonts w:ascii="Times New Roman" w:cs="Times New Roman" w:eastAsia="Times New Roman" w:hAnsi="Times New Roman"/>
          <w:sz w:val="14"/>
          <w:szCs w:val="14"/>
          <w:color w:val="auto"/>
        </w:rPr>
        <w:t>The table reflects 45,820,750 shares common stock outstanding as of April 17, 2023 plus any shares issuable upon exercise of Presently Exercisable Securities held by such person or entity.</w:t>
      </w:r>
    </w:p>
    <w:p>
      <w:pPr>
        <w:spacing w:after="0" w:line="116"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Under the SEC rules, more than one person may be deemed to be a beneficial owner of the same securities and a person may be deemed to be a beneficial owner of securities as to which he or she may not have any pecuniary beneficial interest. Except as noted below, ownership consists of sole ownership, voting and investment rights, and the address for each stockholder listed is c/o 1190 Trademark Drive, #108, Reno, Nevada 89521.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Amount and</w:t>
            </w:r>
          </w:p>
        </w:tc>
        <w:tc>
          <w:tcPr>
            <w:tcW w:w="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7"/>
              </w:rPr>
              <w:t>Nature of</w:t>
            </w:r>
          </w:p>
        </w:tc>
        <w:tc>
          <w:tcPr>
            <w:tcW w:w="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8"/>
              </w:rPr>
              <w:t>Beneficial</w:t>
            </w:r>
          </w:p>
        </w:tc>
        <w:tc>
          <w:tcPr>
            <w:tcW w:w="300" w:type="dxa"/>
            <w:vAlign w:val="bottom"/>
          </w:tcPr>
          <w:p>
            <w:pPr>
              <w:spacing w:after="0"/>
              <w:rPr>
                <w:sz w:val="13"/>
                <w:szCs w:val="13"/>
                <w:color w:val="auto"/>
              </w:rPr>
            </w:pPr>
          </w:p>
        </w:tc>
        <w:tc>
          <w:tcPr>
            <w:tcW w:w="1680" w:type="dxa"/>
            <w:vAlign w:val="bottom"/>
            <w:gridSpan w:val="2"/>
          </w:tcPr>
          <w:p>
            <w:pPr>
              <w:jc w:val="right"/>
              <w:ind w:right="680"/>
              <w:spacing w:after="0" w:line="156" w:lineRule="exact"/>
              <w:rPr>
                <w:sz w:val="20"/>
                <w:szCs w:val="20"/>
                <w:color w:val="auto"/>
              </w:rPr>
            </w:pPr>
            <w:r>
              <w:rPr>
                <w:rFonts w:ascii="Times New Roman" w:cs="Times New Roman" w:eastAsia="Times New Roman" w:hAnsi="Times New Roman"/>
                <w:sz w:val="14"/>
                <w:szCs w:val="14"/>
                <w:b w:val="1"/>
                <w:bCs w:val="1"/>
                <w:color w:val="auto"/>
              </w:rPr>
              <w:t>Percent</w:t>
            </w:r>
          </w:p>
        </w:tc>
      </w:tr>
      <w:tr>
        <w:trPr>
          <w:trHeight w:val="185"/>
        </w:trPr>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Ownership</w:t>
            </w:r>
          </w:p>
        </w:tc>
        <w:tc>
          <w:tcPr>
            <w:tcW w:w="300" w:type="dxa"/>
            <w:vAlign w:val="bottom"/>
          </w:tcPr>
          <w:p>
            <w:pPr>
              <w:spacing w:after="0"/>
              <w:rPr>
                <w:sz w:val="16"/>
                <w:szCs w:val="16"/>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of Class</w:t>
            </w:r>
          </w:p>
        </w:tc>
      </w:tr>
      <w:tr>
        <w:trPr>
          <w:trHeight w:val="150"/>
        </w:trPr>
        <w:tc>
          <w:tcPr>
            <w:tcW w:w="20" w:type="dxa"/>
            <w:vAlign w:val="bottom"/>
            <w:tcBorders>
              <w:top w:val="single" w:sz="8" w:color="D1EEF5"/>
            </w:tcBorders>
            <w:shd w:val="clear" w:color="auto" w:fill="D1EEF5"/>
          </w:tcPr>
          <w:p>
            <w:pPr>
              <w:spacing w:after="0"/>
              <w:rPr>
                <w:sz w:val="13"/>
                <w:szCs w:val="13"/>
                <w:color w:val="auto"/>
              </w:rPr>
            </w:pPr>
          </w:p>
        </w:tc>
        <w:tc>
          <w:tcPr>
            <w:tcW w:w="4220" w:type="dxa"/>
            <w:vAlign w:val="bottom"/>
            <w:tcBorders>
              <w:top w:val="single" w:sz="8" w:color="auto"/>
            </w:tcBorders>
            <w:shd w:val="clear" w:color="auto" w:fill="D1EEF5"/>
          </w:tcPr>
          <w:p>
            <w:pPr>
              <w:spacing w:after="0" w:line="150" w:lineRule="exact"/>
              <w:rPr>
                <w:sz w:val="20"/>
                <w:szCs w:val="20"/>
                <w:color w:val="auto"/>
              </w:rPr>
            </w:pPr>
            <w:r>
              <w:rPr>
                <w:rFonts w:ascii="Times New Roman" w:cs="Times New Roman" w:eastAsia="Times New Roman" w:hAnsi="Times New Roman"/>
                <w:sz w:val="14"/>
                <w:szCs w:val="14"/>
                <w:b w:val="1"/>
                <w:bCs w:val="1"/>
                <w:i w:val="1"/>
                <w:iCs w:val="1"/>
                <w:color w:val="auto"/>
              </w:rPr>
              <w:t>5% Holders:</w:t>
            </w:r>
          </w:p>
        </w:tc>
        <w:tc>
          <w:tcPr>
            <w:tcW w:w="2380" w:type="dxa"/>
            <w:vAlign w:val="bottom"/>
            <w:tcBorders>
              <w:top w:val="single" w:sz="8" w:color="auto"/>
            </w:tcBorders>
            <w:shd w:val="clear" w:color="auto" w:fill="D1EEF5"/>
          </w:tcPr>
          <w:p>
            <w:pPr>
              <w:spacing w:after="0"/>
              <w:rPr>
                <w:sz w:val="13"/>
                <w:szCs w:val="13"/>
                <w:color w:val="auto"/>
              </w:rPr>
            </w:pPr>
          </w:p>
        </w:tc>
        <w:tc>
          <w:tcPr>
            <w:tcW w:w="200" w:type="dxa"/>
            <w:vAlign w:val="bottom"/>
            <w:tcBorders>
              <w:top w:val="single" w:sz="8" w:color="D1EEF5"/>
            </w:tcBorders>
            <w:shd w:val="clear" w:color="auto" w:fill="D1EEF5"/>
          </w:tcPr>
          <w:p>
            <w:pPr>
              <w:spacing w:after="0"/>
              <w:rPr>
                <w:sz w:val="13"/>
                <w:szCs w:val="13"/>
                <w:color w:val="auto"/>
              </w:rPr>
            </w:pPr>
          </w:p>
        </w:tc>
        <w:tc>
          <w:tcPr>
            <w:tcW w:w="1560" w:type="dxa"/>
            <w:vAlign w:val="bottom"/>
            <w:tcBorders>
              <w:top w:val="single" w:sz="8" w:color="auto"/>
            </w:tcBorders>
            <w:shd w:val="clear" w:color="auto" w:fill="D1EEF5"/>
          </w:tcPr>
          <w:p>
            <w:pPr>
              <w:spacing w:after="0"/>
              <w:rPr>
                <w:sz w:val="13"/>
                <w:szCs w:val="13"/>
                <w:color w:val="auto"/>
              </w:rPr>
            </w:pPr>
          </w:p>
        </w:tc>
        <w:tc>
          <w:tcPr>
            <w:tcW w:w="300" w:type="dxa"/>
            <w:vAlign w:val="bottom"/>
            <w:tcBorders>
              <w:top w:val="single" w:sz="8" w:color="D1EEF5"/>
            </w:tcBorders>
            <w:shd w:val="clear" w:color="auto" w:fill="D1EEF5"/>
          </w:tcPr>
          <w:p>
            <w:pPr>
              <w:spacing w:after="0"/>
              <w:rPr>
                <w:sz w:val="13"/>
                <w:szCs w:val="13"/>
                <w:color w:val="auto"/>
              </w:rPr>
            </w:pPr>
          </w:p>
        </w:tc>
        <w:tc>
          <w:tcPr>
            <w:tcW w:w="1660" w:type="dxa"/>
            <w:vAlign w:val="bottom"/>
            <w:tcBorders>
              <w:top w:val="single" w:sz="8" w:color="auto"/>
            </w:tcBorders>
            <w:shd w:val="clear" w:color="auto" w:fill="D1EEF5"/>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r>
      <w:tr>
        <w:trPr>
          <w:trHeight w:val="179"/>
        </w:trPr>
        <w:tc>
          <w:tcPr>
            <w:tcW w:w="4240" w:type="dxa"/>
            <w:vAlign w:val="bottom"/>
            <w:gridSpan w:val="2"/>
          </w:tcPr>
          <w:p>
            <w:pPr>
              <w:spacing w:after="0" w:line="179" w:lineRule="exact"/>
              <w:rPr>
                <w:sz w:val="20"/>
                <w:szCs w:val="20"/>
                <w:color w:val="auto"/>
              </w:rPr>
            </w:pPr>
            <w:r>
              <w:rPr>
                <w:rFonts w:ascii="Times New Roman" w:cs="Times New Roman" w:eastAsia="Times New Roman" w:hAnsi="Times New Roman"/>
                <w:sz w:val="14"/>
                <w:szCs w:val="14"/>
                <w:color w:val="auto"/>
              </w:rPr>
              <w:t>Dynavolt Technology (HK) Ltd.</w:t>
            </w:r>
            <w:r>
              <w:rPr>
                <w:rFonts w:ascii="Times New Roman" w:cs="Times New Roman" w:eastAsia="Times New Roman" w:hAnsi="Times New Roman"/>
                <w:sz w:val="18"/>
                <w:szCs w:val="18"/>
                <w:color w:val="auto"/>
                <w:vertAlign w:val="superscript"/>
              </w:rPr>
              <w:t>(1)</w:t>
            </w:r>
          </w:p>
        </w:tc>
        <w:tc>
          <w:tcPr>
            <w:tcW w:w="4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11,820,900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20" w:type="dxa"/>
            <w:vAlign w:val="bottom"/>
          </w:tcPr>
          <w:p>
            <w:pPr>
              <w:spacing w:after="0"/>
              <w:rPr>
                <w:sz w:val="15"/>
                <w:szCs w:val="15"/>
                <w:color w:val="auto"/>
              </w:rPr>
            </w:pPr>
          </w:p>
        </w:tc>
      </w:tr>
      <w:tr>
        <w:trPr>
          <w:trHeight w:val="180"/>
        </w:trPr>
        <w:tc>
          <w:tcPr>
            <w:tcW w:w="4240" w:type="dxa"/>
            <w:vAlign w:val="bottom"/>
            <w:gridSpan w:val="2"/>
            <w:shd w:val="clear" w:color="auto" w:fill="D1EEF5"/>
          </w:tcPr>
          <w:p>
            <w:pPr>
              <w:spacing w:after="0" w:line="180" w:lineRule="exact"/>
              <w:rPr>
                <w:sz w:val="20"/>
                <w:szCs w:val="20"/>
                <w:color w:val="auto"/>
              </w:rPr>
            </w:pPr>
            <w:r>
              <w:rPr>
                <w:rFonts w:ascii="Times New Roman" w:cs="Times New Roman" w:eastAsia="Times New Roman" w:hAnsi="Times New Roman"/>
                <w:sz w:val="14"/>
                <w:szCs w:val="14"/>
                <w:color w:val="auto"/>
              </w:rPr>
              <w:t>Chardan NexTech Investments 2 LLC</w:t>
            </w:r>
            <w:r>
              <w:rPr>
                <w:rFonts w:ascii="Times New Roman" w:cs="Times New Roman" w:eastAsia="Times New Roman" w:hAnsi="Times New Roman"/>
                <w:sz w:val="18"/>
                <w:szCs w:val="18"/>
                <w:color w:val="auto"/>
                <w:vertAlign w:val="superscript"/>
              </w:rPr>
              <w:t>(2)(3)</w:t>
            </w:r>
          </w:p>
        </w:tc>
        <w:tc>
          <w:tcPr>
            <w:tcW w:w="4140" w:type="dxa"/>
            <w:vAlign w:val="bottom"/>
            <w:gridSpan w:val="3"/>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3,030,500</w:t>
            </w:r>
          </w:p>
        </w:tc>
        <w:tc>
          <w:tcPr>
            <w:tcW w:w="196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20" w:type="dxa"/>
            <w:vAlign w:val="bottom"/>
          </w:tcPr>
          <w:p>
            <w:pPr>
              <w:spacing w:after="0"/>
              <w:rPr>
                <w:sz w:val="15"/>
                <w:szCs w:val="15"/>
                <w:color w:val="auto"/>
              </w:rPr>
            </w:pPr>
          </w:p>
        </w:tc>
      </w:tr>
      <w:tr>
        <w:trPr>
          <w:trHeight w:val="179"/>
        </w:trPr>
        <w:tc>
          <w:tcPr>
            <w:tcW w:w="4240" w:type="dxa"/>
            <w:vAlign w:val="bottom"/>
            <w:gridSpan w:val="2"/>
          </w:tcPr>
          <w:p>
            <w:pPr>
              <w:spacing w:after="0" w:line="179" w:lineRule="exact"/>
              <w:rPr>
                <w:sz w:val="20"/>
                <w:szCs w:val="20"/>
                <w:color w:val="auto"/>
              </w:rPr>
            </w:pPr>
            <w:r>
              <w:rPr>
                <w:rFonts w:ascii="Times New Roman" w:cs="Times New Roman" w:eastAsia="Times New Roman" w:hAnsi="Times New Roman"/>
                <w:sz w:val="14"/>
                <w:szCs w:val="14"/>
                <w:color w:val="auto"/>
              </w:rPr>
              <w:t>Jonas Grossman</w:t>
            </w:r>
            <w:r>
              <w:rPr>
                <w:rFonts w:ascii="Times New Roman" w:cs="Times New Roman" w:eastAsia="Times New Roman" w:hAnsi="Times New Roman"/>
                <w:sz w:val="18"/>
                <w:szCs w:val="18"/>
                <w:color w:val="auto"/>
                <w:vertAlign w:val="superscript"/>
              </w:rPr>
              <w:t>(2)(3)(4)</w:t>
            </w:r>
          </w:p>
        </w:tc>
        <w:tc>
          <w:tcPr>
            <w:tcW w:w="4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3,469,500</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7.50%</w:t>
            </w:r>
          </w:p>
        </w:tc>
      </w:tr>
      <w:tr>
        <w:trPr>
          <w:trHeight w:val="180"/>
        </w:trPr>
        <w:tc>
          <w:tcPr>
            <w:tcW w:w="4240" w:type="dxa"/>
            <w:vAlign w:val="bottom"/>
            <w:gridSpan w:val="2"/>
            <w:shd w:val="clear" w:color="auto" w:fill="D1EEF5"/>
          </w:tcPr>
          <w:p>
            <w:pPr>
              <w:spacing w:after="0" w:line="180" w:lineRule="exact"/>
              <w:rPr>
                <w:sz w:val="20"/>
                <w:szCs w:val="20"/>
                <w:color w:val="auto"/>
              </w:rPr>
            </w:pPr>
            <w:r>
              <w:rPr>
                <w:rFonts w:ascii="Times New Roman" w:cs="Times New Roman" w:eastAsia="Times New Roman" w:hAnsi="Times New Roman"/>
                <w:sz w:val="14"/>
                <w:szCs w:val="14"/>
                <w:color w:val="auto"/>
              </w:rPr>
              <w:t>Li Gong</w:t>
            </w:r>
            <w:r>
              <w:rPr>
                <w:rFonts w:ascii="Times New Roman" w:cs="Times New Roman" w:eastAsia="Times New Roman" w:hAnsi="Times New Roman"/>
                <w:sz w:val="18"/>
                <w:szCs w:val="18"/>
                <w:color w:val="auto"/>
                <w:vertAlign w:val="superscript"/>
              </w:rPr>
              <w:t>(5)</w:t>
            </w:r>
          </w:p>
        </w:tc>
        <w:tc>
          <w:tcPr>
            <w:tcW w:w="4140" w:type="dxa"/>
            <w:vAlign w:val="bottom"/>
            <w:gridSpan w:val="3"/>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3,073,434</w:t>
            </w:r>
          </w:p>
        </w:tc>
        <w:tc>
          <w:tcPr>
            <w:tcW w:w="196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2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240" w:type="dxa"/>
            <w:vAlign w:val="bottom"/>
            <w:gridSpan w:val="2"/>
            <w:shd w:val="clear" w:color="auto" w:fill="D1EEF5"/>
          </w:tcPr>
          <w:p>
            <w:pPr>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rPr>
              <w:t>Named Executive Officers and Directors:</w:t>
            </w:r>
          </w:p>
        </w:tc>
        <w:tc>
          <w:tcPr>
            <w:tcW w:w="2380" w:type="dxa"/>
            <w:vAlign w:val="bottom"/>
            <w:shd w:val="clear" w:color="auto" w:fill="D1EEF5"/>
          </w:tcPr>
          <w:p>
            <w:pPr>
              <w:spacing w:after="0"/>
              <w:rPr>
                <w:sz w:val="13"/>
                <w:szCs w:val="13"/>
                <w:color w:val="auto"/>
              </w:rPr>
            </w:pPr>
          </w:p>
        </w:tc>
        <w:tc>
          <w:tcPr>
            <w:tcW w:w="200" w:type="dxa"/>
            <w:vAlign w:val="bottom"/>
            <w:shd w:val="clear" w:color="auto" w:fill="D1EEF5"/>
          </w:tcPr>
          <w:p>
            <w:pPr>
              <w:spacing w:after="0"/>
              <w:rPr>
                <w:sz w:val="13"/>
                <w:szCs w:val="13"/>
                <w:color w:val="auto"/>
              </w:rPr>
            </w:pPr>
          </w:p>
        </w:tc>
        <w:tc>
          <w:tcPr>
            <w:tcW w:w="1560" w:type="dxa"/>
            <w:vAlign w:val="bottom"/>
            <w:shd w:val="clear" w:color="auto" w:fill="D1EEF5"/>
          </w:tcPr>
          <w:p>
            <w:pPr>
              <w:spacing w:after="0"/>
              <w:rPr>
                <w:sz w:val="13"/>
                <w:szCs w:val="13"/>
                <w:color w:val="auto"/>
              </w:rPr>
            </w:pPr>
          </w:p>
        </w:tc>
        <w:tc>
          <w:tcPr>
            <w:tcW w:w="300" w:type="dxa"/>
            <w:vAlign w:val="bottom"/>
            <w:shd w:val="clear" w:color="auto" w:fill="D1EEF5"/>
          </w:tcPr>
          <w:p>
            <w:pPr>
              <w:spacing w:after="0"/>
              <w:rPr>
                <w:sz w:val="13"/>
                <w:szCs w:val="13"/>
                <w:color w:val="auto"/>
              </w:rPr>
            </w:pPr>
          </w:p>
        </w:tc>
        <w:tc>
          <w:tcPr>
            <w:tcW w:w="1660" w:type="dxa"/>
            <w:vAlign w:val="bottom"/>
            <w:shd w:val="clear" w:color="auto" w:fill="D1EEF5"/>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4240" w:type="dxa"/>
            <w:vAlign w:val="bottom"/>
            <w:gridSpan w:val="2"/>
          </w:tcPr>
          <w:p>
            <w:pPr>
              <w:spacing w:after="0" w:line="180" w:lineRule="exact"/>
              <w:rPr>
                <w:sz w:val="20"/>
                <w:szCs w:val="20"/>
                <w:color w:val="auto"/>
              </w:rPr>
            </w:pPr>
            <w:r>
              <w:rPr>
                <w:rFonts w:ascii="Times New Roman" w:cs="Times New Roman" w:eastAsia="Times New Roman" w:hAnsi="Times New Roman"/>
                <w:sz w:val="14"/>
                <w:szCs w:val="14"/>
                <w:color w:val="auto"/>
              </w:rPr>
              <w:t>Dr. Denis Phares</w:t>
            </w:r>
            <w:r>
              <w:rPr>
                <w:rFonts w:ascii="Times New Roman" w:cs="Times New Roman" w:eastAsia="Times New Roman" w:hAnsi="Times New Roman"/>
                <w:sz w:val="18"/>
                <w:szCs w:val="18"/>
                <w:color w:val="auto"/>
                <w:vertAlign w:val="superscript"/>
              </w:rPr>
              <w:t>(6)(7)</w:t>
            </w:r>
          </w:p>
        </w:tc>
        <w:tc>
          <w:tcPr>
            <w:tcW w:w="4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16,251,136</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35.35%</w:t>
            </w:r>
          </w:p>
        </w:tc>
      </w:tr>
      <w:tr>
        <w:trPr>
          <w:trHeight w:val="179"/>
        </w:trPr>
        <w:tc>
          <w:tcPr>
            <w:tcW w:w="4240" w:type="dxa"/>
            <w:vAlign w:val="bottom"/>
            <w:gridSpan w:val="2"/>
            <w:shd w:val="clear" w:color="auto" w:fill="D1EEF5"/>
          </w:tcPr>
          <w:p>
            <w:pPr>
              <w:spacing w:after="0" w:line="179" w:lineRule="exact"/>
              <w:rPr>
                <w:sz w:val="20"/>
                <w:szCs w:val="20"/>
                <w:color w:val="auto"/>
              </w:rPr>
            </w:pPr>
            <w:r>
              <w:rPr>
                <w:rFonts w:ascii="Times New Roman" w:cs="Times New Roman" w:eastAsia="Times New Roman" w:hAnsi="Times New Roman"/>
                <w:sz w:val="14"/>
                <w:szCs w:val="14"/>
                <w:color w:val="auto"/>
              </w:rPr>
              <w:t>Sean Nichols</w:t>
            </w:r>
            <w:r>
              <w:rPr>
                <w:rFonts w:ascii="Times New Roman" w:cs="Times New Roman" w:eastAsia="Times New Roman" w:hAnsi="Times New Roman"/>
                <w:sz w:val="18"/>
                <w:szCs w:val="18"/>
                <w:color w:val="auto"/>
                <w:vertAlign w:val="superscript"/>
              </w:rPr>
              <w:t>(6)(8)</w:t>
            </w:r>
          </w:p>
        </w:tc>
        <w:tc>
          <w:tcPr>
            <w:tcW w:w="4140" w:type="dxa"/>
            <w:vAlign w:val="bottom"/>
            <w:gridSpan w:val="3"/>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3,735,999</w:t>
            </w:r>
          </w:p>
        </w:tc>
        <w:tc>
          <w:tcPr>
            <w:tcW w:w="196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20" w:type="dxa"/>
            <w:vAlign w:val="bottom"/>
          </w:tcPr>
          <w:p>
            <w:pPr>
              <w:spacing w:after="0"/>
              <w:rPr>
                <w:sz w:val="15"/>
                <w:szCs w:val="15"/>
                <w:color w:val="auto"/>
              </w:rPr>
            </w:pPr>
          </w:p>
        </w:tc>
      </w:tr>
      <w:tr>
        <w:trPr>
          <w:trHeight w:val="180"/>
        </w:trPr>
        <w:tc>
          <w:tcPr>
            <w:tcW w:w="4240" w:type="dxa"/>
            <w:vAlign w:val="bottom"/>
            <w:gridSpan w:val="2"/>
          </w:tcPr>
          <w:p>
            <w:pPr>
              <w:spacing w:after="0" w:line="180" w:lineRule="exact"/>
              <w:rPr>
                <w:sz w:val="20"/>
                <w:szCs w:val="20"/>
                <w:color w:val="auto"/>
              </w:rPr>
            </w:pPr>
            <w:r>
              <w:rPr>
                <w:rFonts w:ascii="Times New Roman" w:cs="Times New Roman" w:eastAsia="Times New Roman" w:hAnsi="Times New Roman"/>
                <w:sz w:val="14"/>
                <w:szCs w:val="14"/>
                <w:color w:val="auto"/>
              </w:rPr>
              <w:t>Nicole Harvey</w:t>
            </w:r>
            <w:r>
              <w:rPr>
                <w:rFonts w:ascii="Times New Roman" w:cs="Times New Roman" w:eastAsia="Times New Roman" w:hAnsi="Times New Roman"/>
                <w:sz w:val="18"/>
                <w:szCs w:val="18"/>
                <w:color w:val="auto"/>
                <w:vertAlign w:val="superscript"/>
              </w:rPr>
              <w:t>(9)</w:t>
            </w:r>
          </w:p>
        </w:tc>
        <w:tc>
          <w:tcPr>
            <w:tcW w:w="4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141,809</w:t>
            </w:r>
          </w:p>
        </w:tc>
        <w:tc>
          <w:tcPr>
            <w:tcW w:w="196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79"/>
        </w:trPr>
        <w:tc>
          <w:tcPr>
            <w:tcW w:w="4240" w:type="dxa"/>
            <w:vAlign w:val="bottom"/>
            <w:gridSpan w:val="2"/>
            <w:shd w:val="clear" w:color="auto" w:fill="D1EEF5"/>
          </w:tcPr>
          <w:p>
            <w:pPr>
              <w:spacing w:after="0" w:line="179" w:lineRule="exact"/>
              <w:rPr>
                <w:sz w:val="20"/>
                <w:szCs w:val="20"/>
                <w:color w:val="auto"/>
              </w:rPr>
            </w:pPr>
            <w:r>
              <w:rPr>
                <w:rFonts w:ascii="Times New Roman" w:cs="Times New Roman" w:eastAsia="Times New Roman" w:hAnsi="Times New Roman"/>
                <w:sz w:val="14"/>
                <w:szCs w:val="14"/>
                <w:color w:val="auto"/>
              </w:rPr>
              <w:t>John Marchetti</w:t>
            </w:r>
            <w:r>
              <w:rPr>
                <w:rFonts w:ascii="Times New Roman" w:cs="Times New Roman" w:eastAsia="Times New Roman" w:hAnsi="Times New Roman"/>
                <w:sz w:val="18"/>
                <w:szCs w:val="18"/>
                <w:color w:val="auto"/>
                <w:vertAlign w:val="superscript"/>
              </w:rPr>
              <w:t>(10)</w:t>
            </w:r>
          </w:p>
        </w:tc>
        <w:tc>
          <w:tcPr>
            <w:tcW w:w="4140" w:type="dxa"/>
            <w:vAlign w:val="bottom"/>
            <w:gridSpan w:val="3"/>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189,562</w:t>
            </w:r>
          </w:p>
        </w:tc>
        <w:tc>
          <w:tcPr>
            <w:tcW w:w="1960" w:type="dxa"/>
            <w:vAlign w:val="bottom"/>
            <w:gridSpan w:val="2"/>
            <w:shd w:val="clear" w:color="auto" w:fill="D1EEF5"/>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4240" w:type="dxa"/>
            <w:vAlign w:val="bottom"/>
            <w:gridSpan w:val="2"/>
          </w:tcPr>
          <w:p>
            <w:pPr>
              <w:spacing w:after="0" w:line="180" w:lineRule="exact"/>
              <w:rPr>
                <w:sz w:val="20"/>
                <w:szCs w:val="20"/>
                <w:color w:val="auto"/>
              </w:rPr>
            </w:pPr>
            <w:r>
              <w:rPr>
                <w:rFonts w:ascii="Times New Roman" w:cs="Times New Roman" w:eastAsia="Times New Roman" w:hAnsi="Times New Roman"/>
                <w:sz w:val="14"/>
                <w:szCs w:val="14"/>
                <w:color w:val="auto"/>
              </w:rPr>
              <w:t xml:space="preserve">Tyler Bourns </w:t>
            </w:r>
            <w:r>
              <w:rPr>
                <w:rFonts w:ascii="Times New Roman" w:cs="Times New Roman" w:eastAsia="Times New Roman" w:hAnsi="Times New Roman"/>
                <w:sz w:val="18"/>
                <w:szCs w:val="18"/>
                <w:color w:val="auto"/>
                <w:vertAlign w:val="superscript"/>
              </w:rPr>
              <w:t>(11)</w:t>
            </w:r>
          </w:p>
        </w:tc>
        <w:tc>
          <w:tcPr>
            <w:tcW w:w="4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58,512</w:t>
            </w:r>
          </w:p>
        </w:tc>
        <w:tc>
          <w:tcPr>
            <w:tcW w:w="196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79"/>
        </w:trPr>
        <w:tc>
          <w:tcPr>
            <w:tcW w:w="4240" w:type="dxa"/>
            <w:vAlign w:val="bottom"/>
            <w:gridSpan w:val="2"/>
            <w:shd w:val="clear" w:color="auto" w:fill="D1EEF5"/>
          </w:tcPr>
          <w:p>
            <w:pPr>
              <w:spacing w:after="0" w:line="179" w:lineRule="exact"/>
              <w:rPr>
                <w:sz w:val="20"/>
                <w:szCs w:val="20"/>
                <w:color w:val="auto"/>
              </w:rPr>
            </w:pPr>
            <w:r>
              <w:rPr>
                <w:rFonts w:ascii="Times New Roman" w:cs="Times New Roman" w:eastAsia="Times New Roman" w:hAnsi="Times New Roman"/>
                <w:sz w:val="14"/>
                <w:szCs w:val="14"/>
                <w:color w:val="auto"/>
              </w:rPr>
              <w:t>Luisa Ingargiola</w:t>
            </w:r>
            <w:r>
              <w:rPr>
                <w:rFonts w:ascii="Times New Roman" w:cs="Times New Roman" w:eastAsia="Times New Roman" w:hAnsi="Times New Roman"/>
                <w:sz w:val="18"/>
                <w:szCs w:val="18"/>
                <w:color w:val="auto"/>
                <w:vertAlign w:val="superscript"/>
              </w:rPr>
              <w:t>(12)</w:t>
            </w:r>
          </w:p>
        </w:tc>
        <w:tc>
          <w:tcPr>
            <w:tcW w:w="4140" w:type="dxa"/>
            <w:vAlign w:val="bottom"/>
            <w:gridSpan w:val="3"/>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59,598</w:t>
            </w:r>
          </w:p>
        </w:tc>
        <w:tc>
          <w:tcPr>
            <w:tcW w:w="1960" w:type="dxa"/>
            <w:vAlign w:val="bottom"/>
            <w:gridSpan w:val="2"/>
            <w:shd w:val="clear" w:color="auto" w:fill="D1EEF5"/>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79"/>
        </w:trPr>
        <w:tc>
          <w:tcPr>
            <w:tcW w:w="4240" w:type="dxa"/>
            <w:vAlign w:val="bottom"/>
            <w:gridSpan w:val="2"/>
          </w:tcPr>
          <w:p>
            <w:pPr>
              <w:spacing w:after="0" w:line="179" w:lineRule="exact"/>
              <w:rPr>
                <w:sz w:val="20"/>
                <w:szCs w:val="20"/>
                <w:color w:val="auto"/>
              </w:rPr>
            </w:pPr>
            <w:r>
              <w:rPr>
                <w:rFonts w:ascii="Times New Roman" w:cs="Times New Roman" w:eastAsia="Times New Roman" w:hAnsi="Times New Roman"/>
                <w:sz w:val="14"/>
                <w:szCs w:val="14"/>
                <w:color w:val="auto"/>
              </w:rPr>
              <w:t>Brian Nelson</w:t>
            </w:r>
            <w:r>
              <w:rPr>
                <w:rFonts w:ascii="Times New Roman" w:cs="Times New Roman" w:eastAsia="Times New Roman" w:hAnsi="Times New Roman"/>
                <w:sz w:val="18"/>
                <w:szCs w:val="18"/>
                <w:color w:val="auto"/>
                <w:vertAlign w:val="superscript"/>
              </w:rPr>
              <w:t>(13)</w:t>
            </w:r>
          </w:p>
        </w:tc>
        <w:tc>
          <w:tcPr>
            <w:tcW w:w="4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27,594</w:t>
            </w:r>
          </w:p>
        </w:tc>
        <w:tc>
          <w:tcPr>
            <w:tcW w:w="196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57"/>
        </w:trPr>
        <w:tc>
          <w:tcPr>
            <w:tcW w:w="4240" w:type="dxa"/>
            <w:vAlign w:val="bottom"/>
            <w:gridSpan w:val="2"/>
            <w:shd w:val="clear" w:color="auto" w:fill="D1EEF5"/>
          </w:tcPr>
          <w:p>
            <w:pPr>
              <w:spacing w:after="0" w:line="157" w:lineRule="exact"/>
              <w:rPr>
                <w:sz w:val="20"/>
                <w:szCs w:val="20"/>
                <w:color w:val="auto"/>
              </w:rPr>
            </w:pPr>
            <w:r>
              <w:rPr>
                <w:rFonts w:ascii="Times New Roman" w:cs="Times New Roman" w:eastAsia="Times New Roman" w:hAnsi="Times New Roman"/>
                <w:sz w:val="14"/>
                <w:szCs w:val="14"/>
                <w:color w:val="auto"/>
              </w:rPr>
              <w:t>Perry Boyle</w:t>
            </w:r>
          </w:p>
        </w:tc>
        <w:tc>
          <w:tcPr>
            <w:tcW w:w="4140" w:type="dxa"/>
            <w:vAlign w:val="bottom"/>
            <w:gridSpan w:val="3"/>
            <w:shd w:val="clear" w:color="auto" w:fill="D1EEF5"/>
          </w:tcPr>
          <w:p>
            <w:pPr>
              <w:jc w:val="right"/>
              <w:spacing w:after="0" w:line="157" w:lineRule="exact"/>
              <w:rPr>
                <w:sz w:val="20"/>
                <w:szCs w:val="20"/>
                <w:color w:val="auto"/>
              </w:rPr>
            </w:pPr>
            <w:r>
              <w:rPr>
                <w:rFonts w:ascii="Times New Roman" w:cs="Times New Roman" w:eastAsia="Times New Roman" w:hAnsi="Times New Roman"/>
                <w:sz w:val="14"/>
                <w:szCs w:val="14"/>
                <w:color w:val="auto"/>
              </w:rPr>
              <w:t>22,000</w:t>
            </w:r>
          </w:p>
        </w:tc>
        <w:tc>
          <w:tcPr>
            <w:tcW w:w="1960" w:type="dxa"/>
            <w:vAlign w:val="bottom"/>
            <w:gridSpan w:val="2"/>
            <w:shd w:val="clear" w:color="auto" w:fill="D1EEF5"/>
          </w:tcPr>
          <w:p>
            <w:pPr>
              <w:jc w:val="right"/>
              <w:ind w:right="32"/>
              <w:spacing w:after="0" w:line="15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r>
      <w:tr>
        <w:trPr>
          <w:trHeight w:val="156"/>
        </w:trPr>
        <w:tc>
          <w:tcPr>
            <w:tcW w:w="424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Jonathan Bellows</w:t>
            </w:r>
          </w:p>
        </w:tc>
        <w:tc>
          <w:tcPr>
            <w:tcW w:w="414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4"/>
                <w:szCs w:val="14"/>
                <w:color w:val="auto"/>
              </w:rPr>
              <w:t>0</w:t>
            </w:r>
          </w:p>
        </w:tc>
        <w:tc>
          <w:tcPr>
            <w:tcW w:w="1960" w:type="dxa"/>
            <w:vAlign w:val="bottom"/>
            <w:gridSpan w:val="2"/>
          </w:tcPr>
          <w:p>
            <w:pPr>
              <w:jc w:val="right"/>
              <w:ind w:right="32"/>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r>
      <w:tr>
        <w:trPr>
          <w:trHeight w:val="156"/>
        </w:trPr>
        <w:tc>
          <w:tcPr>
            <w:tcW w:w="4240" w:type="dxa"/>
            <w:vAlign w:val="bottom"/>
            <w:gridSpan w:val="2"/>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Rick Parod</w:t>
            </w:r>
          </w:p>
        </w:tc>
        <w:tc>
          <w:tcPr>
            <w:tcW w:w="4140" w:type="dxa"/>
            <w:vAlign w:val="bottom"/>
            <w:gridSpan w:val="3"/>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0</w:t>
            </w:r>
          </w:p>
        </w:tc>
        <w:tc>
          <w:tcPr>
            <w:tcW w:w="1960" w:type="dxa"/>
            <w:vAlign w:val="bottom"/>
            <w:gridSpan w:val="2"/>
            <w:shd w:val="clear" w:color="auto" w:fill="D1EEF5"/>
          </w:tcPr>
          <w:p>
            <w:pPr>
              <w:jc w:val="right"/>
              <w:ind w:right="32"/>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r>
      <w:tr>
        <w:trPr>
          <w:trHeight w:val="157"/>
        </w:trPr>
        <w:tc>
          <w:tcPr>
            <w:tcW w:w="42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Karina Montilla Edmonds</w:t>
            </w:r>
          </w:p>
        </w:tc>
        <w:tc>
          <w:tcPr>
            <w:tcW w:w="414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auto"/>
              </w:rPr>
              <w:t>0</w:t>
            </w:r>
          </w:p>
        </w:tc>
        <w:tc>
          <w:tcPr>
            <w:tcW w:w="1960" w:type="dxa"/>
            <w:vAlign w:val="bottom"/>
            <w:gridSpan w:val="2"/>
          </w:tcPr>
          <w:p>
            <w:pPr>
              <w:jc w:val="right"/>
              <w:ind w:right="32"/>
              <w:spacing w:after="0" w:line="15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r>
      <w:tr>
        <w:trPr>
          <w:trHeight w:val="156"/>
        </w:trPr>
        <w:tc>
          <w:tcPr>
            <w:tcW w:w="4240" w:type="dxa"/>
            <w:vAlign w:val="bottom"/>
            <w:gridSpan w:val="2"/>
            <w:shd w:val="clear" w:color="auto" w:fill="D1EEF5"/>
          </w:tcPr>
          <w:p>
            <w:pPr>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rPr>
              <w:t>All Executive Officers and Directors as a group (9 persons):</w:t>
            </w:r>
          </w:p>
        </w:tc>
        <w:tc>
          <w:tcPr>
            <w:tcW w:w="4140" w:type="dxa"/>
            <w:vAlign w:val="bottom"/>
            <w:gridSpan w:val="3"/>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20,344,401</w:t>
            </w:r>
          </w:p>
        </w:tc>
        <w:tc>
          <w:tcPr>
            <w:tcW w:w="1960" w:type="dxa"/>
            <w:vAlign w:val="bottom"/>
            <w:gridSpan w:val="2"/>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44.40%</w:t>
            </w:r>
          </w:p>
        </w:tc>
        <w:tc>
          <w:tcPr>
            <w:tcW w:w="20" w:type="dxa"/>
            <w:vAlign w:val="bottom"/>
          </w:tcPr>
          <w:p>
            <w:pPr>
              <w:spacing w:after="0"/>
              <w:rPr>
                <w:sz w:val="13"/>
                <w:szCs w:val="13"/>
                <w:color w:val="auto"/>
              </w:rPr>
            </w:pPr>
          </w:p>
        </w:tc>
      </w:tr>
      <w:tr>
        <w:trPr>
          <w:trHeight w:val="314"/>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right"/>
              <w:ind w:right="1312"/>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2240" w:h="15840" w:orient="portrait"/>
          <w:cols w:equalWidth="0" w:num="1">
            <w:col w:w="10360"/>
          </w:cols>
          <w:pgMar w:left="940" w:top="1154" w:right="9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color w:val="auto"/>
        </w:rPr>
        <w:t>* Less than one percent.</w:t>
      </w:r>
    </w:p>
    <w:p>
      <w:pPr>
        <w:spacing w:after="0" w:line="150" w:lineRule="exact"/>
        <w:rPr>
          <w:sz w:val="20"/>
          <w:szCs w:val="20"/>
          <w:color w:val="auto"/>
        </w:rPr>
      </w:pPr>
    </w:p>
    <w:p>
      <w:pPr>
        <w:ind w:left="340" w:hanging="336"/>
        <w:spacing w:after="0" w:line="265" w:lineRule="auto"/>
        <w:tabs>
          <w:tab w:leader="none" w:pos="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Schedule 13D filed by Dynavolt Technology (HK) Ltd. (“</w:t>
      </w:r>
      <w:r>
        <w:rPr>
          <w:rFonts w:ascii="Times New Roman" w:cs="Times New Roman" w:eastAsia="Times New Roman" w:hAnsi="Times New Roman"/>
          <w:sz w:val="14"/>
          <w:szCs w:val="14"/>
          <w:b w:val="1"/>
          <w:bCs w:val="1"/>
          <w:color w:val="auto"/>
        </w:rPr>
        <w:t>Dynavolt</w:t>
      </w:r>
      <w:r>
        <w:rPr>
          <w:rFonts w:ascii="Times New Roman" w:cs="Times New Roman" w:eastAsia="Times New Roman" w:hAnsi="Times New Roman"/>
          <w:sz w:val="14"/>
          <w:szCs w:val="14"/>
          <w:color w:val="auto"/>
        </w:rPr>
        <w:t>”) on October 12, 2022. The business address of Dynavolt is Flat/Room 02-03 26/F, Bea Tower Millennium City 5, 418 Kwun Tong Road, Kwun Tong, Hong Kong.</w:t>
      </w:r>
    </w:p>
    <w:p>
      <w:pPr>
        <w:spacing w:after="0" w:line="114" w:lineRule="exact"/>
        <w:rPr>
          <w:rFonts w:ascii="Times New Roman" w:cs="Times New Roman" w:eastAsia="Times New Roman" w:hAnsi="Times New Roman"/>
          <w:sz w:val="14"/>
          <w:szCs w:val="14"/>
          <w:color w:val="auto"/>
        </w:rPr>
      </w:pPr>
    </w:p>
    <w:p>
      <w:pPr>
        <w:jc w:val="both"/>
        <w:ind w:left="340" w:hanging="336"/>
        <w:spacing w:after="0" w:line="309" w:lineRule="auto"/>
        <w:tabs>
          <w:tab w:leader="none" w:pos="34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the joint Schedule 13D/A filed by Sponsor and Jonas Grossman on January 9, 2023. Mr. Grossman is the managing member of the Sponsor and the President and managing partner of CCM, an affiliate of the Sponsor. As such, Mr. Grossman may be deemed to have beneficial ownership of the 3,030,500 shares of common stock held directly by Chardan. Mr. Grossman disclaims any beneficial ownership of the reported shares other than to the extent of any pecuniary interest he may have therein, directly or indirectly.</w:t>
      </w:r>
    </w:p>
    <w:p>
      <w:pPr>
        <w:spacing w:after="0" w:line="93" w:lineRule="exact"/>
        <w:rPr>
          <w:rFonts w:ascii="Times New Roman" w:cs="Times New Roman" w:eastAsia="Times New Roman" w:hAnsi="Times New Roman"/>
          <w:sz w:val="12"/>
          <w:szCs w:val="12"/>
          <w:color w:val="auto"/>
        </w:rPr>
      </w:pPr>
    </w:p>
    <w:p>
      <w:pPr>
        <w:jc w:val="both"/>
        <w:ind w:left="340" w:hanging="336"/>
        <w:spacing w:after="0" w:line="243" w:lineRule="auto"/>
        <w:tabs>
          <w:tab w:leader="none" w:pos="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15,000 shares issued to CCM. Mr. Kerry Propper, Mr. Steven Urbach and Mr. Jonas Grossman, are CCM’s Chairman, Chief Executive Officer and President, respectively, and are each Members and Managers of Chardan Securities LLC, which holds a controlling interest in CCM. Mr. Urbach has all investment and voting power over the 15,000 shares held by CCM. The business address of Sponsor, CCM, and Mr. Grossman is 17 State Street, 21st Floor, New York, NY 10004. CCM, an affiliate of the Sponsor and Warrant Holdings, is a broker-dealer and a member of the Financial Industry Regulatory Authority, Inc.</w:t>
      </w:r>
    </w:p>
    <w:p>
      <w:pPr>
        <w:spacing w:after="0" w:line="129" w:lineRule="exact"/>
        <w:rPr>
          <w:rFonts w:ascii="Times New Roman" w:cs="Times New Roman" w:eastAsia="Times New Roman" w:hAnsi="Times New Roman"/>
          <w:sz w:val="14"/>
          <w:szCs w:val="14"/>
          <w:color w:val="auto"/>
        </w:rPr>
      </w:pPr>
    </w:p>
    <w:p>
      <w:pPr>
        <w:jc w:val="both"/>
        <w:ind w:left="340" w:hanging="336"/>
        <w:spacing w:after="0" w:line="248" w:lineRule="auto"/>
        <w:tabs>
          <w:tab w:leader="none" w:pos="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439,000 private warrants issuable upon exercise of outstanding warrants within 60 days of the Record Date. Excludes 1,062,386 private warrants, which Warrant Holdings LLC has agreed not to exercise to the extent that Warrant Holdings and its affiliates would be deemed to beneficially own more than 7.5% of the shares of common stock outstanding immediately after giving effect to such exercise. The business address of Warrant Holdings is 17 State Street, 21st Floor, New York, NY 10004.</w:t>
      </w:r>
    </w:p>
    <w:p>
      <w:pPr>
        <w:spacing w:after="0" w:line="126" w:lineRule="exact"/>
        <w:rPr>
          <w:rFonts w:ascii="Times New Roman" w:cs="Times New Roman" w:eastAsia="Times New Roman" w:hAnsi="Times New Roman"/>
          <w:sz w:val="14"/>
          <w:szCs w:val="14"/>
          <w:color w:val="auto"/>
        </w:rPr>
      </w:pPr>
    </w:p>
    <w:p>
      <w:pPr>
        <w:jc w:val="both"/>
        <w:ind w:left="340" w:hanging="336"/>
        <w:spacing w:after="0" w:line="243" w:lineRule="auto"/>
        <w:tabs>
          <w:tab w:leader="none" w:pos="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Schedule 13D filed by Li Gong on October 12, 2022. Includes (i) 147,138 shares of common stock held on behalf of the SAKURA GRAT, dated February 11, 2021, of which Mr. Gong is a trustee, (ii) 2,217,042 shares of common stock on behalf of the LML Family Trust, dated January 14, 2019, of which Mr. Gong is a trustee and (iii) 709,254 shares of common stock issuable upon exercise of outstanding stock options exercisable within 60 days of April 17, 2023. The business address of Mr. Gong is 930 Tahoe Blvd. Suite 802, PMB 860, Incline Village, Nevada 89451.</w:t>
      </w:r>
    </w:p>
    <w:p>
      <w:pPr>
        <w:spacing w:after="0" w:line="130" w:lineRule="exact"/>
        <w:rPr>
          <w:rFonts w:ascii="Times New Roman" w:cs="Times New Roman" w:eastAsia="Times New Roman" w:hAnsi="Times New Roman"/>
          <w:sz w:val="14"/>
          <w:szCs w:val="14"/>
          <w:color w:val="auto"/>
        </w:rPr>
      </w:pPr>
    </w:p>
    <w:p>
      <w:pPr>
        <w:ind w:left="340" w:hanging="336"/>
        <w:spacing w:after="0"/>
        <w:tabs>
          <w:tab w:leader="none" w:pos="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40,000,000 shares of common stock not yet payable as the earnout contingencies have not yet been met and will not be met within 60 days of April 17, 2023.</w:t>
      </w:r>
    </w:p>
    <w:p>
      <w:pPr>
        <w:spacing w:after="0" w:line="151" w:lineRule="exact"/>
        <w:rPr>
          <w:rFonts w:ascii="Times New Roman" w:cs="Times New Roman" w:eastAsia="Times New Roman" w:hAnsi="Times New Roman"/>
          <w:sz w:val="14"/>
          <w:szCs w:val="14"/>
          <w:color w:val="auto"/>
        </w:rPr>
      </w:pPr>
    </w:p>
    <w:p>
      <w:pPr>
        <w:ind w:left="340" w:hanging="336"/>
        <w:spacing w:after="0" w:line="263" w:lineRule="auto"/>
        <w:tabs>
          <w:tab w:leader="none" w:pos="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1,217,906 shares held on behalf of the Phares 2021 GRAT dated July 9, 2021, of which Dr. Phares is the trustee, and (ii) 147,760 shares of common stock issuable upon exercise of outstanding stock options exercisable within 60 days of April 17, 2023.</w:t>
      </w:r>
    </w:p>
    <w:p>
      <w:pPr>
        <w:spacing w:after="0" w:line="116" w:lineRule="exact"/>
        <w:rPr>
          <w:rFonts w:ascii="Times New Roman" w:cs="Times New Roman" w:eastAsia="Times New Roman" w:hAnsi="Times New Roman"/>
          <w:sz w:val="14"/>
          <w:szCs w:val="14"/>
          <w:color w:val="auto"/>
        </w:rPr>
      </w:pPr>
    </w:p>
    <w:p>
      <w:pPr>
        <w:jc w:val="both"/>
        <w:ind w:left="340" w:hanging="336"/>
        <w:spacing w:after="0" w:line="243" w:lineRule="auto"/>
        <w:tabs>
          <w:tab w:leader="none" w:pos="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Schedule 13D filed by Sean Nichols, our former Chief Operating Officer, on October 12, 2022 and information available to us. Includes 54,393 shares of common stock held on behalf of the Nichols GRAT I dated June 14, 2021, and 3,383,142 shares of common stock held on behalf of the Nichols Living Trust 2015, each of which Mr. Nichols is the trustee. On November 7, 2022, Mr. Nichols resigned from his position as our Chief Operating Officer. Also includes 177,316 shares of common stock issuable upon exercise of outstanding stock options exercisable within 60 days of April 17, 2023.</w:t>
      </w:r>
    </w:p>
    <w:p>
      <w:pPr>
        <w:spacing w:after="0" w:line="130" w:lineRule="exact"/>
        <w:rPr>
          <w:rFonts w:ascii="Times New Roman" w:cs="Times New Roman" w:eastAsia="Times New Roman" w:hAnsi="Times New Roman"/>
          <w:sz w:val="14"/>
          <w:szCs w:val="14"/>
          <w:color w:val="auto"/>
        </w:rPr>
      </w:pPr>
    </w:p>
    <w:p>
      <w:pPr>
        <w:ind w:left="340" w:hanging="336"/>
        <w:spacing w:after="0" w:line="262" w:lineRule="auto"/>
        <w:tabs>
          <w:tab w:leader="none" w:pos="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55,188 shares of common stock issuable upon exercise of outstanding stock options exercisable within 60 days of April 17, 2023. On April 26, 2023, Ms. Harvey’s employment with us ended.</w:t>
      </w:r>
    </w:p>
    <w:p>
      <w:pPr>
        <w:spacing w:after="0" w:line="116" w:lineRule="exact"/>
        <w:rPr>
          <w:rFonts w:ascii="Times New Roman" w:cs="Times New Roman" w:eastAsia="Times New Roman" w:hAnsi="Times New Roman"/>
          <w:sz w:val="14"/>
          <w:szCs w:val="14"/>
          <w:color w:val="auto"/>
        </w:rPr>
      </w:pPr>
    </w:p>
    <w:p>
      <w:pPr>
        <w:ind w:left="340" w:hanging="336"/>
        <w:spacing w:after="0"/>
        <w:tabs>
          <w:tab w:leader="none" w:pos="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103,439 shares of common stock issuable upon exercise of outstanding stock options exercisable within 60 days of April 17, 2023.</w:t>
      </w:r>
    </w:p>
    <w:p>
      <w:pPr>
        <w:spacing w:after="0" w:line="152" w:lineRule="exact"/>
        <w:rPr>
          <w:rFonts w:ascii="Times New Roman" w:cs="Times New Roman" w:eastAsia="Times New Roman" w:hAnsi="Times New Roman"/>
          <w:sz w:val="14"/>
          <w:szCs w:val="14"/>
          <w:color w:val="auto"/>
        </w:rPr>
      </w:pPr>
    </w:p>
    <w:p>
      <w:pPr>
        <w:ind w:left="340" w:hanging="336"/>
        <w:spacing w:after="0"/>
        <w:tabs>
          <w:tab w:leader="none" w:pos="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19,953 shares of common stock issuable upon exercise of outstanding stock options exercisable within 60 days of April 17, 2023.</w:t>
      </w:r>
    </w:p>
    <w:p>
      <w:pPr>
        <w:spacing w:after="0" w:line="152" w:lineRule="exact"/>
        <w:rPr>
          <w:rFonts w:ascii="Times New Roman" w:cs="Times New Roman" w:eastAsia="Times New Roman" w:hAnsi="Times New Roman"/>
          <w:sz w:val="14"/>
          <w:szCs w:val="14"/>
          <w:color w:val="auto"/>
        </w:rPr>
      </w:pPr>
    </w:p>
    <w:p>
      <w:pPr>
        <w:ind w:left="340" w:hanging="336"/>
        <w:spacing w:after="0"/>
        <w:tabs>
          <w:tab w:leader="none" w:pos="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59,598 shares of common stock issuable upon exercise of outstanding stock options exercisable within 60 days of April 17, 2023.</w:t>
      </w:r>
    </w:p>
    <w:p>
      <w:pPr>
        <w:spacing w:after="0" w:line="151" w:lineRule="exact"/>
        <w:rPr>
          <w:rFonts w:ascii="Times New Roman" w:cs="Times New Roman" w:eastAsia="Times New Roman" w:hAnsi="Times New Roman"/>
          <w:sz w:val="14"/>
          <w:szCs w:val="14"/>
          <w:color w:val="auto"/>
        </w:rPr>
      </w:pPr>
    </w:p>
    <w:p>
      <w:pPr>
        <w:ind w:left="340" w:hanging="336"/>
        <w:spacing w:after="0"/>
        <w:tabs>
          <w:tab w:leader="none" w:pos="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27,594 shares of common stock issuable upon exercise of outstanding stock options exercisable within 60 days of April 17, 2023.</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13335</wp:posOffset>
                </wp:positionV>
                <wp:extent cx="6568440"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8440"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05pt" to="517.6pt,1.05pt" o:allowincell="f" strokecolor="#000000" strokeweight="1.1999pt"/>
            </w:pict>
          </mc:Fallback>
        </mc:AlternateContent>
      </w:r>
    </w:p>
    <w:p>
      <w:pPr>
        <w:sectPr>
          <w:pgSz w:w="12240" w:h="15840" w:orient="portrait"/>
          <w:cols w:equalWidth="0" w:num="1">
            <w:col w:w="10340"/>
          </w:cols>
          <w:pgMar w:left="940" w:top="1156" w:right="96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154" w:lineRule="exact"/>
        <w:rPr>
          <w:sz w:val="20"/>
          <w:szCs w:val="20"/>
          <w:color w:val="auto"/>
        </w:rPr>
      </w:pPr>
    </w:p>
    <w:p>
      <w:pPr>
        <w:jc w:val="both"/>
        <w:ind w:firstLine="490"/>
        <w:spacing w:after="0" w:line="268" w:lineRule="auto"/>
        <w:rPr>
          <w:sz w:val="20"/>
          <w:szCs w:val="20"/>
          <w:color w:val="auto"/>
        </w:rPr>
      </w:pPr>
      <w:r>
        <w:rPr>
          <w:rFonts w:ascii="Times New Roman" w:cs="Times New Roman" w:eastAsia="Times New Roman" w:hAnsi="Times New Roman"/>
          <w:sz w:val="14"/>
          <w:szCs w:val="14"/>
          <w:color w:val="auto"/>
        </w:rPr>
        <w:t>In connection with our Business Combination, our Board and stockholders adopted the 2022 Plan, which provides for the grant of incentive stock options and non-qualified stock options to purchase shares of our common stock and other types of awards, as well as the Dragonfly Energy Holdings Corp. Employee Stock Purchase Plan (the “</w:t>
      </w:r>
      <w:r>
        <w:rPr>
          <w:rFonts w:ascii="Times New Roman" w:cs="Times New Roman" w:eastAsia="Times New Roman" w:hAnsi="Times New Roman"/>
          <w:sz w:val="14"/>
          <w:szCs w:val="14"/>
          <w:b w:val="1"/>
          <w:bCs w:val="1"/>
          <w:color w:val="auto"/>
        </w:rPr>
        <w:t>ESPP</w:t>
      </w:r>
      <w:r>
        <w:rPr>
          <w:rFonts w:ascii="Times New Roman" w:cs="Times New Roman" w:eastAsia="Times New Roman" w:hAnsi="Times New Roman"/>
          <w:sz w:val="14"/>
          <w:szCs w:val="14"/>
          <w:color w:val="auto"/>
        </w:rPr>
        <w:t>”).</w:t>
      </w:r>
    </w:p>
    <w:p>
      <w:pPr>
        <w:spacing w:after="0" w:line="108"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14"/>
          <w:szCs w:val="14"/>
          <w:color w:val="auto"/>
        </w:rPr>
        <w:t>The general purpose of the 2022 Plan is to provide a means whereby eligible employees, officers, non-employee directors and other individual service providers develop a sense of proprietorship and personal involvement in our development and financial success, and to encourage them to devote their best efforts to our business, thereby advancing our interests and the interests of our stockholders. By means of the 2021 Plan, we seek to retain the services of such eligible persons and to provide incentives for such persons to exert maximum efforts for our success and the success of our subsidiaries.</w:t>
      </w:r>
    </w:p>
    <w:p>
      <w:pPr>
        <w:spacing w:after="0" w:line="13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The general purpose of the ESPP is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spacing w:after="0" w:line="124" w:lineRule="exact"/>
        <w:rPr>
          <w:sz w:val="20"/>
          <w:szCs w:val="20"/>
          <w:color w:val="auto"/>
        </w:rPr>
      </w:pPr>
    </w:p>
    <w:p>
      <w:pPr>
        <w:jc w:val="both"/>
        <w:ind w:firstLine="490"/>
        <w:spacing w:after="0" w:line="271" w:lineRule="auto"/>
        <w:rPr>
          <w:sz w:val="20"/>
          <w:szCs w:val="20"/>
          <w:color w:val="auto"/>
        </w:rPr>
      </w:pPr>
      <w:r>
        <w:rPr>
          <w:rFonts w:ascii="Times New Roman" w:cs="Times New Roman" w:eastAsia="Times New Roman" w:hAnsi="Times New Roman"/>
          <w:sz w:val="14"/>
          <w:szCs w:val="14"/>
          <w:color w:val="auto"/>
        </w:rPr>
        <w:t>Also, in connection with the Business Combination, our Board and stockholders approved the adoption of the Dragonfly Energy Corp. 2019 Stock Incentive Plan (the “</w:t>
      </w:r>
      <w:r>
        <w:rPr>
          <w:rFonts w:ascii="Times New Roman" w:cs="Times New Roman" w:eastAsia="Times New Roman" w:hAnsi="Times New Roman"/>
          <w:sz w:val="14"/>
          <w:szCs w:val="14"/>
          <w:b w:val="1"/>
          <w:bCs w:val="1"/>
          <w:color w:val="auto"/>
        </w:rPr>
        <w:t>2019 Plan</w:t>
      </w:r>
      <w:r>
        <w:rPr>
          <w:rFonts w:ascii="Times New Roman" w:cs="Times New Roman" w:eastAsia="Times New Roman" w:hAnsi="Times New Roman"/>
          <w:sz w:val="14"/>
          <w:szCs w:val="14"/>
          <w:color w:val="auto"/>
        </w:rPr>
        <w:t>”) and the Dragonfly Energy Corp. 2021 Stock Incentive Plan (the “</w:t>
      </w:r>
      <w:r>
        <w:rPr>
          <w:rFonts w:ascii="Times New Roman" w:cs="Times New Roman" w:eastAsia="Times New Roman" w:hAnsi="Times New Roman"/>
          <w:sz w:val="14"/>
          <w:szCs w:val="14"/>
          <w:b w:val="1"/>
          <w:bCs w:val="1"/>
          <w:color w:val="auto"/>
        </w:rPr>
        <w:t>2021 Plan</w:t>
      </w:r>
      <w:r>
        <w:rPr>
          <w:rFonts w:ascii="Times New Roman" w:cs="Times New Roman" w:eastAsia="Times New Roman" w:hAnsi="Times New Roman"/>
          <w:sz w:val="14"/>
          <w:szCs w:val="14"/>
          <w:color w:val="auto"/>
        </w:rPr>
        <w:t>”) in connection with the consummation of the Business Combination.</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table summarizes the number of shares of our common stock authorized for issuance under our equity compensation plans as of December 31, 2022.</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Number of securities remaining</w:t>
            </w:r>
          </w:p>
        </w:tc>
      </w:tr>
      <w:tr>
        <w:trPr>
          <w:trHeight w:val="156"/>
        </w:trPr>
        <w:tc>
          <w:tcPr>
            <w:tcW w:w="3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w w:val="97"/>
              </w:rPr>
              <w:t>available for future issuances</w:t>
            </w:r>
          </w:p>
        </w:tc>
      </w:tr>
      <w:tr>
        <w:trPr>
          <w:trHeight w:val="156"/>
        </w:trPr>
        <w:tc>
          <w:tcPr>
            <w:tcW w:w="3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4"/>
                <w:szCs w:val="14"/>
                <w:b w:val="1"/>
                <w:bCs w:val="1"/>
                <w:color w:val="auto"/>
                <w:w w:val="96"/>
              </w:rPr>
              <w:t>under equity compensation plans</w:t>
            </w:r>
          </w:p>
        </w:tc>
      </w:tr>
      <w:tr>
        <w:trPr>
          <w:trHeight w:val="157"/>
        </w:trPr>
        <w:tc>
          <w:tcPr>
            <w:tcW w:w="3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2"/>
          </w:tcPr>
          <w:p>
            <w:pPr>
              <w:jc w:val="center"/>
              <w:ind w:right="140"/>
              <w:spacing w:after="0" w:line="157" w:lineRule="exact"/>
              <w:rPr>
                <w:sz w:val="20"/>
                <w:szCs w:val="20"/>
                <w:color w:val="auto"/>
              </w:rPr>
            </w:pPr>
            <w:r>
              <w:rPr>
                <w:rFonts w:ascii="Times New Roman" w:cs="Times New Roman" w:eastAsia="Times New Roman" w:hAnsi="Times New Roman"/>
                <w:sz w:val="14"/>
                <w:szCs w:val="14"/>
                <w:b w:val="1"/>
                <w:bCs w:val="1"/>
                <w:color w:val="auto"/>
                <w:w w:val="97"/>
              </w:rPr>
              <w:t>Number of securities to be issued</w:t>
            </w:r>
          </w:p>
        </w:tc>
        <w:tc>
          <w:tcPr>
            <w:tcW w:w="160" w:type="dxa"/>
            <w:vAlign w:val="bottom"/>
          </w:tcPr>
          <w:p>
            <w:pPr>
              <w:spacing w:after="0"/>
              <w:rPr>
                <w:sz w:val="13"/>
                <w:szCs w:val="13"/>
                <w:color w:val="auto"/>
              </w:rPr>
            </w:pPr>
          </w:p>
        </w:tc>
        <w:tc>
          <w:tcPr>
            <w:tcW w:w="2300" w:type="dxa"/>
            <w:vAlign w:val="bottom"/>
            <w:gridSpan w:val="3"/>
          </w:tcPr>
          <w:p>
            <w:pPr>
              <w:jc w:val="center"/>
              <w:ind w:right="300"/>
              <w:spacing w:after="0" w:line="157" w:lineRule="exact"/>
              <w:rPr>
                <w:sz w:val="20"/>
                <w:szCs w:val="20"/>
                <w:color w:val="auto"/>
              </w:rPr>
            </w:pPr>
            <w:r>
              <w:rPr>
                <w:rFonts w:ascii="Times New Roman" w:cs="Times New Roman" w:eastAsia="Times New Roman" w:hAnsi="Times New Roman"/>
                <w:sz w:val="14"/>
                <w:szCs w:val="14"/>
                <w:b w:val="1"/>
                <w:bCs w:val="1"/>
                <w:color w:val="auto"/>
                <w:w w:val="97"/>
              </w:rPr>
              <w:t>Weighted-average exercise price</w:t>
            </w:r>
          </w:p>
        </w:tc>
        <w:tc>
          <w:tcPr>
            <w:tcW w:w="2060" w:type="dxa"/>
            <w:vAlign w:val="bottom"/>
            <w:gridSpan w:val="2"/>
          </w:tcPr>
          <w:p>
            <w:pPr>
              <w:jc w:val="center"/>
              <w:ind w:right="80"/>
              <w:spacing w:after="0" w:line="157" w:lineRule="exact"/>
              <w:rPr>
                <w:sz w:val="20"/>
                <w:szCs w:val="20"/>
                <w:color w:val="auto"/>
              </w:rPr>
            </w:pPr>
            <w:r>
              <w:rPr>
                <w:rFonts w:ascii="Times New Roman" w:cs="Times New Roman" w:eastAsia="Times New Roman" w:hAnsi="Times New Roman"/>
                <w:sz w:val="14"/>
                <w:szCs w:val="14"/>
                <w:b w:val="1"/>
                <w:bCs w:val="1"/>
                <w:color w:val="auto"/>
                <w:w w:val="97"/>
              </w:rPr>
              <w:t>under equity compensation</w:t>
            </w:r>
          </w:p>
        </w:tc>
      </w:tr>
      <w:tr>
        <w:trPr>
          <w:trHeight w:val="156"/>
        </w:trPr>
        <w:tc>
          <w:tcPr>
            <w:tcW w:w="3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2"/>
          </w:tcPr>
          <w:p>
            <w:pPr>
              <w:jc w:val="center"/>
              <w:ind w:right="160"/>
              <w:spacing w:after="0" w:line="156" w:lineRule="exact"/>
              <w:rPr>
                <w:sz w:val="20"/>
                <w:szCs w:val="20"/>
                <w:color w:val="auto"/>
              </w:rPr>
            </w:pPr>
            <w:r>
              <w:rPr>
                <w:rFonts w:ascii="Times New Roman" w:cs="Times New Roman" w:eastAsia="Times New Roman" w:hAnsi="Times New Roman"/>
                <w:sz w:val="14"/>
                <w:szCs w:val="14"/>
                <w:b w:val="1"/>
                <w:bCs w:val="1"/>
                <w:color w:val="auto"/>
                <w:w w:val="97"/>
              </w:rPr>
              <w:t>upon exercise of outstanding</w:t>
            </w:r>
          </w:p>
        </w:tc>
        <w:tc>
          <w:tcPr>
            <w:tcW w:w="160" w:type="dxa"/>
            <w:vAlign w:val="bottom"/>
          </w:tcPr>
          <w:p>
            <w:pPr>
              <w:spacing w:after="0"/>
              <w:rPr>
                <w:sz w:val="13"/>
                <w:szCs w:val="13"/>
                <w:color w:val="auto"/>
              </w:rPr>
            </w:pPr>
          </w:p>
        </w:tc>
        <w:tc>
          <w:tcPr>
            <w:tcW w:w="2300" w:type="dxa"/>
            <w:vAlign w:val="bottom"/>
            <w:gridSpan w:val="3"/>
          </w:tcPr>
          <w:p>
            <w:pPr>
              <w:jc w:val="center"/>
              <w:ind w:right="300"/>
              <w:spacing w:after="0" w:line="156" w:lineRule="exact"/>
              <w:rPr>
                <w:sz w:val="20"/>
                <w:szCs w:val="20"/>
                <w:color w:val="auto"/>
              </w:rPr>
            </w:pPr>
            <w:r>
              <w:rPr>
                <w:rFonts w:ascii="Times New Roman" w:cs="Times New Roman" w:eastAsia="Times New Roman" w:hAnsi="Times New Roman"/>
                <w:sz w:val="14"/>
                <w:szCs w:val="14"/>
                <w:b w:val="1"/>
                <w:bCs w:val="1"/>
                <w:color w:val="auto"/>
                <w:w w:val="96"/>
              </w:rPr>
              <w:t>of outstanding options, warrants</w:t>
            </w:r>
          </w:p>
        </w:tc>
        <w:tc>
          <w:tcPr>
            <w:tcW w:w="206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w w:val="96"/>
              </w:rPr>
              <w:t>(excluding) securities reflected in</w:t>
            </w:r>
          </w:p>
        </w:tc>
      </w:tr>
      <w:tr>
        <w:trPr>
          <w:trHeight w:val="167"/>
        </w:trPr>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options, warrants and rights</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column (a)</w:t>
            </w: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Plan Category</w:t>
            </w:r>
          </w:p>
        </w:tc>
        <w:tc>
          <w:tcPr>
            <w:tcW w:w="200" w:type="dxa"/>
            <w:vAlign w:val="bottom"/>
          </w:tcPr>
          <w:p>
            <w:pPr>
              <w:spacing w:after="0"/>
              <w:rPr>
                <w:sz w:val="14"/>
                <w:szCs w:val="14"/>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(c)(2)</w:t>
            </w:r>
          </w:p>
        </w:tc>
      </w:tr>
      <w:tr>
        <w:trPr>
          <w:trHeight w:val="24"/>
        </w:trPr>
        <w:tc>
          <w:tcPr>
            <w:tcW w:w="3520" w:type="dxa"/>
            <w:vAlign w:val="bottom"/>
            <w:tcBorders>
              <w:left w:val="single" w:sz="8" w:color="D1EEF5"/>
            </w:tcBorders>
            <w:shd w:val="clear" w:color="auto" w:fill="000000"/>
          </w:tcPr>
          <w:p>
            <w:pPr>
              <w:spacing w:after="0"/>
              <w:rPr>
                <w:sz w:val="2"/>
                <w:szCs w:val="2"/>
                <w:color w:val="auto"/>
              </w:rPr>
            </w:pPr>
          </w:p>
        </w:tc>
        <w:tc>
          <w:tcPr>
            <w:tcW w:w="200" w:type="dxa"/>
            <w:vAlign w:val="bottom"/>
            <w:shd w:val="clear" w:color="auto" w:fill="D1EEF5"/>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140" w:type="dxa"/>
            <w:vAlign w:val="bottom"/>
            <w:shd w:val="clear" w:color="auto" w:fill="D1EEF5"/>
          </w:tcPr>
          <w:p>
            <w:pPr>
              <w:spacing w:after="0"/>
              <w:rPr>
                <w:sz w:val="2"/>
                <w:szCs w:val="2"/>
                <w:color w:val="auto"/>
              </w:rPr>
            </w:pPr>
          </w:p>
        </w:tc>
        <w:tc>
          <w:tcPr>
            <w:tcW w:w="160" w:type="dxa"/>
            <w:vAlign w:val="bottom"/>
            <w:shd w:val="clear" w:color="auto" w:fill="D1EEF5"/>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300" w:type="dxa"/>
            <w:vAlign w:val="bottom"/>
            <w:shd w:val="clear" w:color="auto" w:fill="D1EEF5"/>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100" w:type="dxa"/>
            <w:vAlign w:val="bottom"/>
            <w:shd w:val="clear" w:color="auto" w:fill="D1EEF5"/>
          </w:tcPr>
          <w:p>
            <w:pPr>
              <w:spacing w:after="0"/>
              <w:rPr>
                <w:sz w:val="2"/>
                <w:szCs w:val="2"/>
                <w:color w:val="auto"/>
              </w:rPr>
            </w:pPr>
          </w:p>
        </w:tc>
      </w:tr>
      <w:tr>
        <w:trPr>
          <w:trHeight w:val="184"/>
        </w:trPr>
        <w:tc>
          <w:tcPr>
            <w:tcW w:w="3520" w:type="dxa"/>
            <w:vAlign w:val="bottom"/>
            <w:tcBorders>
              <w:left w:val="single" w:sz="8" w:color="D1EEF5"/>
            </w:tcBorders>
            <w:shd w:val="clear" w:color="auto" w:fill="D1EEF5"/>
          </w:tcPr>
          <w:p>
            <w:pPr>
              <w:spacing w:after="0" w:line="183" w:lineRule="exact"/>
              <w:rPr>
                <w:sz w:val="20"/>
                <w:szCs w:val="20"/>
                <w:color w:val="auto"/>
              </w:rPr>
            </w:pPr>
            <w:r>
              <w:rPr>
                <w:rFonts w:ascii="Times New Roman" w:cs="Times New Roman" w:eastAsia="Times New Roman" w:hAnsi="Times New Roman"/>
                <w:sz w:val="14"/>
                <w:szCs w:val="14"/>
                <w:i w:val="1"/>
                <w:iCs w:val="1"/>
                <w:color w:val="auto"/>
              </w:rPr>
              <w:t xml:space="preserve">Equity compensation plans approved by security holders </w:t>
            </w:r>
            <w:r>
              <w:rPr>
                <w:rFonts w:ascii="Times New Roman" w:cs="Times New Roman" w:eastAsia="Times New Roman" w:hAnsi="Times New Roman"/>
                <w:sz w:val="18"/>
                <w:szCs w:val="18"/>
                <w:i w:val="1"/>
                <w:iCs w:val="1"/>
                <w:color w:val="auto"/>
                <w:vertAlign w:val="superscript"/>
              </w:rPr>
              <w:t>(1)</w:t>
            </w:r>
          </w:p>
        </w:tc>
        <w:tc>
          <w:tcPr>
            <w:tcW w:w="200" w:type="dxa"/>
            <w:vAlign w:val="bottom"/>
            <w:shd w:val="clear" w:color="auto" w:fill="D1EEF5"/>
          </w:tcPr>
          <w:p>
            <w:pPr>
              <w:spacing w:after="0"/>
              <w:rPr>
                <w:sz w:val="15"/>
                <w:szCs w:val="15"/>
                <w:color w:val="auto"/>
              </w:rPr>
            </w:pPr>
          </w:p>
        </w:tc>
        <w:tc>
          <w:tcPr>
            <w:tcW w:w="19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3,941,632</w:t>
            </w:r>
          </w:p>
        </w:tc>
        <w:tc>
          <w:tcPr>
            <w:tcW w:w="140" w:type="dxa"/>
            <w:vAlign w:val="bottom"/>
            <w:shd w:val="clear" w:color="auto" w:fill="D1EEF5"/>
          </w:tcPr>
          <w:p>
            <w:pPr>
              <w:spacing w:after="0"/>
              <w:rPr>
                <w:sz w:val="15"/>
                <w:szCs w:val="15"/>
                <w:color w:val="auto"/>
              </w:rPr>
            </w:pPr>
          </w:p>
        </w:tc>
        <w:tc>
          <w:tcPr>
            <w:tcW w:w="540" w:type="dxa"/>
            <w:vAlign w:val="bottom"/>
            <w:gridSpan w:val="2"/>
            <w:shd w:val="clear" w:color="auto" w:fill="D1EEF5"/>
          </w:tcPr>
          <w:p>
            <w:pPr>
              <w:jc w:val="right"/>
              <w:ind w:right="256"/>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gridSpan w:val="2"/>
            <w:shd w:val="clear" w:color="auto" w:fill="D1EEF5"/>
          </w:tcPr>
          <w:p>
            <w:pPr>
              <w:jc w:val="right"/>
              <w:ind w:right="300"/>
              <w:spacing w:after="0"/>
              <w:rPr>
                <w:sz w:val="20"/>
                <w:szCs w:val="20"/>
                <w:color w:val="auto"/>
              </w:rPr>
            </w:pPr>
            <w:r>
              <w:rPr>
                <w:rFonts w:ascii="Times New Roman" w:cs="Times New Roman" w:eastAsia="Times New Roman" w:hAnsi="Times New Roman"/>
                <w:sz w:val="14"/>
                <w:szCs w:val="14"/>
                <w:color w:val="auto"/>
              </w:rPr>
              <w:t>1.60</w:t>
            </w:r>
          </w:p>
        </w:tc>
        <w:tc>
          <w:tcPr>
            <w:tcW w:w="206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1,058,368</w:t>
            </w:r>
          </w:p>
        </w:tc>
      </w:tr>
      <w:tr>
        <w:trPr>
          <w:trHeight w:val="156"/>
        </w:trPr>
        <w:tc>
          <w:tcPr>
            <w:tcW w:w="3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520" w:type="dxa"/>
            <w:vAlign w:val="bottom"/>
            <w:tcBorders>
              <w:left w:val="single" w:sz="8" w:color="D1EEF5"/>
            </w:tcBorders>
            <w:shd w:val="clear" w:color="auto" w:fill="D1EEF5"/>
          </w:tcPr>
          <w:p>
            <w:pPr>
              <w:spacing w:after="0" w:line="156" w:lineRule="exact"/>
              <w:rPr>
                <w:sz w:val="20"/>
                <w:szCs w:val="20"/>
                <w:color w:val="auto"/>
              </w:rPr>
            </w:pPr>
            <w:r>
              <w:rPr>
                <w:rFonts w:ascii="Times New Roman" w:cs="Times New Roman" w:eastAsia="Times New Roman" w:hAnsi="Times New Roman"/>
                <w:sz w:val="14"/>
                <w:szCs w:val="14"/>
                <w:i w:val="1"/>
                <w:iCs w:val="1"/>
                <w:color w:val="auto"/>
              </w:rPr>
              <w:t>Equity compensation plans not approved by security holders</w:t>
            </w:r>
          </w:p>
        </w:tc>
        <w:tc>
          <w:tcPr>
            <w:tcW w:w="200" w:type="dxa"/>
            <w:vAlign w:val="bottom"/>
            <w:shd w:val="clear" w:color="auto" w:fill="D1EEF5"/>
          </w:tcPr>
          <w:p>
            <w:pPr>
              <w:spacing w:after="0"/>
              <w:rPr>
                <w:sz w:val="13"/>
                <w:szCs w:val="13"/>
                <w:color w:val="auto"/>
              </w:rPr>
            </w:pPr>
          </w:p>
        </w:tc>
        <w:tc>
          <w:tcPr>
            <w:tcW w:w="2100" w:type="dxa"/>
            <w:vAlign w:val="bottom"/>
            <w:gridSpan w:val="2"/>
            <w:shd w:val="clear" w:color="auto" w:fill="D1EEF5"/>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1EEF5"/>
          </w:tcPr>
          <w:p>
            <w:pPr>
              <w:spacing w:after="0"/>
              <w:rPr>
                <w:sz w:val="13"/>
                <w:szCs w:val="13"/>
                <w:color w:val="auto"/>
              </w:rPr>
            </w:pPr>
          </w:p>
        </w:tc>
        <w:tc>
          <w:tcPr>
            <w:tcW w:w="380" w:type="dxa"/>
            <w:vAlign w:val="bottom"/>
            <w:shd w:val="clear" w:color="auto" w:fill="D1EEF5"/>
          </w:tcPr>
          <w:p>
            <w:pPr>
              <w:spacing w:after="0"/>
              <w:rPr>
                <w:sz w:val="13"/>
                <w:szCs w:val="13"/>
                <w:color w:val="auto"/>
              </w:rPr>
            </w:pPr>
          </w:p>
        </w:tc>
        <w:tc>
          <w:tcPr>
            <w:tcW w:w="1920" w:type="dxa"/>
            <w:vAlign w:val="bottom"/>
            <w:gridSpan w:val="2"/>
            <w:shd w:val="clear" w:color="auto" w:fill="D1EEF5"/>
          </w:tcPr>
          <w:p>
            <w:pPr>
              <w:jc w:val="right"/>
              <w:ind w:right="3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60" w:type="dxa"/>
            <w:vAlign w:val="bottom"/>
            <w:gridSpan w:val="2"/>
            <w:shd w:val="clear" w:color="auto" w:fill="D1EEF5"/>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w:t>
            </w:r>
          </w:p>
        </w:tc>
      </w:tr>
      <w:tr>
        <w:trPr>
          <w:trHeight w:val="167"/>
        </w:trPr>
        <w:tc>
          <w:tcPr>
            <w:tcW w:w="3520" w:type="dxa"/>
            <w:vAlign w:val="bottom"/>
            <w:tcBorders>
              <w:bottom w:val="single" w:sz="8" w:color="D1EEF5"/>
            </w:tcBorders>
          </w:tcPr>
          <w:p>
            <w:pPr>
              <w:spacing w:after="0"/>
              <w:rPr>
                <w:sz w:val="14"/>
                <w:szCs w:val="14"/>
                <w:color w:val="auto"/>
              </w:rPr>
            </w:pPr>
          </w:p>
        </w:tc>
        <w:tc>
          <w:tcPr>
            <w:tcW w:w="200" w:type="dxa"/>
            <w:vAlign w:val="bottom"/>
            <w:tcBorders>
              <w:bottom w:val="single" w:sz="8" w:color="D1EEF5"/>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40" w:type="dxa"/>
            <w:vAlign w:val="bottom"/>
            <w:tcBorders>
              <w:bottom w:val="single" w:sz="8" w:color="D1EEF5"/>
            </w:tcBorders>
          </w:tcPr>
          <w:p>
            <w:pPr>
              <w:spacing w:after="0"/>
              <w:rPr>
                <w:sz w:val="14"/>
                <w:szCs w:val="14"/>
                <w:color w:val="auto"/>
              </w:rPr>
            </w:pPr>
          </w:p>
        </w:tc>
        <w:tc>
          <w:tcPr>
            <w:tcW w:w="160" w:type="dxa"/>
            <w:vAlign w:val="bottom"/>
            <w:tcBorders>
              <w:bottom w:val="single" w:sz="8" w:color="D1EEF5"/>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300" w:type="dxa"/>
            <w:vAlign w:val="bottom"/>
            <w:tcBorders>
              <w:bottom w:val="single" w:sz="8" w:color="D1EEF5"/>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00" w:type="dxa"/>
            <w:vAlign w:val="bottom"/>
            <w:tcBorders>
              <w:bottom w:val="single" w:sz="8" w:color="D1EEF5"/>
            </w:tcBorders>
          </w:tcPr>
          <w:p>
            <w:pPr>
              <w:spacing w:after="0"/>
              <w:rPr>
                <w:sz w:val="14"/>
                <w:szCs w:val="14"/>
                <w:color w:val="auto"/>
              </w:rPr>
            </w:pPr>
          </w:p>
        </w:tc>
      </w:tr>
      <w:tr>
        <w:trPr>
          <w:trHeight w:val="180"/>
        </w:trPr>
        <w:tc>
          <w:tcPr>
            <w:tcW w:w="3520" w:type="dxa"/>
            <w:vAlign w:val="bottom"/>
            <w:tcBorders>
              <w:left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200" w:type="dxa"/>
            <w:vAlign w:val="bottom"/>
            <w:shd w:val="clear" w:color="auto" w:fill="D1EEF5"/>
          </w:tcPr>
          <w:p>
            <w:pPr>
              <w:spacing w:after="0"/>
              <w:rPr>
                <w:sz w:val="15"/>
                <w:szCs w:val="15"/>
                <w:color w:val="auto"/>
              </w:rPr>
            </w:pPr>
          </w:p>
        </w:tc>
        <w:tc>
          <w:tcPr>
            <w:tcW w:w="19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3,941,632</w:t>
            </w:r>
          </w:p>
        </w:tc>
        <w:tc>
          <w:tcPr>
            <w:tcW w:w="140" w:type="dxa"/>
            <w:vAlign w:val="bottom"/>
            <w:shd w:val="clear" w:color="auto" w:fill="D1EEF5"/>
          </w:tcPr>
          <w:p>
            <w:pPr>
              <w:spacing w:after="0"/>
              <w:rPr>
                <w:sz w:val="15"/>
                <w:szCs w:val="15"/>
                <w:color w:val="auto"/>
              </w:rPr>
            </w:pPr>
          </w:p>
        </w:tc>
        <w:tc>
          <w:tcPr>
            <w:tcW w:w="160" w:type="dxa"/>
            <w:vAlign w:val="bottom"/>
            <w:shd w:val="clear" w:color="auto" w:fill="D1EEF5"/>
          </w:tcPr>
          <w:p>
            <w:pPr>
              <w:spacing w:after="0"/>
              <w:rPr>
                <w:sz w:val="15"/>
                <w:szCs w:val="15"/>
                <w:color w:val="auto"/>
              </w:rPr>
            </w:pPr>
          </w:p>
        </w:tc>
        <w:tc>
          <w:tcPr>
            <w:tcW w:w="380" w:type="dxa"/>
            <w:vAlign w:val="bottom"/>
            <w:shd w:val="clear" w:color="auto" w:fill="D1EEF5"/>
          </w:tcPr>
          <w:p>
            <w:pPr>
              <w:jc w:val="right"/>
              <w:ind w:right="256"/>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300" w:type="dxa"/>
            <w:vAlign w:val="bottom"/>
            <w:shd w:val="clear" w:color="auto" w:fill="D1EEF5"/>
          </w:tcPr>
          <w:p>
            <w:pPr>
              <w:spacing w:after="0"/>
              <w:rPr>
                <w:sz w:val="15"/>
                <w:szCs w:val="15"/>
                <w:color w:val="auto"/>
              </w:rPr>
            </w:pPr>
          </w:p>
        </w:tc>
        <w:tc>
          <w:tcPr>
            <w:tcW w:w="19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1,058,368</w:t>
            </w:r>
          </w:p>
        </w:tc>
        <w:tc>
          <w:tcPr>
            <w:tcW w:w="100" w:type="dxa"/>
            <w:vAlign w:val="bottom"/>
            <w:shd w:val="clear" w:color="auto" w:fill="D1EEF5"/>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-27305</wp:posOffset>
            </wp:positionV>
            <wp:extent cx="4171315" cy="488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58">
                      <a:extLst>
                        <a:ext uri="{28A0092B-C50C-407E-A947-70E740481C1C}"/>
                      </a:extLst>
                    </a:blip>
                    <a:srcRect/>
                    <a:stretch>
                      <a:fillRect/>
                    </a:stretch>
                  </pic:blipFill>
                  <pic:spPr bwMode="auto">
                    <a:xfrm>
                      <a:off x="0" y="0"/>
                      <a:ext cx="4171315" cy="48895"/>
                    </a:xfrm>
                    <a:prstGeom prst="rect">
                      <a:avLst/>
                    </a:prstGeom>
                    <a:noFill/>
                  </pic:spPr>
                </pic:pic>
              </a:graphicData>
            </a:graphic>
          </wp:anchor>
        </w:drawing>
      </w:r>
    </w:p>
    <w:p>
      <w:pPr>
        <w:spacing w:after="0" w:line="133" w:lineRule="exact"/>
        <w:rPr>
          <w:sz w:val="20"/>
          <w:szCs w:val="20"/>
          <w:color w:val="auto"/>
        </w:rPr>
      </w:pPr>
    </w:p>
    <w:p>
      <w:pPr>
        <w:ind w:left="200" w:hanging="196"/>
        <w:spacing w:after="0"/>
        <w:tabs>
          <w:tab w:leader="none" w:pos="2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this row include securities under the 2022 Plan, 2021 Plan and 2019 Plan and the ESPP.</w:t>
      </w:r>
    </w:p>
    <w:p>
      <w:pPr>
        <w:spacing w:after="0" w:line="152" w:lineRule="exact"/>
        <w:rPr>
          <w:rFonts w:ascii="Times New Roman" w:cs="Times New Roman" w:eastAsia="Times New Roman" w:hAnsi="Times New Roman"/>
          <w:sz w:val="14"/>
          <w:szCs w:val="14"/>
          <w:color w:val="auto"/>
        </w:rPr>
      </w:pPr>
    </w:p>
    <w:p>
      <w:pPr>
        <w:jc w:val="both"/>
        <w:ind w:firstLine="4"/>
        <w:spacing w:after="0" w:line="243" w:lineRule="auto"/>
        <w:tabs>
          <w:tab w:leader="none" w:pos="203"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the “evergreen” provision in the 2022 Plan, an additional 1,730,909 shares were automatically made available for issuance on the first trading day of 2023, which represents an amount equal 4% of the number of shares outstanding on December 31, 2022. In accordance with the “evergreen” provision in the ESPP, an additional 432,727 shares were automatically made available for issuance on the first trading day of 2023, which represents an amount equal to one percent 1% of the number of shares of common stock issued and outstanding on December 31, 2022. The shares made available pursuant to the “evergreen” provisions are excluded from this calculation.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12700</wp:posOffset>
                </wp:positionV>
                <wp:extent cx="6568440"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8440"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pt" to="517.6pt,1pt" o:allowincell="f" strokecolor="#000000" strokeweight="1.26pt"/>
            </w:pict>
          </mc:Fallback>
        </mc:AlternateContent>
      </w:r>
    </w:p>
    <w:p>
      <w:pPr>
        <w:sectPr>
          <w:pgSz w:w="12240" w:h="15840" w:orient="portrait"/>
          <w:cols w:equalWidth="0" w:num="1">
            <w:col w:w="10340"/>
          </w:cols>
          <w:pgMar w:left="940" w:top="1154" w:right="96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Related Party Transactions</w:t>
      </w:r>
    </w:p>
    <w:p>
      <w:pPr>
        <w:spacing w:after="0" w:line="15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Other than compensation arrangements for our Named Executive Officers and directors, which are described in the section entitled “</w:t>
      </w:r>
      <w:r>
        <w:rPr>
          <w:rFonts w:ascii="Times New Roman" w:cs="Times New Roman" w:eastAsia="Times New Roman" w:hAnsi="Times New Roman"/>
          <w:sz w:val="14"/>
          <w:szCs w:val="14"/>
          <w:i w:val="1"/>
          <w:iCs w:val="1"/>
          <w:color w:val="auto"/>
        </w:rPr>
        <w:t>Executive Compensation</w:t>
      </w:r>
      <w:r>
        <w:rPr>
          <w:rFonts w:ascii="Times New Roman" w:cs="Times New Roman" w:eastAsia="Times New Roman" w:hAnsi="Times New Roman"/>
          <w:sz w:val="14"/>
          <w:szCs w:val="14"/>
          <w:color w:val="auto"/>
        </w:rPr>
        <w:t>,” we have had the following transactions or series of similar transactions, since January 1, 2021, to which we were a party or will be a party, in which:</w:t>
      </w:r>
    </w:p>
    <w:p>
      <w:pPr>
        <w:spacing w:after="0" w:line="118" w:lineRule="exact"/>
        <w:rPr>
          <w:sz w:val="20"/>
          <w:szCs w:val="20"/>
          <w:color w:val="auto"/>
        </w:rPr>
      </w:pPr>
    </w:p>
    <w:p>
      <w:pPr>
        <w:ind w:left="980" w:hanging="241"/>
        <w:spacing w:after="0"/>
        <w:tabs>
          <w:tab w:leader="none" w:pos="9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involved exceeded or will exceed $120,000; and</w:t>
      </w:r>
    </w:p>
    <w:p>
      <w:pPr>
        <w:spacing w:after="0" w:line="15" w:lineRule="exact"/>
        <w:rPr>
          <w:rFonts w:ascii="Times New Roman" w:cs="Times New Roman" w:eastAsia="Times New Roman" w:hAnsi="Times New Roman"/>
          <w:sz w:val="14"/>
          <w:szCs w:val="14"/>
          <w:color w:val="auto"/>
        </w:rPr>
      </w:pPr>
    </w:p>
    <w:p>
      <w:pPr>
        <w:ind w:left="980" w:hanging="241"/>
        <w:spacing w:after="0" w:line="237" w:lineRule="auto"/>
        <w:tabs>
          <w:tab w:leader="none" w:pos="9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directors, executive officers or holders of more than 5% of our capital stock, or any member of the immediate family of the foregoing persons, had or will have a direct or indirect material interest.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Agreements with Directors and Officers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Arrangement with John Marchetti</w:t>
      </w:r>
    </w:p>
    <w:p>
      <w:pPr>
        <w:spacing w:after="0" w:line="149"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As an inducement to hire Mr. John Marchetti as our Chief Financial Officer in September 2021, we loaned Mr. Marchetti $350,000 to repay amounts owed by him to his former employer and entered into a related promissory note with a maturity of March 1, 2026. In consideration of the Business Combination and our obligations as a publicly traded company, Dragonfly forgave all amounts owed under the Promissory Note effective March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Separation Agreement with Sean Nichols</w:t>
      </w:r>
    </w:p>
    <w:p>
      <w:pPr>
        <w:spacing w:after="0" w:line="149" w:lineRule="exact"/>
        <w:rPr>
          <w:sz w:val="20"/>
          <w:szCs w:val="20"/>
          <w:color w:val="auto"/>
        </w:rPr>
      </w:pPr>
    </w:p>
    <w:p>
      <w:pPr>
        <w:jc w:val="both"/>
        <w:ind w:firstLine="490"/>
        <w:spacing w:after="0" w:line="239" w:lineRule="auto"/>
        <w:rPr>
          <w:sz w:val="20"/>
          <w:szCs w:val="20"/>
          <w:color w:val="auto"/>
        </w:rPr>
      </w:pPr>
      <w:r>
        <w:rPr>
          <w:rFonts w:ascii="Times New Roman" w:cs="Times New Roman" w:eastAsia="Times New Roman" w:hAnsi="Times New Roman"/>
          <w:sz w:val="14"/>
          <w:szCs w:val="14"/>
          <w:color w:val="auto"/>
        </w:rPr>
        <w:t>On November 4, 2022, we entered into the Separation Agreement with Mr. Nichols that became effective and fully irrevocable on November 2, 2022. Pursuant to the Separation Agreement, Mr. Nichols received a cash payment of $100,000 in one installment in December 2022 and is entitled to receive a cash payment of $1,000,000 in 24 monthly installments commencing in December 2022. Mr. Nichols’ outstanding equity awards granted by us will fully vest and, in the case of options, will be exercisable for 12 months following his termination date. The Separation Agreement also provides that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Promissory Note with Brian Nelson</w:t>
      </w:r>
    </w:p>
    <w:p>
      <w:pPr>
        <w:spacing w:after="0" w:line="148"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On March 5, 2023, we issued the unsecured promissory note (the “</w:t>
      </w:r>
      <w:r>
        <w:rPr>
          <w:rFonts w:ascii="Times New Roman" w:cs="Times New Roman" w:eastAsia="Times New Roman" w:hAnsi="Times New Roman"/>
          <w:sz w:val="14"/>
          <w:szCs w:val="14"/>
          <w:b w:val="1"/>
          <w:bCs w:val="1"/>
          <w:color w:val="auto"/>
        </w:rPr>
        <w:t>Note</w:t>
      </w:r>
      <w:r>
        <w:rPr>
          <w:rFonts w:ascii="Times New Roman" w:cs="Times New Roman" w:eastAsia="Times New Roman" w:hAnsi="Times New Roman"/>
          <w:sz w:val="14"/>
          <w:szCs w:val="14"/>
          <w:color w:val="auto"/>
        </w:rPr>
        <w:t>”) in the principal amount of $1.0 million to Brian Nelson, one of our directors, in a private placement in exchange for cash in an equal amount. The Note became due and payable in full on April 1, 2023. We were also obligated to pay a Loan Fee of $100,000 to Mr. Nelson on April 4, 2023. We paid the Principal Amount and the Loan Fee in full on April 1, 2023 and April 4, 2023,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Agreements</w:t>
      </w:r>
    </w:p>
    <w:p>
      <w:pPr>
        <w:spacing w:after="0" w:line="149" w:lineRule="exact"/>
        <w:rPr>
          <w:sz w:val="20"/>
          <w:szCs w:val="20"/>
          <w:color w:val="auto"/>
        </w:rPr>
      </w:pPr>
    </w:p>
    <w:p>
      <w:pPr>
        <w:jc w:val="both"/>
        <w:ind w:firstLine="490"/>
        <w:spacing w:after="0"/>
        <w:rPr>
          <w:sz w:val="20"/>
          <w:szCs w:val="20"/>
          <w:color w:val="auto"/>
        </w:rPr>
      </w:pPr>
      <w:r>
        <w:rPr>
          <w:rFonts w:ascii="Times New Roman" w:cs="Times New Roman" w:eastAsia="Times New Roman" w:hAnsi="Times New Roman"/>
          <w:sz w:val="14"/>
          <w:szCs w:val="14"/>
          <w:color w:val="auto"/>
        </w:rPr>
        <w:t>We entered into separate indemnification agreements with our directors and executive officers, in addition to the indemnification provided for in our Articles of Incorporation (the “</w:t>
      </w:r>
      <w:r>
        <w:rPr>
          <w:rFonts w:ascii="Times New Roman" w:cs="Times New Roman" w:eastAsia="Times New Roman" w:hAnsi="Times New Roman"/>
          <w:sz w:val="14"/>
          <w:szCs w:val="14"/>
          <w:b w:val="1"/>
          <w:bCs w:val="1"/>
          <w:color w:val="auto"/>
        </w:rPr>
        <w:t>Charter</w:t>
      </w:r>
      <w:r>
        <w:rPr>
          <w:rFonts w:ascii="Times New Roman" w:cs="Times New Roman" w:eastAsia="Times New Roman" w:hAnsi="Times New Roman"/>
          <w:sz w:val="14"/>
          <w:szCs w:val="14"/>
          <w:color w:val="auto"/>
        </w:rPr>
        <w:t>”) and our Bylaws (the “</w:t>
      </w:r>
      <w:r>
        <w:rPr>
          <w:rFonts w:ascii="Times New Roman" w:cs="Times New Roman" w:eastAsia="Times New Roman" w:hAnsi="Times New Roman"/>
          <w:sz w:val="14"/>
          <w:szCs w:val="14"/>
          <w:b w:val="1"/>
          <w:bCs w:val="1"/>
          <w:color w:val="auto"/>
        </w:rPr>
        <w:t>Bylaws</w:t>
      </w:r>
      <w:r>
        <w:rPr>
          <w:rFonts w:ascii="Times New Roman" w:cs="Times New Roman" w:eastAsia="Times New Roman" w:hAnsi="Times New Roman"/>
          <w:sz w:val="14"/>
          <w:szCs w:val="14"/>
          <w:color w:val="auto"/>
        </w:rPr>
        <w:t>”).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14605</wp:posOffset>
                </wp:positionV>
                <wp:extent cx="6568440"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8440"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15pt" to="517.6pt,1.15pt" o:allowincell="f" strokecolor="#000000" strokeweight="1.2pt"/>
            </w:pict>
          </mc:Fallback>
        </mc:AlternateContent>
      </w:r>
    </w:p>
    <w:p>
      <w:pPr>
        <w:sectPr>
          <w:pgSz w:w="12240" w:h="15840" w:orient="portrait"/>
          <w:cols w:equalWidth="0" w:num="1">
            <w:col w:w="10340"/>
          </w:cols>
          <w:pgMar w:left="940" w:top="1154" w:right="960" w:bottom="1440" w:gutter="0" w:footer="0" w:header="0"/>
        </w:sectPr>
      </w:pPr>
    </w:p>
    <w:bookmarkStart w:id="113" w:name="page114"/>
    <w:bookmarkEnd w:id="113"/>
    <w:p>
      <w:pPr>
        <w:jc w:val="both"/>
        <w:ind w:firstLine="490"/>
        <w:spacing w:after="0" w:line="309" w:lineRule="auto"/>
        <w:rPr>
          <w:sz w:val="20"/>
          <w:szCs w:val="20"/>
          <w:color w:val="auto"/>
        </w:rPr>
      </w:pPr>
      <w:r>
        <w:rPr>
          <w:rFonts w:ascii="Times New Roman" w:cs="Times New Roman" w:eastAsia="Times New Roman" w:hAnsi="Times New Roman"/>
          <w:sz w:val="12"/>
          <w:szCs w:val="12"/>
          <w:color w:val="auto"/>
        </w:rPr>
        <w:t>The limitation of liability and indemnification provisions in the Charter and the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Combination Agreements</w:t>
      </w:r>
    </w:p>
    <w:p>
      <w:pPr>
        <w:spacing w:after="0" w:line="154"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This section describes the material provisions of certain additional agreements entered into pursuant to that certain agreement and plan of merger entered into on October 7, 2022 (the “</w:t>
      </w:r>
      <w:r>
        <w:rPr>
          <w:rFonts w:ascii="Times New Roman" w:cs="Times New Roman" w:eastAsia="Times New Roman" w:hAnsi="Times New Roman"/>
          <w:sz w:val="14"/>
          <w:szCs w:val="14"/>
          <w:b w:val="1"/>
          <w:bCs w:val="1"/>
          <w:color w:val="auto"/>
        </w:rPr>
        <w:t>Closing Date</w:t>
      </w:r>
      <w:r>
        <w:rPr>
          <w:rFonts w:ascii="Times New Roman" w:cs="Times New Roman" w:eastAsia="Times New Roman" w:hAnsi="Times New Roman"/>
          <w:sz w:val="14"/>
          <w:szCs w:val="14"/>
          <w:color w:val="auto"/>
        </w:rPr>
        <w:t>”), by and between us and Chardan and Chardan NexTech Investments 2 LLC (or an affiliate thereof if assigned pursuant to the Subscription Agreement, the “</w:t>
      </w:r>
      <w:r>
        <w:rPr>
          <w:rFonts w:ascii="Times New Roman" w:cs="Times New Roman" w:eastAsia="Times New Roman" w:hAnsi="Times New Roman"/>
          <w:sz w:val="14"/>
          <w:szCs w:val="14"/>
          <w:b w:val="1"/>
          <w:bCs w:val="1"/>
          <w:color w:val="auto"/>
        </w:rPr>
        <w:t>Sponsor</w:t>
      </w:r>
      <w:r>
        <w:rPr>
          <w:rFonts w:ascii="Times New Roman" w:cs="Times New Roman" w:eastAsia="Times New Roman" w:hAnsi="Times New Roman"/>
          <w:sz w:val="14"/>
          <w:szCs w:val="14"/>
          <w:color w:val="auto"/>
        </w:rPr>
        <w:t>”) (as amended, the “</w:t>
      </w:r>
      <w:r>
        <w:rPr>
          <w:rFonts w:ascii="Times New Roman" w:cs="Times New Roman" w:eastAsia="Times New Roman" w:hAnsi="Times New Roman"/>
          <w:sz w:val="14"/>
          <w:szCs w:val="14"/>
          <w:b w:val="1"/>
          <w:bCs w:val="1"/>
          <w:color w:val="auto"/>
        </w:rPr>
        <w:t>Business Combination Agreement</w:t>
      </w:r>
      <w:r>
        <w:rPr>
          <w:rFonts w:ascii="Times New Roman" w:cs="Times New Roman" w:eastAsia="Times New Roman" w:hAnsi="Times New Roman"/>
          <w:sz w:val="14"/>
          <w:szCs w:val="14"/>
          <w:color w:val="auto"/>
        </w:rPr>
        <w:t>”), but does not purport to describe all of the terms thereof.</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Amended Registration Rights Agreement</w:t>
      </w:r>
    </w:p>
    <w:p>
      <w:pPr>
        <w:spacing w:after="0" w:line="148"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14"/>
          <w:szCs w:val="14"/>
          <w:color w:val="auto"/>
        </w:rPr>
        <w:t>In connection with the Closing, CNTQ, the Sponsor and certain other CNTQ shareholders parties thereto (collectively, the “</w:t>
      </w:r>
      <w:r>
        <w:rPr>
          <w:rFonts w:ascii="Times New Roman" w:cs="Times New Roman" w:eastAsia="Times New Roman" w:hAnsi="Times New Roman"/>
          <w:sz w:val="14"/>
          <w:szCs w:val="14"/>
          <w:b w:val="1"/>
          <w:bCs w:val="1"/>
          <w:color w:val="auto"/>
        </w:rPr>
        <w:t>Insiders</w:t>
      </w:r>
      <w:r>
        <w:rPr>
          <w:rFonts w:ascii="Times New Roman" w:cs="Times New Roman" w:eastAsia="Times New Roman" w:hAnsi="Times New Roman"/>
          <w:sz w:val="14"/>
          <w:szCs w:val="14"/>
          <w:color w:val="auto"/>
        </w:rPr>
        <w:t>”), Legacy Dragonfly, and certain Legacy Dragonfly stockholders entered into an Amended and Restated Registration Rights Agreement (the “</w:t>
      </w:r>
      <w:r>
        <w:rPr>
          <w:rFonts w:ascii="Times New Roman" w:cs="Times New Roman" w:eastAsia="Times New Roman" w:hAnsi="Times New Roman"/>
          <w:sz w:val="14"/>
          <w:szCs w:val="14"/>
          <w:b w:val="1"/>
          <w:bCs w:val="1"/>
          <w:color w:val="auto"/>
        </w:rPr>
        <w:t>Amended Registration Rights Agreement</w:t>
      </w:r>
      <w:r>
        <w:rPr>
          <w:rFonts w:ascii="Times New Roman" w:cs="Times New Roman" w:eastAsia="Times New Roman" w:hAnsi="Times New Roman"/>
          <w:sz w:val="14"/>
          <w:szCs w:val="14"/>
          <w:color w:val="auto"/>
        </w:rPr>
        <w:t>”). Pursuant to the Amended Registration Rights Agreement, the Insiders and the undersigned parties listed thereto were provided the right to demand registrations, piggy-back registrations and shelf registrations with respect to Registrable Securities (as defined in the Amended Registration Rights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w:t>
      </w:r>
    </w:p>
    <w:p>
      <w:pPr>
        <w:spacing w:after="0" w:line="148"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14"/>
          <w:szCs w:val="14"/>
          <w:color w:val="auto"/>
        </w:rPr>
        <w:t>Pursuant to the subscription agreement, dated as of May 15, (the “</w:t>
      </w:r>
      <w:r>
        <w:rPr>
          <w:rFonts w:ascii="Times New Roman" w:cs="Times New Roman" w:eastAsia="Times New Roman" w:hAnsi="Times New Roman"/>
          <w:sz w:val="14"/>
          <w:szCs w:val="14"/>
          <w:b w:val="1"/>
          <w:bCs w:val="1"/>
          <w:color w:val="auto"/>
        </w:rPr>
        <w:t>Subscription</w:t>
      </w:r>
      <w:r>
        <w:rPr>
          <w:rFonts w:ascii="Times New Roman" w:cs="Times New Roman" w:eastAsia="Times New Roman" w:hAnsi="Times New Roman"/>
          <w:sz w:val="14"/>
          <w:szCs w:val="14"/>
          <w:color w:val="auto"/>
        </w:rPr>
        <w:t xml:space="preserve"> Agreement”) by and between Chardan and the Sponsor, the Sponsor agreed to purchase, and Chardan agreed to sell to the Sponsor, an aggregate of 500,000 shares of CNTQ common stock (“</w:t>
      </w:r>
      <w:r>
        <w:rPr>
          <w:rFonts w:ascii="Times New Roman" w:cs="Times New Roman" w:eastAsia="Times New Roman" w:hAnsi="Times New Roman"/>
          <w:sz w:val="14"/>
          <w:szCs w:val="14"/>
          <w:b w:val="1"/>
          <w:bCs w:val="1"/>
          <w:color w:val="auto"/>
        </w:rPr>
        <w:t>CNTQ Common Stock</w:t>
      </w:r>
      <w:r>
        <w:rPr>
          <w:rFonts w:ascii="Times New Roman" w:cs="Times New Roman" w:eastAsia="Times New Roman" w:hAnsi="Times New Roman"/>
          <w:sz w:val="14"/>
          <w:szCs w:val="14"/>
          <w:color w:val="auto"/>
        </w:rPr>
        <w:t>”) for gross proceeds Chardan to Chardan of $5 million in a private placement. On September 28, 2022, the Sponsor and Chardan Capital Markets LLC, a New York limited liability company (“</w:t>
      </w:r>
      <w:r>
        <w:rPr>
          <w:rFonts w:ascii="Times New Roman" w:cs="Times New Roman" w:eastAsia="Times New Roman" w:hAnsi="Times New Roman"/>
          <w:sz w:val="14"/>
          <w:szCs w:val="14"/>
          <w:b w:val="1"/>
          <w:bCs w:val="1"/>
          <w:color w:val="auto"/>
        </w:rPr>
        <w:t>CCM</w:t>
      </w:r>
      <w:r>
        <w:rPr>
          <w:rFonts w:ascii="Times New Roman" w:cs="Times New Roman" w:eastAsia="Times New Roman" w:hAnsi="Times New Roman"/>
          <w:sz w:val="14"/>
          <w:szCs w:val="14"/>
          <w:color w:val="auto"/>
        </w:rPr>
        <w:t>”), entered into an assignment, assumption and joinder agreement, pursuant to which the Sponsor assigned all of the Sponsor’s rights, benefits and obligations under the Subscription Agreement to CCM.</w:t>
      </w:r>
    </w:p>
    <w:p>
      <w:pPr>
        <w:spacing w:after="0" w:line="131" w:lineRule="exact"/>
        <w:rPr>
          <w:sz w:val="20"/>
          <w:szCs w:val="20"/>
          <w:color w:val="auto"/>
        </w:rPr>
      </w:pPr>
    </w:p>
    <w:p>
      <w:pPr>
        <w:jc w:val="both"/>
        <w:ind w:firstLine="490"/>
        <w:spacing w:after="0" w:line="237" w:lineRule="auto"/>
        <w:rPr>
          <w:sz w:val="20"/>
          <w:szCs w:val="20"/>
          <w:color w:val="auto"/>
        </w:rPr>
      </w:pPr>
      <w:r>
        <w:rPr>
          <w:rFonts w:ascii="Times New Roman" w:cs="Times New Roman" w:eastAsia="Times New Roman" w:hAnsi="Times New Roman"/>
          <w:sz w:val="14"/>
          <w:szCs w:val="14"/>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During the week of September 26, 2022, CCM acquired in the open market 485,000 shares of common stock, at purchase prices per share ranging from $10.33 to $ 10.38 (such shares, the “</w:t>
      </w:r>
      <w:r>
        <w:rPr>
          <w:rFonts w:ascii="Times New Roman" w:cs="Times New Roman" w:eastAsia="Times New Roman" w:hAnsi="Times New Roman"/>
          <w:sz w:val="14"/>
          <w:szCs w:val="14"/>
          <w:b w:val="1"/>
          <w:bCs w:val="1"/>
          <w:color w:val="auto"/>
        </w:rPr>
        <w:t>Purchased Shares</w:t>
      </w:r>
      <w:r>
        <w:rPr>
          <w:rFonts w:ascii="Times New Roman" w:cs="Times New Roman" w:eastAsia="Times New Roman" w:hAnsi="Times New Roman"/>
          <w:sz w:val="14"/>
          <w:szCs w:val="14"/>
          <w:color w:val="auto"/>
        </w:rPr>
        <w:t>”). In accordance with the aforementioned offset provision provided in the Subscription Agreement, the aggregate purchase price 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our receipt of $5,016,547 from the Trust Account (based on a per share redemption price of $10.34) and (ii) a reduction in CCM’s purchase commitment under the Subscription Agreement to zero in accordance with the Offset. At the Closing, we issued an additional 15,000 shares to CCM pursuant to the terms of the Subscription Agreement.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16510</wp:posOffset>
                </wp:positionV>
                <wp:extent cx="6568440"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8440"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3pt" to="517.6pt,1.3pt" o:allowincell="f" strokecolor="#000000" strokeweight="1.26pt"/>
            </w:pict>
          </mc:Fallback>
        </mc:AlternateContent>
      </w:r>
    </w:p>
    <w:p>
      <w:pPr>
        <w:sectPr>
          <w:pgSz w:w="12240" w:h="15840" w:orient="portrait"/>
          <w:cols w:equalWidth="0" w:num="1">
            <w:col w:w="10340"/>
          </w:cols>
          <w:pgMar w:left="940" w:top="1156" w:right="96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color w:val="auto"/>
        </w:rPr>
        <w:t>Debt Financing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 Loan Agreement</w:t>
      </w:r>
    </w:p>
    <w:p>
      <w:pPr>
        <w:spacing w:after="0" w:line="147" w:lineRule="exact"/>
        <w:rPr>
          <w:sz w:val="20"/>
          <w:szCs w:val="20"/>
          <w:color w:val="auto"/>
        </w:rPr>
      </w:pPr>
    </w:p>
    <w:p>
      <w:pPr>
        <w:jc w:val="both"/>
        <w:ind w:firstLine="490"/>
        <w:spacing w:after="0" w:line="238" w:lineRule="auto"/>
        <w:rPr>
          <w:sz w:val="20"/>
          <w:szCs w:val="20"/>
          <w:color w:val="auto"/>
        </w:rPr>
      </w:pPr>
      <w:r>
        <w:rPr>
          <w:rFonts w:ascii="Times New Roman" w:cs="Times New Roman" w:eastAsia="Times New Roman" w:hAnsi="Times New Roman"/>
          <w:sz w:val="14"/>
          <w:szCs w:val="14"/>
          <w:color w:val="auto"/>
        </w:rPr>
        <w:t>Consistent with the commitment letter (the “</w:t>
      </w:r>
      <w:r>
        <w:rPr>
          <w:rFonts w:ascii="Times New Roman" w:cs="Times New Roman" w:eastAsia="Times New Roman" w:hAnsi="Times New Roman"/>
          <w:sz w:val="14"/>
          <w:szCs w:val="14"/>
          <w:b w:val="1"/>
          <w:bCs w:val="1"/>
          <w:color w:val="auto"/>
        </w:rPr>
        <w:t>Debt Commitment Letter</w:t>
      </w:r>
      <w:r>
        <w:rPr>
          <w:rFonts w:ascii="Times New Roman" w:cs="Times New Roman" w:eastAsia="Times New Roman" w:hAnsi="Times New Roman"/>
          <w:sz w:val="14"/>
          <w:szCs w:val="14"/>
          <w:color w:val="auto"/>
        </w:rPr>
        <w:t>”) dated May 15, 2022 by and between Chardan and Legacy Dragonfly, CCM Investments 5 LLC, an affiliate of CCM LLC (“</w:t>
      </w:r>
      <w:r>
        <w:rPr>
          <w:rFonts w:ascii="Times New Roman" w:cs="Times New Roman" w:eastAsia="Times New Roman" w:hAnsi="Times New Roman"/>
          <w:sz w:val="14"/>
          <w:szCs w:val="14"/>
          <w:b w:val="1"/>
          <w:bCs w:val="1"/>
          <w:color w:val="auto"/>
        </w:rPr>
        <w:t>CCM 5</w:t>
      </w:r>
      <w:r>
        <w:rPr>
          <w:rFonts w:ascii="Times New Roman" w:cs="Times New Roman" w:eastAsia="Times New Roman" w:hAnsi="Times New Roman"/>
          <w:sz w:val="14"/>
          <w:szCs w:val="14"/>
          <w:color w:val="auto"/>
        </w:rPr>
        <w:t>”, and in connection with the Term Loan, the “</w:t>
      </w:r>
      <w:r>
        <w:rPr>
          <w:rFonts w:ascii="Times New Roman" w:cs="Times New Roman" w:eastAsia="Times New Roman" w:hAnsi="Times New Roman"/>
          <w:sz w:val="14"/>
          <w:szCs w:val="14"/>
          <w:b w:val="1"/>
          <w:bCs w:val="1"/>
          <w:color w:val="auto"/>
        </w:rPr>
        <w:t>Chardan Lender</w:t>
      </w:r>
      <w:r>
        <w:rPr>
          <w:rFonts w:ascii="Times New Roman" w:cs="Times New Roman" w:eastAsia="Times New Roman" w:hAnsi="Times New Roman"/>
          <w:sz w:val="14"/>
          <w:szCs w:val="14"/>
          <w:color w:val="auto"/>
        </w:rPr>
        <w:t xml:space="preserve">”), and EICF Agent LLC (“ </w:t>
      </w:r>
      <w:r>
        <w:rPr>
          <w:rFonts w:ascii="Times New Roman" w:cs="Times New Roman" w:eastAsia="Times New Roman" w:hAnsi="Times New Roman"/>
          <w:sz w:val="14"/>
          <w:szCs w:val="14"/>
          <w:b w:val="1"/>
          <w:bCs w:val="1"/>
          <w:color w:val="auto"/>
        </w:rPr>
        <w:t>EIP</w:t>
      </w:r>
      <w:r>
        <w:rPr>
          <w:rFonts w:ascii="Times New Roman" w:cs="Times New Roman" w:eastAsia="Times New Roman" w:hAnsi="Times New Roman"/>
          <w:sz w:val="14"/>
          <w:szCs w:val="14"/>
          <w:color w:val="auto"/>
        </w:rPr>
        <w:t>” and, collectively with the Chardan Lender, the “Initial Term Loan Lenders”), in connection with the Closing, Chardan, Legacy Dragonfly and the Initial Term Loan Lenders entered into the Term Loan, Guarantee and Security Agreement (the “</w:t>
      </w:r>
      <w:r>
        <w:rPr>
          <w:rFonts w:ascii="Times New Roman" w:cs="Times New Roman" w:eastAsia="Times New Roman" w:hAnsi="Times New Roman"/>
          <w:sz w:val="14"/>
          <w:szCs w:val="14"/>
          <w:b w:val="1"/>
          <w:bCs w:val="1"/>
          <w:color w:val="auto"/>
        </w:rPr>
        <w:t>Term Loan Agreement</w:t>
      </w:r>
      <w:r>
        <w:rPr>
          <w:rFonts w:ascii="Times New Roman" w:cs="Times New Roman" w:eastAsia="Times New Roman" w:hAnsi="Times New Roman"/>
          <w:sz w:val="14"/>
          <w:szCs w:val="14"/>
          <w:color w:val="auto"/>
        </w:rPr>
        <w:t>”) setting forth the terms of a senior secured term loan facility in an aggregate principal amount of $75 million (the “</w:t>
      </w:r>
      <w:r>
        <w:rPr>
          <w:rFonts w:ascii="Times New Roman" w:cs="Times New Roman" w:eastAsia="Times New Roman" w:hAnsi="Times New Roman"/>
          <w:sz w:val="14"/>
          <w:szCs w:val="14"/>
          <w:b w:val="1"/>
          <w:bCs w:val="1"/>
          <w:color w:val="auto"/>
        </w:rPr>
        <w:t>Term Loan</w:t>
      </w:r>
      <w:r>
        <w:rPr>
          <w:rFonts w:ascii="Times New Roman" w:cs="Times New Roman" w:eastAsia="Times New Roman" w:hAnsi="Times New Roman"/>
          <w:sz w:val="14"/>
          <w:szCs w:val="14"/>
          <w:color w:val="auto"/>
        </w:rPr>
        <w:t>”). The Chardan Lender backstopped its commitment under the Debt Commitment Letter by entering into a backstop commitment letter, dated as of May 20, 2022 (the “</w:t>
      </w:r>
      <w:r>
        <w:rPr>
          <w:rFonts w:ascii="Times New Roman" w:cs="Times New Roman" w:eastAsia="Times New Roman" w:hAnsi="Times New Roman"/>
          <w:sz w:val="14"/>
          <w:szCs w:val="14"/>
          <w:b w:val="1"/>
          <w:bCs w:val="1"/>
          <w:color w:val="auto"/>
        </w:rPr>
        <w:t>Backstop Commitment Letter</w:t>
      </w:r>
      <w:r>
        <w:rPr>
          <w:rFonts w:ascii="Times New Roman" w:cs="Times New Roman" w:eastAsia="Times New Roman" w:hAnsi="Times New Roman"/>
          <w:sz w:val="14"/>
          <w:szCs w:val="14"/>
          <w:color w:val="auto"/>
        </w:rPr>
        <w:t>”) with a certain third-party financing source the (“</w:t>
      </w:r>
      <w:r>
        <w:rPr>
          <w:rFonts w:ascii="Times New Roman" w:cs="Times New Roman" w:eastAsia="Times New Roman" w:hAnsi="Times New Roman"/>
          <w:sz w:val="14"/>
          <w:szCs w:val="14"/>
          <w:b w:val="1"/>
          <w:bCs w:val="1"/>
          <w:color w:val="auto"/>
        </w:rPr>
        <w:t>Backstop Lender</w:t>
      </w:r>
      <w:r>
        <w:rPr>
          <w:rFonts w:ascii="Times New Roman" w:cs="Times New Roman" w:eastAsia="Times New Roman" w:hAnsi="Times New Roman"/>
          <w:sz w:val="14"/>
          <w:szCs w:val="14"/>
          <w:color w:val="auto"/>
        </w:rPr>
        <w:t>” and collectively with EIP, the “</w:t>
      </w:r>
      <w:r>
        <w:rPr>
          <w:rFonts w:ascii="Times New Roman" w:cs="Times New Roman" w:eastAsia="Times New Roman" w:hAnsi="Times New Roman"/>
          <w:sz w:val="14"/>
          <w:szCs w:val="14"/>
          <w:b w:val="1"/>
          <w:bCs w:val="1"/>
          <w:color w:val="auto"/>
        </w:rPr>
        <w:t>Term Loan Lenders</w:t>
      </w:r>
      <w:r>
        <w:rPr>
          <w:rFonts w:ascii="Times New Roman" w:cs="Times New Roman" w:eastAsia="Times New Roman" w:hAnsi="Times New Roman"/>
          <w:sz w:val="14"/>
          <w:szCs w:val="14"/>
          <w:color w:val="auto"/>
        </w:rPr>
        <w:t>”), pursuant to which the Backstop Lender committed to purchase from the Chardan Lender the aggregate amount of the Term Loan held by the Chardan Lender (the “</w:t>
      </w:r>
      <w:r>
        <w:rPr>
          <w:rFonts w:ascii="Times New Roman" w:cs="Times New Roman" w:eastAsia="Times New Roman" w:hAnsi="Times New Roman"/>
          <w:sz w:val="14"/>
          <w:szCs w:val="14"/>
          <w:b w:val="1"/>
          <w:bCs w:val="1"/>
          <w:color w:val="auto"/>
        </w:rPr>
        <w:t>Backstopped Loans</w:t>
      </w:r>
      <w:r>
        <w:rPr>
          <w:rFonts w:ascii="Times New Roman" w:cs="Times New Roman" w:eastAsia="Times New Roman" w:hAnsi="Times New Roman"/>
          <w:sz w:val="14"/>
          <w:szCs w:val="14"/>
          <w:color w:val="auto"/>
        </w:rPr>
        <w:t>”) immediately following the issuance of the Term Loan on the Closing Date. Pursuant to an assignment agreement, the Backstopped Loans were assigned by CCM 5 to the Backstop Lender on the Closing Date.</w:t>
      </w:r>
    </w:p>
    <w:p>
      <w:pPr>
        <w:spacing w:after="0" w:line="132" w:lineRule="exact"/>
        <w:rPr>
          <w:sz w:val="20"/>
          <w:szCs w:val="20"/>
          <w:color w:val="auto"/>
        </w:rPr>
      </w:pPr>
    </w:p>
    <w:p>
      <w:pPr>
        <w:jc w:val="both"/>
        <w:ind w:firstLine="490"/>
        <w:spacing w:after="0"/>
        <w:rPr>
          <w:sz w:val="20"/>
          <w:szCs w:val="20"/>
          <w:color w:val="auto"/>
        </w:rPr>
      </w:pPr>
      <w:r>
        <w:rPr>
          <w:rFonts w:ascii="Times New Roman" w:cs="Times New Roman" w:eastAsia="Times New Roman" w:hAnsi="Times New Roman"/>
          <w:sz w:val="14"/>
          <w:szCs w:val="14"/>
          <w:color w:val="auto"/>
        </w:rPr>
        <w:t>Pursuant to the terms of the Term Loan Agreement, the Term Loan was advanced in one tranche on the Closing Date. The Term Loan amortizes in the amount of 5% per annum beginning 24 months after the Closing Date and matures on the fourth anniversary of the Closing Date (“</w:t>
      </w:r>
      <w:r>
        <w:rPr>
          <w:rFonts w:ascii="Times New Roman" w:cs="Times New Roman" w:eastAsia="Times New Roman" w:hAnsi="Times New Roman"/>
          <w:sz w:val="14"/>
          <w:szCs w:val="14"/>
          <w:b w:val="1"/>
          <w:bCs w:val="1"/>
          <w:color w:val="auto"/>
        </w:rPr>
        <w:t>Maturity Date</w:t>
      </w:r>
      <w:r>
        <w:rPr>
          <w:rFonts w:ascii="Times New Roman" w:cs="Times New Roman" w:eastAsia="Times New Roman" w:hAnsi="Times New Roman"/>
          <w:sz w:val="14"/>
          <w:szCs w:val="14"/>
          <w:color w:val="auto"/>
        </w:rPr>
        <w:t>”). The Term Loan accrues interest (i) until April 1, 2023, at a per annum rate equal to the adjusted SOFR plus a margin equal to 13.5%, of which 7% will be payable in cash and 6.5% will be paid in -kind, (ii) thereafter until October 1, 2024, at a per annum rate equal to adjusted SOFR plus 7% payable in cash plus an amount ranging from 4.5% to 6.5%, depending on the senior leverage ratio of the consolidated company, which will be paid -in-kind and (iii) at all times thereafter, at a per annum rate equal to adjusted SOFR plus a margin ranging from 11.5% to 13.5% payable in cash, depending on the senior leverage ratio of the consolidated company. In each of the foregoing cases, adjusted secured Overnight Financing Rate (“</w:t>
      </w:r>
      <w:r>
        <w:rPr>
          <w:rFonts w:ascii="Times New Roman" w:cs="Times New Roman" w:eastAsia="Times New Roman" w:hAnsi="Times New Roman"/>
          <w:sz w:val="14"/>
          <w:szCs w:val="14"/>
          <w:b w:val="1"/>
          <w:bCs w:val="1"/>
          <w:color w:val="auto"/>
        </w:rPr>
        <w:t>SOFR</w:t>
      </w:r>
      <w:r>
        <w:rPr>
          <w:rFonts w:ascii="Times New Roman" w:cs="Times New Roman" w:eastAsia="Times New Roman" w:hAnsi="Times New Roman"/>
          <w:sz w:val="14"/>
          <w:szCs w:val="14"/>
          <w:color w:val="auto"/>
        </w:rPr>
        <w:t>”) will be no less than 1%.</w:t>
      </w:r>
    </w:p>
    <w:p>
      <w:pPr>
        <w:spacing w:after="0" w:line="128" w:lineRule="exact"/>
        <w:rPr>
          <w:sz w:val="20"/>
          <w:szCs w:val="20"/>
          <w:color w:val="auto"/>
        </w:rPr>
      </w:pPr>
    </w:p>
    <w:p>
      <w:pPr>
        <w:jc w:val="both"/>
        <w:ind w:right="20" w:firstLine="490"/>
        <w:spacing w:after="0" w:line="312" w:lineRule="auto"/>
        <w:rPr>
          <w:sz w:val="20"/>
          <w:szCs w:val="20"/>
          <w:color w:val="auto"/>
        </w:rPr>
      </w:pPr>
      <w:r>
        <w:rPr>
          <w:rFonts w:ascii="Times New Roman" w:cs="Times New Roman" w:eastAsia="Times New Roman" w:hAnsi="Times New Roman"/>
          <w:sz w:val="12"/>
          <w:szCs w:val="12"/>
          <w:color w:val="auto"/>
        </w:rPr>
        <w:t>Pursuant to the Term Loan Agreement, the obligations of Legacy Dragonfly are guaranteed by us and will be guaranteed by any of Legacy Dragonfly’s subsidiaries that are party thereto from time to time as guarantors. In addition, we entered into a pledge agreement pursuant to which we pledged to Alter Domus (US) LLC, as administrative agent for the lenders (the “</w:t>
      </w:r>
      <w:r>
        <w:rPr>
          <w:rFonts w:ascii="Times New Roman" w:cs="Times New Roman" w:eastAsia="Times New Roman" w:hAnsi="Times New Roman"/>
          <w:sz w:val="12"/>
          <w:szCs w:val="12"/>
          <w:b w:val="1"/>
          <w:bCs w:val="1"/>
          <w:color w:val="auto"/>
        </w:rPr>
        <w:t>Administrative Agent</w:t>
      </w:r>
      <w:r>
        <w:rPr>
          <w:rFonts w:ascii="Times New Roman" w:cs="Times New Roman" w:eastAsia="Times New Roman" w:hAnsi="Times New Roman"/>
          <w:sz w:val="12"/>
          <w:szCs w:val="12"/>
          <w:color w:val="auto"/>
        </w:rPr>
        <w:t>”) our equity interests in Legacy Dragonfly as further collateral security for the obligations under the Term Loan Agreement (the “</w:t>
      </w:r>
      <w:r>
        <w:rPr>
          <w:rFonts w:ascii="Times New Roman" w:cs="Times New Roman" w:eastAsia="Times New Roman" w:hAnsi="Times New Roman"/>
          <w:sz w:val="12"/>
          <w:szCs w:val="12"/>
          <w:b w:val="1"/>
          <w:bCs w:val="1"/>
          <w:color w:val="auto"/>
        </w:rPr>
        <w:t>Pledge Agreement”)</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14"/>
          <w:szCs w:val="14"/>
          <w:color w:val="auto"/>
        </w:rPr>
        <w:t>The Term Loan Agreement also contains affirmative and restrictive covenants and representations and warranties.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$ 500,000 of unrestricted cash of the credit parties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15240</wp:posOffset>
                </wp:positionV>
                <wp:extent cx="6568440"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8440"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2pt" to="517.6pt,1.2pt" o:allowincell="f" strokecolor="#000000" strokeweight="1.2pt"/>
            </w:pict>
          </mc:Fallback>
        </mc:AlternateContent>
      </w:r>
    </w:p>
    <w:p>
      <w:pPr>
        <w:sectPr>
          <w:pgSz w:w="12240" w:h="15840" w:orient="portrait"/>
          <w:cols w:equalWidth="0" w:num="1">
            <w:col w:w="10360"/>
          </w:cols>
          <w:pgMar w:left="940" w:top="1154" w:right="940" w:bottom="1440" w:gutter="0" w:footer="0" w:header="0"/>
        </w:sectPr>
      </w:pPr>
    </w:p>
    <w:bookmarkStart w:id="115" w:name="page116"/>
    <w:bookmarkEnd w:id="115"/>
    <w:p>
      <w:pPr>
        <w:jc w:val="both"/>
        <w:ind w:firstLine="490"/>
        <w:spacing w:after="0" w:line="262" w:lineRule="auto"/>
        <w:rPr>
          <w:sz w:val="20"/>
          <w:szCs w:val="20"/>
          <w:color w:val="auto"/>
        </w:rPr>
      </w:pPr>
      <w:r>
        <w:rPr>
          <w:rFonts w:ascii="Times New Roman" w:cs="Times New Roman" w:eastAsia="Times New Roman" w:hAnsi="Times New Roman"/>
          <w:sz w:val="14"/>
          <w:szCs w:val="14"/>
          <w:color w:val="auto"/>
        </w:rPr>
        <w:t>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 Agreements</w:t>
      </w:r>
    </w:p>
    <w:p>
      <w:pPr>
        <w:spacing w:after="0" w:line="149" w:lineRule="exact"/>
        <w:rPr>
          <w:sz w:val="20"/>
          <w:szCs w:val="20"/>
          <w:color w:val="auto"/>
        </w:rPr>
      </w:pPr>
    </w:p>
    <w:p>
      <w:pPr>
        <w:jc w:val="both"/>
        <w:ind w:firstLine="490"/>
        <w:spacing w:after="0" w:line="239" w:lineRule="auto"/>
        <w:rPr>
          <w:sz w:val="20"/>
          <w:szCs w:val="20"/>
          <w:color w:val="auto"/>
        </w:rPr>
      </w:pPr>
      <w:r>
        <w:rPr>
          <w:rFonts w:ascii="Times New Roman" w:cs="Times New Roman" w:eastAsia="Times New Roman" w:hAnsi="Times New Roman"/>
          <w:sz w:val="14"/>
          <w:szCs w:val="14"/>
          <w:color w:val="auto"/>
        </w:rPr>
        <w:t>In connection with the entry into the Term Loan Agreement, and as a required term and condition thereof, we issued (i) penny warrants to the Term Loan Lenders under the Term Loan exercisable to purchase 2,593,056 shares at an exercise price of $0.01 per share, which was equal to approximately 5.6% of common stock calculated on an agreed fully diluted outstanding basis on the issuance date (the “</w:t>
      </w:r>
      <w:r>
        <w:rPr>
          <w:rFonts w:ascii="Times New Roman" w:cs="Times New Roman" w:eastAsia="Times New Roman" w:hAnsi="Times New Roman"/>
          <w:sz w:val="14"/>
          <w:szCs w:val="14"/>
          <w:b w:val="1"/>
          <w:bCs w:val="1"/>
          <w:color w:val="auto"/>
        </w:rPr>
        <w:t>Penny Warrants</w:t>
      </w:r>
      <w:r>
        <w:rPr>
          <w:rFonts w:ascii="Times New Roman" w:cs="Times New Roman" w:eastAsia="Times New Roman" w:hAnsi="Times New Roman"/>
          <w:sz w:val="14"/>
          <w:szCs w:val="14"/>
          <w:color w:val="auto"/>
        </w:rPr>
        <w:t>”) and (ii) warrants to the Term Loan Lenders under the Term Loan exercisable to purchase 1,600,000 shares of our common stock at an exercise price of $ 10.00 per share (the “</w:t>
      </w:r>
      <w:r>
        <w:rPr>
          <w:rFonts w:ascii="Times New Roman" w:cs="Times New Roman" w:eastAsia="Times New Roman" w:hAnsi="Times New Roman"/>
          <w:sz w:val="14"/>
          <w:szCs w:val="14"/>
          <w:b w:val="1"/>
          <w:bCs w:val="1"/>
          <w:color w:val="auto"/>
        </w:rPr>
        <w:t>$10 Warrants</w:t>
      </w:r>
      <w:r>
        <w:rPr>
          <w:rFonts w:ascii="Times New Roman" w:cs="Times New Roman" w:eastAsia="Times New Roman" w:hAnsi="Times New Roman"/>
          <w:sz w:val="14"/>
          <w:szCs w:val="14"/>
          <w:color w:val="auto"/>
        </w:rPr>
        <w:t>” and, together with the Penny Warrants, the “</w:t>
      </w: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4"/>
          <w:szCs w:val="14"/>
          <w:color w:val="auto"/>
        </w:rPr>
        <w:t>”). The $10 Warrants were exercised on a cashless basis on October 10, 2022, in which we agreed to issue 457,142 shares of common stock in connection with such exercise. The Penny Warrants have an exercise period of 10 years from the date of issuance. The $10 Warrants have been exercised in full and are no longer outstanding.</w:t>
      </w:r>
    </w:p>
    <w:p>
      <w:pPr>
        <w:spacing w:after="0" w:line="134" w:lineRule="exact"/>
        <w:rPr>
          <w:sz w:val="20"/>
          <w:szCs w:val="20"/>
          <w:color w:val="auto"/>
        </w:rPr>
      </w:pPr>
    </w:p>
    <w:p>
      <w:pPr>
        <w:jc w:val="both"/>
        <w:ind w:firstLine="490"/>
        <w:spacing w:after="0"/>
        <w:rPr>
          <w:sz w:val="20"/>
          <w:szCs w:val="20"/>
          <w:color w:val="auto"/>
        </w:rPr>
      </w:pPr>
      <w:r>
        <w:rPr>
          <w:rFonts w:ascii="Times New Roman" w:cs="Times New Roman" w:eastAsia="Times New Roman" w:hAnsi="Times New Roman"/>
          <w:sz w:val="14"/>
          <w:szCs w:val="14"/>
          <w:color w:val="auto"/>
        </w:rPr>
        <w:t>The Penny Warrants have specified anti-dilution protection against subsequent equity sales or distributions at below $10 per share of common stock,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 -financing type transactions and issuances pursuant to any public equity offerings. In addition, no anti-dilution adjustment will be made with respect to issuances of common stock pursuant to our $150 million ChEF Equity Facility (or replacement thereof) sold at a per share price above $5.00.</w:t>
      </w:r>
    </w:p>
    <w:p>
      <w:pPr>
        <w:spacing w:after="0" w:line="132"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The shares issuable upon exercise of the Penny Warrants, and the shares issued upon exercise of the $10 Warrants have customary registration rights, which are contained in the respective forms of the Penny Warrants and the $10 Warrants, requiring us to file and keep effective a resale registration statement registering the resale of the shares of common stock underlying the Penny Warrants and the $10 Warrants.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ChEF Equity Facility</w:t>
      </w:r>
    </w:p>
    <w:p>
      <w:pPr>
        <w:spacing w:after="0" w:line="14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14"/>
          <w:szCs w:val="14"/>
          <w:color w:val="auto"/>
        </w:rPr>
        <w:t>Consistent with the equity facility letter agreement between Legacy Dragonfly and CCM 5, we and CCM we entered into a purchase agreement (the “</w:t>
      </w:r>
      <w:r>
        <w:rPr>
          <w:rFonts w:ascii="Times New Roman" w:cs="Times New Roman" w:eastAsia="Times New Roman" w:hAnsi="Times New Roman"/>
          <w:sz w:val="14"/>
          <w:szCs w:val="14"/>
          <w:b w:val="1"/>
          <w:bCs w:val="1"/>
          <w:color w:val="auto"/>
        </w:rPr>
        <w:t>Purchase Agreement</w:t>
      </w:r>
      <w:r>
        <w:rPr>
          <w:rFonts w:ascii="Times New Roman" w:cs="Times New Roman" w:eastAsia="Times New Roman" w:hAnsi="Times New Roman"/>
          <w:sz w:val="14"/>
          <w:szCs w:val="14"/>
          <w:color w:val="auto"/>
        </w:rPr>
        <w:t>”) and a Registration Rights Agreement (the “</w:t>
      </w:r>
      <w:r>
        <w:rPr>
          <w:rFonts w:ascii="Times New Roman" w:cs="Times New Roman" w:eastAsia="Times New Roman" w:hAnsi="Times New Roman"/>
          <w:sz w:val="14"/>
          <w:szCs w:val="14"/>
          <w:b w:val="1"/>
          <w:bCs w:val="1"/>
          <w:color w:val="auto"/>
        </w:rPr>
        <w:t>ChEF RRA</w:t>
      </w:r>
      <w:r>
        <w:rPr>
          <w:rFonts w:ascii="Times New Roman" w:cs="Times New Roman" w:eastAsia="Times New Roman" w:hAnsi="Times New Roman"/>
          <w:sz w:val="14"/>
          <w:szCs w:val="14"/>
          <w:color w:val="auto"/>
        </w:rPr>
        <w:t>”) with CCM in connection with the Closing. In addition, we appointed LifeSci Capital, LLC as “qualified independent underwriter” with respect to the transactions contemplated by the Purchase Agreement.</w:t>
      </w:r>
    </w:p>
    <w:p>
      <w:pPr>
        <w:spacing w:after="0" w:line="126"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14"/>
          <w:szCs w:val="14"/>
          <w:color w:val="auto"/>
        </w:rPr>
        <w:t>Pursuant to, on the terms of, and subject to the satisfaction of the conditions in the Purchase Agreement, including the filing and effectiveness of a registration statement registering the resale by CCM of the shares of common stock issued to it under the Purchase Agreement, we have the right from time to time at our option to direct CCM to purchase an amount of shares of common stock, up to a maximum aggregate purchase price of $150 million, over the term of the equity facility. As of April 17, 2023, we have sold 98,500 shares under the ChEF Equity Facility for aggregate net proceeds to us of $670,593.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Related Person Transactions Policy</w:t>
      </w:r>
    </w:p>
    <w:p>
      <w:pPr>
        <w:spacing w:after="0" w:line="151"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14"/>
          <w:szCs w:val="14"/>
          <w:color w:val="auto"/>
        </w:rPr>
        <w:t>Our board adopted a written Related Person Transactions Policy on October 7, 2022 (the “</w:t>
      </w:r>
      <w:r>
        <w:rPr>
          <w:rFonts w:ascii="Times New Roman" w:cs="Times New Roman" w:eastAsia="Times New Roman" w:hAnsi="Times New Roman"/>
          <w:sz w:val="14"/>
          <w:szCs w:val="14"/>
          <w:b w:val="1"/>
          <w:bCs w:val="1"/>
          <w:color w:val="auto"/>
        </w:rPr>
        <w:t>Policy</w:t>
      </w:r>
      <w:r>
        <w:rPr>
          <w:rFonts w:ascii="Times New Roman" w:cs="Times New Roman" w:eastAsia="Times New Roman" w:hAnsi="Times New Roman"/>
          <w:sz w:val="14"/>
          <w:szCs w:val="14"/>
          <w:color w:val="auto"/>
        </w:rPr>
        <w:t>”)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14605</wp:posOffset>
                </wp:positionV>
                <wp:extent cx="6568440"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8440"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15pt" to="517.6pt,1.15pt" o:allowincell="f" strokecolor="#000000" strokeweight="1.26pt"/>
            </w:pict>
          </mc:Fallback>
        </mc:AlternateContent>
      </w:r>
    </w:p>
    <w:p>
      <w:pPr>
        <w:sectPr>
          <w:pgSz w:w="12240" w:h="15840" w:orient="portrait"/>
          <w:cols w:equalWidth="0" w:num="1">
            <w:col w:w="10340"/>
          </w:cols>
          <w:pgMar w:left="940" w:top="1156" w:right="960" w:bottom="1440" w:gutter="0" w:footer="0" w:header="0"/>
        </w:sectPr>
      </w:pPr>
    </w:p>
    <w:bookmarkStart w:id="116" w:name="page117"/>
    <w:bookmarkEnd w:id="116"/>
    <w:p>
      <w:pPr>
        <w:jc w:val="both"/>
        <w:ind w:right="20" w:firstLine="490"/>
        <w:spacing w:after="0" w:line="239" w:lineRule="auto"/>
        <w:rPr>
          <w:sz w:val="20"/>
          <w:szCs w:val="20"/>
          <w:color w:val="auto"/>
        </w:rPr>
      </w:pPr>
      <w:r>
        <w:rPr>
          <w:rFonts w:ascii="Times New Roman" w:cs="Times New Roman" w:eastAsia="Times New Roman" w:hAnsi="Times New Roman"/>
          <w:sz w:val="14"/>
          <w:szCs w:val="14"/>
          <w:color w:val="auto"/>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spacing w:after="0" w:line="133" w:lineRule="exact"/>
        <w:rPr>
          <w:sz w:val="20"/>
          <w:szCs w:val="20"/>
          <w:color w:val="auto"/>
        </w:rPr>
      </w:pPr>
    </w:p>
    <w:p>
      <w:pPr>
        <w:jc w:val="both"/>
        <w:ind w:right="20" w:firstLine="490"/>
        <w:spacing w:after="0" w:line="243" w:lineRule="auto"/>
        <w:rPr>
          <w:sz w:val="20"/>
          <w:szCs w:val="20"/>
          <w:color w:val="auto"/>
        </w:rPr>
      </w:pPr>
      <w:r>
        <w:rPr>
          <w:rFonts w:ascii="Times New Roman" w:cs="Times New Roman" w:eastAsia="Times New Roman" w:hAnsi="Times New Roman"/>
          <w:sz w:val="14"/>
          <w:szCs w:val="14"/>
          <w:color w:val="auto"/>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130" w:lineRule="exact"/>
        <w:rPr>
          <w:sz w:val="20"/>
          <w:szCs w:val="20"/>
          <w:color w:val="auto"/>
        </w:rPr>
      </w:pPr>
    </w:p>
    <w:p>
      <w:pPr>
        <w:ind w:left="500" w:hanging="251"/>
        <w:spacing w:after="0"/>
        <w:tabs>
          <w:tab w:leader="none" w:pos="5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of the related person’s interest in the transaction;</w:t>
      </w:r>
    </w:p>
    <w:p>
      <w:pPr>
        <w:spacing w:after="0" w:line="15" w:lineRule="exact"/>
        <w:rPr>
          <w:rFonts w:ascii="Times New Roman" w:cs="Times New Roman" w:eastAsia="Times New Roman" w:hAnsi="Times New Roman"/>
          <w:sz w:val="14"/>
          <w:szCs w:val="14"/>
          <w:color w:val="auto"/>
        </w:rPr>
      </w:pPr>
    </w:p>
    <w:p>
      <w:pPr>
        <w:ind w:left="500" w:hanging="251"/>
        <w:spacing w:after="0" w:line="232" w:lineRule="auto"/>
        <w:tabs>
          <w:tab w:leader="none" w:pos="5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a director’s independence in the event the related person is a director, immediate family member of a director or an entity with which a director is affiliated;</w:t>
      </w:r>
    </w:p>
    <w:p>
      <w:pPr>
        <w:ind w:left="500" w:hanging="251"/>
        <w:spacing w:after="0" w:line="232" w:lineRule="auto"/>
        <w:tabs>
          <w:tab w:leader="none" w:pos="5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transaction;</w:t>
      </w:r>
    </w:p>
    <w:p>
      <w:pPr>
        <w:ind w:left="500" w:hanging="251"/>
        <w:spacing w:after="0" w:line="234" w:lineRule="auto"/>
        <w:tabs>
          <w:tab w:leader="none" w:pos="5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other sources for comparable services or products; and</w:t>
      </w:r>
    </w:p>
    <w:p>
      <w:pPr>
        <w:ind w:left="500" w:hanging="251"/>
        <w:spacing w:after="0"/>
        <w:tabs>
          <w:tab w:leader="none" w:pos="5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available to or from, as the case may be, unrelated third parties.</w:t>
      </w:r>
    </w:p>
    <w:p>
      <w:pPr>
        <w:spacing w:after="0" w:line="131" w:lineRule="exact"/>
        <w:rPr>
          <w:sz w:val="20"/>
          <w:szCs w:val="20"/>
          <w:color w:val="auto"/>
        </w:rPr>
      </w:pPr>
    </w:p>
    <w:p>
      <w:pPr>
        <w:jc w:val="both"/>
        <w:ind w:right="20" w:firstLine="490"/>
        <w:spacing w:after="0" w:line="248" w:lineRule="auto"/>
        <w:rPr>
          <w:sz w:val="20"/>
          <w:szCs w:val="20"/>
          <w:color w:val="auto"/>
        </w:rPr>
      </w:pPr>
      <w:r>
        <w:rPr>
          <w:rFonts w:ascii="Times New Roman" w:cs="Times New Roman" w:eastAsia="Times New Roman" w:hAnsi="Times New Roman"/>
          <w:sz w:val="14"/>
          <w:szCs w:val="14"/>
          <w:color w:val="auto"/>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of the transactions entered into since the adoption of the Policy have been approved by our audit committee.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154" w:lineRule="exact"/>
        <w:rPr>
          <w:sz w:val="20"/>
          <w:szCs w:val="20"/>
          <w:color w:val="auto"/>
        </w:rPr>
      </w:pPr>
    </w:p>
    <w:p>
      <w:pPr>
        <w:jc w:val="both"/>
        <w:ind w:firstLine="490"/>
        <w:spacing w:after="0"/>
        <w:rPr>
          <w:sz w:val="20"/>
          <w:szCs w:val="20"/>
          <w:color w:val="auto"/>
        </w:rPr>
      </w:pPr>
      <w:r>
        <w:rPr>
          <w:rFonts w:ascii="Times New Roman" w:cs="Times New Roman" w:eastAsia="Times New Roman" w:hAnsi="Times New Roman"/>
          <w:sz w:val="14"/>
          <w:szCs w:val="14"/>
          <w:color w:val="auto"/>
        </w:rPr>
        <w:t>Our common stock is listed on Nasdaq.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of the Exchange Act,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w:t>
      </w:r>
    </w:p>
    <w:p>
      <w:pPr>
        <w:spacing w:after="0" w:line="132" w:lineRule="exact"/>
        <w:rPr>
          <w:sz w:val="20"/>
          <w:szCs w:val="20"/>
          <w:color w:val="auto"/>
        </w:rPr>
      </w:pPr>
    </w:p>
    <w:p>
      <w:pPr>
        <w:jc w:val="both"/>
        <w:ind w:right="20" w:firstLine="320"/>
        <w:spacing w:after="0" w:line="263" w:lineRule="auto"/>
        <w:rPr>
          <w:sz w:val="20"/>
          <w:szCs w:val="20"/>
          <w:color w:val="auto"/>
        </w:rPr>
      </w:pPr>
      <w:r>
        <w:rPr>
          <w:rFonts w:ascii="Times New Roman" w:cs="Times New Roman" w:eastAsia="Times New Roman" w:hAnsi="Times New Roman"/>
          <w:sz w:val="14"/>
          <w:szCs w:val="14"/>
          <w:color w:val="auto"/>
        </w:rPr>
        <w:t>Our Board of Directors has determined that Rick Parod, Perry Boyle, Jonathan Bellows, Karina Montilla Edmonds, Brian Nelson, and Luisa Ingargiola are an “independent directors” as such term is defined under the applicable rules of Nasdaq.</w:t>
      </w:r>
    </w:p>
    <w:p>
      <w:pPr>
        <w:spacing w:after="0" w:line="116" w:lineRule="exact"/>
        <w:rPr>
          <w:sz w:val="20"/>
          <w:szCs w:val="20"/>
          <w:color w:val="auto"/>
        </w:rPr>
      </w:pPr>
    </w:p>
    <w:p>
      <w:pPr>
        <w:jc w:val="both"/>
        <w:ind w:right="20" w:firstLine="320"/>
        <w:spacing w:after="0" w:line="243" w:lineRule="auto"/>
        <w:rPr>
          <w:sz w:val="20"/>
          <w:szCs w:val="20"/>
          <w:color w:val="auto"/>
        </w:rPr>
      </w:pPr>
      <w:r>
        <w:rPr>
          <w:rFonts w:ascii="Times New Roman" w:cs="Times New Roman" w:eastAsia="Times New Roman" w:hAnsi="Times New Roman"/>
          <w:sz w:val="14"/>
          <w:szCs w:val="14"/>
          <w:color w:val="auto"/>
        </w:rPr>
        <w:t>We have established an Audit Committee, a Compensation Committee and a Nominating and Corporate Governance Committee. Our Board of Directors has determined that Ms. Ingargiola is an “audit committee financial expert,” as defined under the applicable rules of the SEC, and that all members of the Audit Committee are “independent” within the meaning of the applicable Nasdaq rule and the independence standards of Rule 10A-3 of the Exchange Act. Each of the members of the Audit Committee meets the requirements for financial literacy under the applicable rules and regulations of the SEC and Nasdaq.</w:t>
      </w:r>
    </w:p>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14605</wp:posOffset>
                </wp:positionV>
                <wp:extent cx="6568440"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8440" cy="4763"/>
                        </a:xfrm>
                        <a:prstGeom prst="line">
                          <a:avLst/>
                        </a:prstGeom>
                        <a:solidFill>
                          <a:srgbClr val="FFFFFF"/>
                        </a:solidFill>
                        <a:ln w="16002">
                          <a:solidFill>
                            <a:srgbClr val="000000"/>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15pt" to="517.6pt,1.15pt" o:allowincell="f" strokecolor="#000000" strokeweight="1.26pt"/>
            </w:pict>
          </mc:Fallback>
        </mc:AlternateContent>
      </w:r>
    </w:p>
    <w:p>
      <w:pPr>
        <w:sectPr>
          <w:pgSz w:w="12240" w:h="15840" w:orient="portrait"/>
          <w:cols w:equalWidth="0" w:num="1">
            <w:col w:w="10360"/>
          </w:cols>
          <w:pgMar w:left="940" w:top="1156" w:right="9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Fees</w:t>
      </w:r>
    </w:p>
    <w:p>
      <w:pPr>
        <w:spacing w:after="0" w:line="153" w:lineRule="exact"/>
        <w:rPr>
          <w:sz w:val="20"/>
          <w:szCs w:val="20"/>
          <w:color w:val="auto"/>
        </w:rPr>
      </w:pPr>
    </w:p>
    <w:p>
      <w:pPr>
        <w:ind w:firstLine="490"/>
        <w:spacing w:after="0" w:line="262" w:lineRule="auto"/>
        <w:rPr>
          <w:sz w:val="20"/>
          <w:szCs w:val="20"/>
          <w:color w:val="auto"/>
        </w:rPr>
      </w:pPr>
      <w:r>
        <w:rPr>
          <w:rFonts w:ascii="Times New Roman" w:cs="Times New Roman" w:eastAsia="Times New Roman" w:hAnsi="Times New Roman"/>
          <w:sz w:val="14"/>
          <w:szCs w:val="14"/>
          <w:color w:val="auto"/>
        </w:rPr>
        <w:t>The aggregate fees billed to us by our principal accountants, BDO USA LLP, for professional services rendered during the twelve months ended December 31, 2022, and 2021, are set forth in the table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Twelve months ended</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Twelve months ended</w:t>
            </w:r>
          </w:p>
        </w:tc>
        <w:tc>
          <w:tcPr>
            <w:tcW w:w="0" w:type="dxa"/>
            <w:vAlign w:val="bottom"/>
          </w:tcPr>
          <w:p>
            <w:pPr>
              <w:spacing w:after="0"/>
              <w:rPr>
                <w:sz w:val="1"/>
                <w:szCs w:val="1"/>
                <w:color w:val="auto"/>
              </w:rPr>
            </w:pPr>
          </w:p>
        </w:tc>
      </w:tr>
      <w:tr>
        <w:trPr>
          <w:trHeight w:val="177"/>
        </w:trPr>
        <w:tc>
          <w:tcPr>
            <w:tcW w:w="6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December 31, 2022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156"/>
        </w:trPr>
        <w:tc>
          <w:tcPr>
            <w:tcW w:w="20" w:type="dxa"/>
            <w:vAlign w:val="bottom"/>
            <w:tcBorders>
              <w:top w:val="single" w:sz="8" w:color="D1EEF5"/>
            </w:tcBorders>
            <w:shd w:val="clear" w:color="auto" w:fill="D1EEF5"/>
          </w:tcPr>
          <w:p>
            <w:pPr>
              <w:spacing w:after="0"/>
              <w:rPr>
                <w:sz w:val="13"/>
                <w:szCs w:val="13"/>
                <w:color w:val="auto"/>
              </w:rPr>
            </w:pPr>
          </w:p>
        </w:tc>
        <w:tc>
          <w:tcPr>
            <w:tcW w:w="6200" w:type="dxa"/>
            <w:vAlign w:val="bottom"/>
            <w:tcBorders>
              <w:top w:val="single" w:sz="8" w:color="auto"/>
            </w:tcBorders>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Audit fees (1)</w:t>
            </w:r>
          </w:p>
        </w:tc>
        <w:tc>
          <w:tcPr>
            <w:tcW w:w="100" w:type="dxa"/>
            <w:vAlign w:val="bottom"/>
            <w:tcBorders>
              <w:top w:val="single" w:sz="8" w:color="D1EEF5"/>
            </w:tcBorders>
            <w:shd w:val="clear" w:color="auto" w:fill="D1EEF5"/>
          </w:tcPr>
          <w:p>
            <w:pPr>
              <w:spacing w:after="0"/>
              <w:rPr>
                <w:sz w:val="13"/>
                <w:szCs w:val="13"/>
                <w:color w:val="auto"/>
              </w:rPr>
            </w:pPr>
          </w:p>
        </w:tc>
        <w:tc>
          <w:tcPr>
            <w:tcW w:w="200" w:type="dxa"/>
            <w:vAlign w:val="bottom"/>
            <w:tcBorders>
              <w:top w:val="single" w:sz="8" w:color="auto"/>
            </w:tcBorders>
            <w:shd w:val="clear" w:color="auto" w:fill="D1EEF5"/>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1,277,189</w:t>
            </w:r>
          </w:p>
        </w:tc>
        <w:tc>
          <w:tcPr>
            <w:tcW w:w="200" w:type="dxa"/>
            <w:vAlign w:val="bottom"/>
            <w:tcBorders>
              <w:top w:val="single" w:sz="8" w:color="D1EEF5"/>
            </w:tcBorders>
            <w:shd w:val="clear" w:color="auto" w:fill="D1EEF5"/>
          </w:tcPr>
          <w:p>
            <w:pPr>
              <w:spacing w:after="0"/>
              <w:rPr>
                <w:sz w:val="13"/>
                <w:szCs w:val="13"/>
                <w:color w:val="auto"/>
              </w:rPr>
            </w:pPr>
          </w:p>
        </w:tc>
        <w:tc>
          <w:tcPr>
            <w:tcW w:w="200" w:type="dxa"/>
            <w:vAlign w:val="bottom"/>
            <w:tcBorders>
              <w:top w:val="single" w:sz="8" w:color="auto"/>
            </w:tcBorders>
            <w:shd w:val="clear" w:color="auto" w:fill="D1EEF5"/>
          </w:tcPr>
          <w:p>
            <w:pPr>
              <w:jc w:val="right"/>
              <w:ind w:right="52"/>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379,060</w:t>
            </w:r>
          </w:p>
        </w:tc>
        <w:tc>
          <w:tcPr>
            <w:tcW w:w="100" w:type="dxa"/>
            <w:vAlign w:val="bottom"/>
            <w:tcBorders>
              <w:top w:val="single" w:sz="8" w:color="D1EEF5"/>
            </w:tcBorders>
            <w:shd w:val="clear" w:color="auto" w:fill="D1EEF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2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Audit-related fees (2)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6220" w:type="dxa"/>
            <w:vAlign w:val="bottom"/>
            <w:gridSpan w:val="2"/>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Tax fees (3)</w:t>
            </w:r>
          </w:p>
        </w:tc>
        <w:tc>
          <w:tcPr>
            <w:tcW w:w="100" w:type="dxa"/>
            <w:vAlign w:val="bottom"/>
            <w:shd w:val="clear" w:color="auto" w:fill="D1EEF5"/>
          </w:tcPr>
          <w:p>
            <w:pPr>
              <w:spacing w:after="0"/>
              <w:rPr>
                <w:sz w:val="13"/>
                <w:szCs w:val="13"/>
                <w:color w:val="auto"/>
              </w:rPr>
            </w:pPr>
          </w:p>
        </w:tc>
        <w:tc>
          <w:tcPr>
            <w:tcW w:w="200" w:type="dxa"/>
            <w:vAlign w:val="bottom"/>
            <w:shd w:val="clear" w:color="auto" w:fill="D1EEF5"/>
          </w:tcPr>
          <w:p>
            <w:pPr>
              <w:spacing w:after="0"/>
              <w:rPr>
                <w:sz w:val="13"/>
                <w:szCs w:val="13"/>
                <w:color w:val="auto"/>
              </w:rPr>
            </w:pPr>
          </w:p>
        </w:tc>
        <w:tc>
          <w:tcPr>
            <w:tcW w:w="1660" w:type="dxa"/>
            <w:vAlign w:val="bottom"/>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D1EEF5"/>
          </w:tcPr>
          <w:p>
            <w:pPr>
              <w:spacing w:after="0"/>
              <w:rPr>
                <w:sz w:val="13"/>
                <w:szCs w:val="13"/>
                <w:color w:val="auto"/>
              </w:rPr>
            </w:pPr>
          </w:p>
        </w:tc>
        <w:tc>
          <w:tcPr>
            <w:tcW w:w="200" w:type="dxa"/>
            <w:vAlign w:val="bottom"/>
            <w:shd w:val="clear" w:color="auto" w:fill="D1EEF5"/>
          </w:tcPr>
          <w:p>
            <w:pPr>
              <w:spacing w:after="0"/>
              <w:rPr>
                <w:sz w:val="13"/>
                <w:szCs w:val="13"/>
                <w:color w:val="auto"/>
              </w:rPr>
            </w:pPr>
          </w:p>
        </w:tc>
        <w:tc>
          <w:tcPr>
            <w:tcW w:w="1760" w:type="dxa"/>
            <w:vAlign w:val="bottom"/>
            <w:gridSpan w:val="2"/>
            <w:shd w:val="clear" w:color="auto" w:fill="D1EEF5"/>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other fees (4)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6220" w:type="dxa"/>
            <w:vAlign w:val="bottom"/>
            <w:tcBorders>
              <w:top w:val="single" w:sz="8" w:color="D1EEF5"/>
            </w:tcBorders>
            <w:gridSpan w:val="2"/>
            <w:shd w:val="clear" w:color="auto" w:fill="D1EEF5"/>
          </w:tcPr>
          <w:p>
            <w:pPr>
              <w:spacing w:after="0"/>
              <w:rPr>
                <w:sz w:val="20"/>
                <w:szCs w:val="20"/>
                <w:color w:val="auto"/>
              </w:rPr>
            </w:pPr>
            <w:r>
              <w:rPr>
                <w:rFonts w:ascii="Times New Roman" w:cs="Times New Roman" w:eastAsia="Times New Roman" w:hAnsi="Times New Roman"/>
                <w:sz w:val="14"/>
                <w:szCs w:val="14"/>
                <w:color w:val="auto"/>
              </w:rPr>
              <w:t>Total Fees</w:t>
            </w:r>
          </w:p>
        </w:tc>
        <w:tc>
          <w:tcPr>
            <w:tcW w:w="100" w:type="dxa"/>
            <w:vAlign w:val="bottom"/>
            <w:tcBorders>
              <w:top w:val="single" w:sz="8" w:color="D1EEF5"/>
            </w:tcBorders>
            <w:shd w:val="clear" w:color="auto" w:fill="D1EEF5"/>
          </w:tcPr>
          <w:p>
            <w:pPr>
              <w:spacing w:after="0"/>
              <w:rPr>
                <w:sz w:val="15"/>
                <w:szCs w:val="15"/>
                <w:color w:val="auto"/>
              </w:rPr>
            </w:pPr>
          </w:p>
        </w:tc>
        <w:tc>
          <w:tcPr>
            <w:tcW w:w="200" w:type="dxa"/>
            <w:vAlign w:val="bottom"/>
            <w:tcBorders>
              <w:top w:val="single" w:sz="8" w:color="auto"/>
            </w:tcBorders>
            <w:shd w:val="clear" w:color="auto" w:fill="D1EEF5"/>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1,277,189</w:t>
            </w:r>
          </w:p>
        </w:tc>
        <w:tc>
          <w:tcPr>
            <w:tcW w:w="200" w:type="dxa"/>
            <w:vAlign w:val="bottom"/>
            <w:tcBorders>
              <w:top w:val="single" w:sz="8" w:color="D1EEF5"/>
            </w:tcBorders>
            <w:shd w:val="clear" w:color="auto" w:fill="D1EEF5"/>
          </w:tcPr>
          <w:p>
            <w:pPr>
              <w:spacing w:after="0"/>
              <w:rPr>
                <w:sz w:val="15"/>
                <w:szCs w:val="15"/>
                <w:color w:val="auto"/>
              </w:rPr>
            </w:pPr>
          </w:p>
        </w:tc>
        <w:tc>
          <w:tcPr>
            <w:tcW w:w="200" w:type="dxa"/>
            <w:vAlign w:val="bottom"/>
            <w:tcBorders>
              <w:top w:val="single" w:sz="8" w:color="auto"/>
            </w:tcBorders>
            <w:shd w:val="clear" w:color="auto" w:fill="D1EEF5"/>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379,060</w:t>
            </w:r>
          </w:p>
        </w:tc>
        <w:tc>
          <w:tcPr>
            <w:tcW w:w="100" w:type="dxa"/>
            <w:vAlign w:val="bottom"/>
            <w:tcBorders>
              <w:top w:val="single" w:sz="8" w:color="D1EEF5"/>
            </w:tcBorders>
            <w:shd w:val="clear" w:color="auto" w:fill="D1EEF5"/>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-24765</wp:posOffset>
            </wp:positionV>
            <wp:extent cx="2517775" cy="482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59">
                      <a:extLst>
                        <a:ext uri="{28A0092B-C50C-407E-A947-70E740481C1C}"/>
                      </a:extLst>
                    </a:blip>
                    <a:srcRect/>
                    <a:stretch>
                      <a:fillRect/>
                    </a:stretch>
                  </pic:blipFill>
                  <pic:spPr bwMode="auto">
                    <a:xfrm>
                      <a:off x="0" y="0"/>
                      <a:ext cx="2517775" cy="48260"/>
                    </a:xfrm>
                    <a:prstGeom prst="rect">
                      <a:avLst/>
                    </a:prstGeom>
                    <a:noFill/>
                  </pic:spPr>
                </pic:pic>
              </a:graphicData>
            </a:graphic>
          </wp:anchor>
        </w:drawing>
      </w:r>
    </w:p>
    <w:p>
      <w:pPr>
        <w:spacing w:after="0" w:line="134" w:lineRule="exact"/>
        <w:rPr>
          <w:sz w:val="20"/>
          <w:szCs w:val="20"/>
          <w:color w:val="auto"/>
        </w:rPr>
      </w:pPr>
    </w:p>
    <w:p>
      <w:pPr>
        <w:ind w:left="240" w:hanging="236"/>
        <w:spacing w:after="0" w:line="262" w:lineRule="auto"/>
        <w:tabs>
          <w:tab w:leader="none" w:pos="2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fees incurred for professional services rendered for the audit of financial statements, for reviews of our interim consolidated financial statements included in our quarterly reports on Form 10-Q, and for services that are normally provided in connection with statutory or regulatory filings or engagements.</w:t>
      </w:r>
    </w:p>
    <w:p>
      <w:pPr>
        <w:spacing w:after="0" w:line="117" w:lineRule="exact"/>
        <w:rPr>
          <w:rFonts w:ascii="Times New Roman" w:cs="Times New Roman" w:eastAsia="Times New Roman" w:hAnsi="Times New Roman"/>
          <w:sz w:val="14"/>
          <w:szCs w:val="14"/>
          <w:color w:val="auto"/>
        </w:rPr>
      </w:pPr>
    </w:p>
    <w:p>
      <w:pPr>
        <w:ind w:left="240" w:hanging="236"/>
        <w:spacing w:after="0" w:line="262" w:lineRule="auto"/>
        <w:tabs>
          <w:tab w:leader="none" w:pos="2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consist of fees billed for professional services that are reasonably related to the performance of the audit or review of our financial statements but are not reported under “Audit fees.”</w:t>
      </w:r>
    </w:p>
    <w:p>
      <w:pPr>
        <w:spacing w:after="0" w:line="116" w:lineRule="exact"/>
        <w:rPr>
          <w:rFonts w:ascii="Times New Roman" w:cs="Times New Roman" w:eastAsia="Times New Roman" w:hAnsi="Times New Roman"/>
          <w:sz w:val="14"/>
          <w:szCs w:val="14"/>
          <w:color w:val="auto"/>
        </w:rPr>
      </w:pPr>
    </w:p>
    <w:p>
      <w:pPr>
        <w:ind w:left="240" w:hanging="236"/>
        <w:spacing w:after="0"/>
        <w:tabs>
          <w:tab w:leader="none" w:pos="2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consist of fees billed for professional services relating to tax compliance, tax planning, and tax advice.</w:t>
      </w:r>
    </w:p>
    <w:p>
      <w:pPr>
        <w:spacing w:after="0" w:line="152" w:lineRule="exact"/>
        <w:rPr>
          <w:rFonts w:ascii="Times New Roman" w:cs="Times New Roman" w:eastAsia="Times New Roman" w:hAnsi="Times New Roman"/>
          <w:sz w:val="14"/>
          <w:szCs w:val="14"/>
          <w:color w:val="auto"/>
        </w:rPr>
      </w:pPr>
    </w:p>
    <w:p>
      <w:pPr>
        <w:ind w:left="240" w:hanging="236"/>
        <w:spacing w:after="0"/>
        <w:tabs>
          <w:tab w:leader="none" w:pos="2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consist of fees billed for services not associated with audit or tax.</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Pre-Approval Practices and Procedures</w:t>
      </w:r>
    </w:p>
    <w:p>
      <w:pPr>
        <w:spacing w:after="0" w:line="153"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Our Audit Committee has established a policy governing our use of the services of our independent registered public accounting firm. The purpose of the Audit Committee is to assist the Board of Directors in fulfilling its responsibilities as it relates to our financial accounting, reporting and controls. The Audit Committee’s principal functions are to assist the Board of Directors in its oversight of:</w:t>
      </w:r>
    </w:p>
    <w:p>
      <w:pPr>
        <w:spacing w:after="0" w:line="124" w:lineRule="exact"/>
        <w:rPr>
          <w:sz w:val="20"/>
          <w:szCs w:val="20"/>
          <w:color w:val="auto"/>
        </w:rPr>
      </w:pPr>
    </w:p>
    <w:p>
      <w:pPr>
        <w:ind w:left="980" w:hanging="241"/>
        <w:spacing w:after="0"/>
        <w:tabs>
          <w:tab w:leader="none" w:pos="9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integrity of our accounting and financial reporting processes and the audits of our financial statements by our independent auditors (the “</w:t>
      </w:r>
      <w:r>
        <w:rPr>
          <w:rFonts w:ascii="Times New Roman" w:cs="Times New Roman" w:eastAsia="Times New Roman" w:hAnsi="Times New Roman"/>
          <w:sz w:val="14"/>
          <w:szCs w:val="14"/>
          <w:b w:val="1"/>
          <w:bCs w:val="1"/>
          <w:color w:val="auto"/>
        </w:rPr>
        <w:t>Independent Auditors</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ind w:left="980" w:hanging="241"/>
        <w:spacing w:after="0" w:line="262" w:lineRule="auto"/>
        <w:tabs>
          <w:tab w:leader="none" w:pos="9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periodic reviews of the adequacy of the accounting and financial reporting processes and systems of internal control that are conducted by the Independent Auditors and our senior management;</w:t>
      </w:r>
    </w:p>
    <w:p>
      <w:pPr>
        <w:spacing w:after="0" w:line="117" w:lineRule="exact"/>
        <w:rPr>
          <w:rFonts w:ascii="Times New Roman" w:cs="Times New Roman" w:eastAsia="Times New Roman" w:hAnsi="Times New Roman"/>
          <w:sz w:val="14"/>
          <w:szCs w:val="14"/>
          <w:color w:val="auto"/>
        </w:rPr>
      </w:pPr>
    </w:p>
    <w:p>
      <w:pPr>
        <w:ind w:left="980" w:hanging="241"/>
        <w:spacing w:after="0"/>
        <w:tabs>
          <w:tab w:leader="none" w:pos="9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independence and performance of the Independent Auditors; and</w:t>
      </w:r>
    </w:p>
    <w:p>
      <w:pPr>
        <w:spacing w:after="0" w:line="151" w:lineRule="exact"/>
        <w:rPr>
          <w:rFonts w:ascii="Times New Roman" w:cs="Times New Roman" w:eastAsia="Times New Roman" w:hAnsi="Times New Roman"/>
          <w:sz w:val="14"/>
          <w:szCs w:val="14"/>
          <w:color w:val="auto"/>
        </w:rPr>
      </w:pPr>
    </w:p>
    <w:p>
      <w:pPr>
        <w:ind w:left="980" w:hanging="241"/>
        <w:spacing w:after="0"/>
        <w:tabs>
          <w:tab w:leader="none" w:pos="9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compliance with legal and regulatory requirements.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17145</wp:posOffset>
                </wp:positionV>
                <wp:extent cx="6568440"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8440"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35pt" to="517.6pt,1.35pt" o:allowincell="f" strokecolor="#000000" strokeweight="1.1999pt"/>
            </w:pict>
          </mc:Fallback>
        </mc:AlternateContent>
      </w:r>
    </w:p>
    <w:p>
      <w:pPr>
        <w:sectPr>
          <w:pgSz w:w="12240" w:h="15840" w:orient="portrait"/>
          <w:cols w:equalWidth="0" w:num="1">
            <w:col w:w="10340"/>
          </w:cols>
          <w:pgMar w:left="940" w:top="1154" w:right="960"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Financial Statement Schedules</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 xml:space="preserve">Financial Statements. </w:t>
      </w:r>
      <w:r>
        <w:rPr>
          <w:rFonts w:ascii="Times New Roman" w:cs="Times New Roman" w:eastAsia="Times New Roman" w:hAnsi="Times New Roman"/>
          <w:sz w:val="14"/>
          <w:szCs w:val="14"/>
          <w:color w:val="auto"/>
        </w:rPr>
        <w:t>No financial statements are filed with this Amendment. These items were included as part of the 2022 Annual Report.</w:t>
      </w:r>
    </w:p>
    <w:p>
      <w:pPr>
        <w:spacing w:after="0" w:line="152" w:lineRule="exact"/>
        <w:rPr>
          <w:sz w:val="20"/>
          <w:szCs w:val="20"/>
          <w:color w:val="auto"/>
        </w:rPr>
      </w:pPr>
    </w:p>
    <w:p>
      <w:pPr>
        <w:ind w:right="20" w:firstLine="334"/>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Financial Statement Schedules. </w:t>
      </w:r>
      <w:r>
        <w:rPr>
          <w:rFonts w:ascii="Times New Roman" w:cs="Times New Roman" w:eastAsia="Times New Roman" w:hAnsi="Times New Roman"/>
          <w:sz w:val="14"/>
          <w:szCs w:val="14"/>
          <w:color w:val="auto"/>
        </w:rPr>
        <w:t>Financial statement schedules have been omitted because they are either not required, not applicable, or the information is otherwise included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2022 Annual Report.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 xml:space="preserve">Exhibits. </w:t>
      </w:r>
      <w:r>
        <w:rPr>
          <w:rFonts w:ascii="Times New Roman" w:cs="Times New Roman" w:eastAsia="Times New Roman" w:hAnsi="Times New Roman"/>
          <w:sz w:val="14"/>
          <w:szCs w:val="14"/>
          <w:color w:val="auto"/>
        </w:rPr>
        <w:t>The exhibits listed in the Original Filing are required by Item 601 of Regulation S-K. A list of the exhibits filed with this Amendment are provided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9520" w:type="dxa"/>
            <w:vAlign w:val="bottom"/>
          </w:tcPr>
          <w:p>
            <w:pPr>
              <w:spacing w:after="0"/>
              <w:rPr>
                <w:sz w:val="13"/>
                <w:szCs w:val="13"/>
                <w:color w:val="auto"/>
              </w:rPr>
            </w:pPr>
          </w:p>
        </w:tc>
      </w:tr>
      <w:tr>
        <w:trPr>
          <w:trHeight w:val="189"/>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9520" w:type="dxa"/>
            <w:vAlign w:val="bottom"/>
            <w:tcBorders>
              <w:bottom w:val="single" w:sz="8" w:color="auto"/>
            </w:tcBorders>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20"/>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9520" w:type="dxa"/>
            <w:vAlign w:val="bottom"/>
          </w:tcPr>
          <w:p>
            <w:pPr>
              <w:spacing w:after="0"/>
              <w:rPr>
                <w:sz w:val="20"/>
                <w:szCs w:val="20"/>
                <w:color w:val="auto"/>
              </w:rPr>
            </w:pPr>
            <w:r>
              <w:rPr>
                <w:rFonts w:ascii="Times New Roman" w:cs="Times New Roman" w:eastAsia="Times New Roman" w:hAnsi="Times New Roman"/>
                <w:sz w:val="14"/>
                <w:szCs w:val="14"/>
                <w:color w:val="auto"/>
              </w:rPr>
              <w:t>Employment Agreement, dated as of October 11, 2022, by and between Dragonfly Energy Holdings Corp. and Nicole Harvey.</w:t>
            </w:r>
          </w:p>
        </w:tc>
      </w:tr>
      <w:tr>
        <w:trPr>
          <w:trHeight w:val="313"/>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24"/>
                <w:szCs w:val="24"/>
                <w:color w:val="auto"/>
              </w:rPr>
            </w:pPr>
          </w:p>
        </w:tc>
        <w:tc>
          <w:tcPr>
            <w:tcW w:w="9520" w:type="dxa"/>
            <w:vAlign w:val="bottom"/>
          </w:tcPr>
          <w:p>
            <w:pPr>
              <w:spacing w:after="0"/>
              <w:rPr>
                <w:sz w:val="20"/>
                <w:szCs w:val="20"/>
                <w:color w:val="auto"/>
              </w:rPr>
            </w:pPr>
            <w:r>
              <w:rPr>
                <w:rFonts w:ascii="Times New Roman" w:cs="Times New Roman" w:eastAsia="Times New Roman" w:hAnsi="Times New Roman"/>
                <w:sz w:val="14"/>
                <w:szCs w:val="14"/>
                <w:color w:val="auto"/>
              </w:rPr>
              <w:t>Certification of the Principal Executive Officer pursuant to Rule 13a-14(a) or 15d-14(a) of the Securities Exchange Act of 1934.</w:t>
            </w:r>
          </w:p>
        </w:tc>
      </w:tr>
      <w:tr>
        <w:trPr>
          <w:trHeight w:val="312"/>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24"/>
                <w:szCs w:val="24"/>
                <w:color w:val="auto"/>
              </w:rPr>
            </w:pPr>
          </w:p>
        </w:tc>
        <w:tc>
          <w:tcPr>
            <w:tcW w:w="9520" w:type="dxa"/>
            <w:vAlign w:val="bottom"/>
          </w:tcPr>
          <w:p>
            <w:pPr>
              <w:spacing w:after="0"/>
              <w:rPr>
                <w:sz w:val="20"/>
                <w:szCs w:val="20"/>
                <w:color w:val="auto"/>
              </w:rPr>
            </w:pPr>
            <w:r>
              <w:rPr>
                <w:rFonts w:ascii="Times New Roman" w:cs="Times New Roman" w:eastAsia="Times New Roman" w:hAnsi="Times New Roman"/>
                <w:sz w:val="14"/>
                <w:szCs w:val="14"/>
                <w:color w:val="auto"/>
              </w:rPr>
              <w:t>Certification of the Principal Financial Officer pursuant to Rule 13a-14(a) or 15d-14(a) of the Securities Exchange Act of 1934.</w:t>
            </w:r>
          </w:p>
        </w:tc>
      </w:tr>
      <w:tr>
        <w:trPr>
          <w:trHeight w:val="313"/>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24"/>
                <w:szCs w:val="24"/>
                <w:color w:val="auto"/>
              </w:rPr>
            </w:pPr>
          </w:p>
        </w:tc>
        <w:tc>
          <w:tcPr>
            <w:tcW w:w="9520" w:type="dxa"/>
            <w:vAlign w:val="bottom"/>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pacing w:after="0" w:line="132" w:lineRule="exact"/>
        <w:rPr>
          <w:sz w:val="20"/>
          <w:szCs w:val="20"/>
          <w:color w:val="auto"/>
        </w:rPr>
      </w:pPr>
    </w:p>
    <w:p>
      <w:pPr>
        <w:ind w:left="740" w:hanging="736"/>
        <w:spacing w:after="0"/>
        <w:tabs>
          <w:tab w:leader="none" w:pos="7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5" w:lineRule="exact"/>
        <w:rPr>
          <w:sz w:val="20"/>
          <w:szCs w:val="20"/>
          <w:color w:val="auto"/>
        </w:rPr>
      </w:pPr>
    </w:p>
    <w:p>
      <w:pPr>
        <w:ind w:left="740" w:hanging="736"/>
        <w:spacing w:after="0"/>
        <w:tabs>
          <w:tab w:leader="none" w:pos="7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None.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11430</wp:posOffset>
                </wp:positionV>
                <wp:extent cx="6568440"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8440"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9pt" to="517.6pt,0.9pt" o:allowincell="f" strokecolor="#000000" strokeweight="1.1999pt"/>
            </w:pict>
          </mc:Fallback>
        </mc:AlternateContent>
      </w:r>
    </w:p>
    <w:p>
      <w:pPr>
        <w:sectPr>
          <w:pgSz w:w="12240" w:h="15840" w:orient="portrait"/>
          <w:cols w:equalWidth="0" w:num="1">
            <w:col w:w="10360"/>
          </w:cols>
          <w:pgMar w:left="940" w:top="1154" w:right="940" w:bottom="1440" w:gutter="0" w:footer="0" w:header="0"/>
        </w:sectPr>
      </w:pPr>
    </w:p>
    <w:bookmarkStart w:id="119" w:name="page120"/>
    <w:bookmarkEnd w:id="11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Form 10-K/A to be signed on its behalf by the undersigned, thereunto duly authorized, in Reno, Nevada, on the 1st day of May, 2023.</w:t>
      </w:r>
    </w:p>
    <w:p>
      <w:pPr>
        <w:spacing w:after="0" w:line="11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Dragonfly Energy Holdings Corp.</w:t>
      </w:r>
    </w:p>
    <w:p>
      <w:pPr>
        <w:spacing w:after="0" w:line="152" w:lineRule="exact"/>
        <w:rPr>
          <w:sz w:val="20"/>
          <w:szCs w:val="20"/>
          <w:color w:val="auto"/>
        </w:rPr>
      </w:pPr>
    </w:p>
    <w:p>
      <w:pPr>
        <w:spacing w:after="0"/>
        <w:tabs>
          <w:tab w:leader="none" w:pos="5160" w:val="left"/>
          <w:tab w:leader="none" w:pos="5460" w:val="left"/>
        </w:tabs>
        <w:rPr>
          <w:sz w:val="20"/>
          <w:szCs w:val="20"/>
          <w:color w:val="auto"/>
        </w:rPr>
      </w:pPr>
      <w:r>
        <w:rPr>
          <w:rFonts w:ascii="Times New Roman" w:cs="Times New Roman" w:eastAsia="Times New Roman" w:hAnsi="Times New Roman"/>
          <w:sz w:val="14"/>
          <w:szCs w:val="14"/>
          <w:color w:val="auto"/>
        </w:rPr>
        <w:t>Date: May 1, 2023</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2"/>
          <w:szCs w:val="12"/>
          <w:i w:val="1"/>
          <w:iCs w:val="1"/>
          <w:color w:val="auto"/>
        </w:rPr>
        <w:t>/s/ Denis Phares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3487420</wp:posOffset>
                </wp:positionH>
                <wp:positionV relativeFrom="paragraph">
                  <wp:posOffset>15240</wp:posOffset>
                </wp:positionV>
                <wp:extent cx="3086100"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6100"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6pt,1.2pt" to="517.6pt,1.2pt" o:allowincell="f" strokecolor="#000000" strokeweight="1.2pt"/>
            </w:pict>
          </mc:Fallback>
        </mc:AlternateContent>
      </w:r>
    </w:p>
    <w:p>
      <w:pPr>
        <w:ind w:left="5480"/>
        <w:spacing w:after="0"/>
        <w:rPr>
          <w:sz w:val="20"/>
          <w:szCs w:val="20"/>
          <w:color w:val="auto"/>
        </w:rPr>
      </w:pPr>
      <w:r>
        <w:rPr>
          <w:rFonts w:ascii="Times New Roman" w:cs="Times New Roman" w:eastAsia="Times New Roman" w:hAnsi="Times New Roman"/>
          <w:sz w:val="14"/>
          <w:szCs w:val="14"/>
          <w:color w:val="auto"/>
        </w:rPr>
        <w:t>Denis Phares</w:t>
      </w:r>
    </w:p>
    <w:p>
      <w:pPr>
        <w:spacing w:after="0" w:line="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Chief Executive Officer</w:t>
      </w:r>
    </w:p>
    <w:p>
      <w:pPr>
        <w:ind w:left="548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16510</wp:posOffset>
                </wp:positionV>
                <wp:extent cx="656844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8440"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3pt" to="517.6pt,1.3pt" o:allowincell="f" strokecolor="#000000" strokeweight="1.1999pt"/>
            </w:pict>
          </mc:Fallback>
        </mc:AlternateContent>
      </w:r>
    </w:p>
    <w:sectPr>
      <w:pgSz w:w="12240" w:h="15840" w:orient="portrait"/>
      <w:cols w:equalWidth="0" w:num="1">
        <w:col w:w="10360"/>
      </w:cols>
      <w:pgMar w:left="940" w:top="1154" w:right="9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8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ց"/>
      <w:numFmt w:val="bullet"/>
      <w:start w:val="1"/>
    </w:lvl>
  </w:abstractNum>
  <w:abstractNum w:abstractNumId="1">
    <w:nsid w:val="22221A70"/>
    <w:multiLevelType w:val="hybridMultilevel"/>
    <w:lvl w:ilvl="0">
      <w:lvlJc w:val="left"/>
      <w:lvlText w:val="տ"/>
      <w:numFmt w:val="bullet"/>
      <w:start w:val="1"/>
    </w:lvl>
  </w:abstractNum>
  <w:abstractNum w:abstractNumId="2">
    <w:nsid w:val="4516DDE9"/>
    <w:multiLevelType w:val="hybridMultilevel"/>
    <w:lvl w:ilvl="0">
      <w:lvlJc w:val="left"/>
      <w:lvlText w:val="Ɣ"/>
      <w:numFmt w:val="bullet"/>
      <w:start w:val="1"/>
    </w:lvl>
  </w:abstractNum>
  <w:abstractNum w:abstractNumId="3">
    <w:nsid w:val="3006C83E"/>
    <w:multiLevelType w:val="hybridMultilevel"/>
    <w:lvl w:ilvl="0">
      <w:lvlJc w:val="left"/>
      <w:lvlText w:val="Ɣ"/>
      <w:numFmt w:val="bullet"/>
      <w:start w:val="1"/>
    </w:lvl>
  </w:abstractNum>
  <w:abstractNum w:abstractNumId="4">
    <w:nsid w:val="614FD4A1"/>
    <w:multiLevelType w:val="hybridMultilevel"/>
    <w:lvl w:ilvl="0">
      <w:lvlJc w:val="left"/>
      <w:lvlText w:val="Ɣ"/>
      <w:numFmt w:val="bullet"/>
      <w:start w:val="1"/>
    </w:lvl>
  </w:abstractNum>
  <w:abstractNum w:abstractNumId="5">
    <w:nsid w:val="419AC241"/>
    <w:multiLevelType w:val="hybridMultilevel"/>
    <w:lvl w:ilvl="0">
      <w:lvlJc w:val="left"/>
      <w:lvlText w:val="Ɣ"/>
      <w:numFmt w:val="bullet"/>
      <w:start w:val="1"/>
    </w:lvl>
  </w:abstractNum>
  <w:abstractNum w:abstractNumId="6">
    <w:nsid w:val="5577F8E1"/>
    <w:multiLevelType w:val="hybridMultilevel"/>
    <w:lvl w:ilvl="0">
      <w:lvlJc w:val="left"/>
      <w:lvlText w:val="Ɣ"/>
      <w:numFmt w:val="bullet"/>
      <w:start w:val="1"/>
    </w:lvl>
  </w:abstractNum>
  <w:abstractNum w:abstractNumId="7">
    <w:nsid w:val="440BADFC"/>
    <w:multiLevelType w:val="hybridMultilevel"/>
    <w:lvl w:ilvl="0">
      <w:lvlJc w:val="left"/>
      <w:lvlText w:val="Ɣ"/>
      <w:numFmt w:val="bullet"/>
      <w:start w:val="1"/>
    </w:lvl>
  </w:abstractNum>
  <w:abstractNum w:abstractNumId="8">
    <w:nsid w:val="5072367"/>
    <w:multiLevelType w:val="hybridMultilevel"/>
    <w:lvl w:ilvl="0">
      <w:lvlJc w:val="left"/>
      <w:lvlText w:val="Ɣ"/>
      <w:numFmt w:val="bullet"/>
      <w:start w:val="1"/>
    </w:lvl>
  </w:abstractNum>
  <w:abstractNum w:abstractNumId="9">
    <w:nsid w:val="3804823E"/>
    <w:multiLevelType w:val="hybridMultilevel"/>
    <w:lvl w:ilvl="0">
      <w:lvlJc w:val="left"/>
      <w:lvlText w:val="Ɣ"/>
      <w:numFmt w:val="bullet"/>
      <w:start w:val="1"/>
    </w:lvl>
  </w:abstractNum>
  <w:abstractNum w:abstractNumId="10">
    <w:nsid w:val="77465F01"/>
    <w:multiLevelType w:val="hybridMultilevel"/>
    <w:lvl w:ilvl="0">
      <w:lvlJc w:val="left"/>
      <w:lvlText w:val="Ɣ"/>
      <w:numFmt w:val="bullet"/>
      <w:start w:val="1"/>
    </w:lvl>
  </w:abstractNum>
  <w:abstractNum w:abstractNumId="11">
    <w:nsid w:val="7724C67E"/>
    <w:multiLevelType w:val="hybridMultilevel"/>
    <w:lvl w:ilvl="0">
      <w:lvlJc w:val="left"/>
      <w:lvlText w:val="Ɣ"/>
      <w:numFmt w:val="bullet"/>
      <w:start w:val="1"/>
    </w:lvl>
  </w:abstractNum>
  <w:abstractNum w:abstractNumId="12">
    <w:nsid w:val="5C482A97"/>
    <w:multiLevelType w:val="hybridMultilevel"/>
    <w:lvl w:ilvl="0">
      <w:lvlJc w:val="left"/>
      <w:lvlText w:val="Ɣ"/>
      <w:numFmt w:val="bullet"/>
      <w:start w:val="1"/>
    </w:lvl>
    <w:lvl w:ilvl="1">
      <w:lvlJc w:val="left"/>
      <w:lvlText w:val="Ɣ"/>
      <w:numFmt w:val="bullet"/>
      <w:start w:val="1"/>
    </w:lvl>
  </w:abstractNum>
  <w:abstractNum w:abstractNumId="13">
    <w:nsid w:val="2463B9EA"/>
    <w:multiLevelType w:val="hybridMultilevel"/>
    <w:lvl w:ilvl="0">
      <w:lvlJc w:val="left"/>
      <w:lvlText w:val="Ɣ"/>
      <w:numFmt w:val="bullet"/>
      <w:start w:val="1"/>
    </w:lvl>
  </w:abstractNum>
  <w:abstractNum w:abstractNumId="14">
    <w:nsid w:val="5E884ADC"/>
    <w:multiLevelType w:val="hybridMultilevel"/>
    <w:lvl w:ilvl="0">
      <w:lvlJc w:val="left"/>
      <w:lvlText w:val="(%1)"/>
      <w:numFmt w:val="lowerLetter"/>
      <w:start w:val="1"/>
    </w:lvl>
  </w:abstractNum>
  <w:abstractNum w:abstractNumId="15">
    <w:nsid w:val="51EAD36B"/>
    <w:multiLevelType w:val="hybridMultilevel"/>
    <w:lvl w:ilvl="0">
      <w:lvlJc w:val="left"/>
      <w:lvlText w:val="(%1)"/>
      <w:numFmt w:val="lowerRoman"/>
      <w:start w:val="4"/>
    </w:lvl>
  </w:abstractNum>
  <w:abstractNum w:abstractNumId="16">
    <w:nsid w:val="2D517796"/>
    <w:multiLevelType w:val="hybridMultilevel"/>
    <w:lvl w:ilvl="0">
      <w:lvlJc w:val="left"/>
      <w:lvlText w:val="Ɣ"/>
      <w:numFmt w:val="bullet"/>
      <w:start w:val="1"/>
    </w:lvl>
  </w:abstractNum>
  <w:abstractNum w:abstractNumId="17">
    <w:nsid w:val="580BD78F"/>
    <w:multiLevelType w:val="hybridMultilevel"/>
    <w:lvl w:ilvl="0">
      <w:lvlJc w:val="left"/>
      <w:lvlText w:val="Ɣ"/>
      <w:numFmt w:val="bullet"/>
      <w:start w:val="1"/>
    </w:lvl>
  </w:abstractNum>
  <w:abstractNum w:abstractNumId="18">
    <w:nsid w:val="153EA438"/>
    <w:multiLevelType w:val="hybridMultilevel"/>
    <w:lvl w:ilvl="0">
      <w:lvlJc w:val="left"/>
      <w:lvlText w:val="Ɣ"/>
      <w:numFmt w:val="bullet"/>
      <w:start w:val="1"/>
    </w:lvl>
  </w:abstractNum>
  <w:abstractNum w:abstractNumId="19">
    <w:nsid w:val="3855585C"/>
    <w:multiLevelType w:val="hybridMultilevel"/>
    <w:lvl w:ilvl="0">
      <w:lvlJc w:val="left"/>
      <w:lvlText w:val="Ɣ"/>
      <w:numFmt w:val="bullet"/>
      <w:start w:val="1"/>
    </w:lvl>
  </w:abstractNum>
  <w:abstractNum w:abstractNumId="20">
    <w:nsid w:val="70A64E2A"/>
    <w:multiLevelType w:val="hybridMultilevel"/>
    <w:lvl w:ilvl="0">
      <w:lvlJc w:val="left"/>
      <w:lvlText w:val="Ɣ"/>
      <w:numFmt w:val="bullet"/>
      <w:start w:val="1"/>
    </w:lvl>
  </w:abstractNum>
  <w:abstractNum w:abstractNumId="21">
    <w:nsid w:val="6A2342EC"/>
    <w:multiLevelType w:val="hybridMultilevel"/>
    <w:lvl w:ilvl="0">
      <w:lvlJc w:val="left"/>
      <w:lvlText w:val="Ɣ"/>
      <w:numFmt w:val="bullet"/>
      <w:start w:val="1"/>
    </w:lvl>
  </w:abstractNum>
  <w:abstractNum w:abstractNumId="22">
    <w:nsid w:val="2A487CB0"/>
    <w:multiLevelType w:val="hybridMultilevel"/>
    <w:lvl w:ilvl="0">
      <w:lvlJc w:val="left"/>
      <w:lvlText w:val="Ɣ"/>
      <w:numFmt w:val="bullet"/>
      <w:start w:val="1"/>
    </w:lvl>
  </w:abstractNum>
  <w:abstractNum w:abstractNumId="23">
    <w:nsid w:val="1D4ED43B"/>
    <w:multiLevelType w:val="hybridMultilevel"/>
    <w:lvl w:ilvl="0">
      <w:lvlJc w:val="left"/>
      <w:lvlText w:val="Ɣ"/>
      <w:numFmt w:val="bullet"/>
      <w:start w:val="1"/>
    </w:lvl>
  </w:abstractNum>
  <w:abstractNum w:abstractNumId="24">
    <w:nsid w:val="725A06FB"/>
    <w:multiLevelType w:val="hybridMultilevel"/>
    <w:lvl w:ilvl="0">
      <w:lvlJc w:val="left"/>
      <w:lvlText w:val="Ɣ"/>
      <w:numFmt w:val="bullet"/>
      <w:start w:val="1"/>
    </w:lvl>
  </w:abstractNum>
  <w:abstractNum w:abstractNumId="25">
    <w:nsid w:val="2CD89A32"/>
    <w:multiLevelType w:val="hybridMultilevel"/>
    <w:lvl w:ilvl="0">
      <w:lvlJc w:val="left"/>
      <w:lvlText w:val="Ɣ"/>
      <w:numFmt w:val="bullet"/>
      <w:start w:val="1"/>
    </w:lvl>
  </w:abstractNum>
  <w:abstractNum w:abstractNumId="26">
    <w:nsid w:val="57E4CCAF"/>
    <w:multiLevelType w:val="hybridMultilevel"/>
    <w:lvl w:ilvl="0">
      <w:lvlJc w:val="left"/>
      <w:lvlText w:val="Ɣ"/>
      <w:numFmt w:val="bullet"/>
      <w:start w:val="1"/>
    </w:lvl>
  </w:abstractNum>
  <w:abstractNum w:abstractNumId="27">
    <w:nsid w:val="7A6D8D3C"/>
    <w:multiLevelType w:val="hybridMultilevel"/>
    <w:lvl w:ilvl="0">
      <w:lvlJc w:val="left"/>
      <w:lvlText w:val="Ɣ"/>
      <w:numFmt w:val="bullet"/>
      <w:start w:val="1"/>
    </w:lvl>
  </w:abstractNum>
  <w:abstractNum w:abstractNumId="28">
    <w:nsid w:val="4B588F54"/>
    <w:multiLevelType w:val="hybridMultilevel"/>
    <w:lvl w:ilvl="0">
      <w:lvlJc w:val="left"/>
      <w:lvlText w:val="Ɣ"/>
      <w:numFmt w:val="bullet"/>
      <w:start w:val="1"/>
    </w:lvl>
  </w:abstractNum>
  <w:abstractNum w:abstractNumId="29">
    <w:nsid w:val="542289EC"/>
    <w:multiLevelType w:val="hybridMultilevel"/>
    <w:lvl w:ilvl="0">
      <w:lvlJc w:val="left"/>
      <w:lvlText w:val="Ɣ"/>
      <w:numFmt w:val="bullet"/>
      <w:start w:val="1"/>
    </w:lvl>
  </w:abstractNum>
  <w:abstractNum w:abstractNumId="30">
    <w:nsid w:val="6DE91B18"/>
    <w:multiLevelType w:val="hybridMultilevel"/>
    <w:lvl w:ilvl="0">
      <w:lvlJc w:val="left"/>
      <w:lvlText w:val="Ɣ"/>
      <w:numFmt w:val="bullet"/>
      <w:start w:val="1"/>
    </w:lvl>
  </w:abstractNum>
  <w:abstractNum w:abstractNumId="31">
    <w:nsid w:val="38437FDB"/>
    <w:multiLevelType w:val="hybridMultilevel"/>
    <w:lvl w:ilvl="0">
      <w:lvlJc w:val="left"/>
      <w:lvlText w:val="Ɣ"/>
      <w:numFmt w:val="bullet"/>
      <w:start w:val="1"/>
    </w:lvl>
  </w:abstractNum>
  <w:abstractNum w:abstractNumId="32">
    <w:nsid w:val="7644A45C"/>
    <w:multiLevelType w:val="hybridMultilevel"/>
    <w:lvl w:ilvl="0">
      <w:lvlJc w:val="left"/>
      <w:lvlText w:val="Ɣ"/>
      <w:numFmt w:val="bullet"/>
      <w:start w:val="1"/>
    </w:lvl>
  </w:abstractNum>
  <w:abstractNum w:abstractNumId="33">
    <w:nsid w:val="32FFF902"/>
    <w:multiLevelType w:val="hybridMultilevel"/>
    <w:lvl w:ilvl="0">
      <w:lvlJc w:val="left"/>
      <w:lvlText w:val="Ɣ"/>
      <w:numFmt w:val="bullet"/>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Ɣ"/>
      <w:numFmt w:val="bullet"/>
      <w:start w:val="1"/>
    </w:lvl>
  </w:abstractNum>
  <w:abstractNum w:abstractNumId="36">
    <w:nsid w:val="749ABB43"/>
    <w:multiLevelType w:val="hybridMultilevel"/>
    <w:lvl w:ilvl="0">
      <w:lvlJc w:val="left"/>
      <w:lvlText w:val="Ɣ"/>
      <w:numFmt w:val="bullet"/>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decimal"/>
      <w:start w:val="2"/>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1)"/>
      <w:numFmt w:val="decimal"/>
      <w:start w:val="2"/>
    </w:lvl>
  </w:abstractNum>
  <w:abstractNum w:abstractNumId="43">
    <w:nsid w:val="520EEDD1"/>
    <w:multiLevelType w:val="hybridMultilevel"/>
    <w:lvl w:ilvl="0">
      <w:lvlJc w:val="left"/>
      <w:lvlText w:val="Ɣ"/>
      <w:numFmt w:val="bullet"/>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ց"/>
      <w:numFmt w:val="bullet"/>
      <w:start w:val="1"/>
    </w:lvl>
  </w:abstractNum>
  <w:abstractNum w:abstractNumId="47">
    <w:nsid w:val="649BB77C"/>
    <w:multiLevelType w:val="hybridMultilevel"/>
    <w:lvl w:ilvl="0">
      <w:lvlJc w:val="left"/>
      <w:lvlText w:val="տ"/>
      <w:numFmt w:val="bullet"/>
      <w:start w:val="1"/>
    </w:lvl>
  </w:abstractNum>
  <w:abstractNum w:abstractNumId="48">
    <w:nsid w:val="275AC794"/>
    <w:multiLevelType w:val="hybridMultilevel"/>
    <w:lvl w:ilvl="0">
      <w:lvlJc w:val="left"/>
      <w:lvlText w:val="Ɣ"/>
      <w:numFmt w:val="bullet"/>
      <w:start w:val="1"/>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1)"/>
      <w:numFmt w:val="lowerRoman"/>
      <w:start w:val="2"/>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Ɣ"/>
      <w:numFmt w:val="bullet"/>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Ɣ"/>
      <w:numFmt w:val="bullet"/>
      <w:start w:val="1"/>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Ɣ"/>
      <w:numFmt w:val="bullet"/>
      <w:start w:val="1"/>
    </w:lvl>
  </w:abstractNum>
  <w:abstractNum w:abstractNumId="58">
    <w:nsid w:val="10233C99"/>
    <w:multiLevelType w:val="hybridMultilevel"/>
    <w:lvl w:ilvl="0">
      <w:lvlJc w:val="left"/>
      <w:lvlText w:val="Ɣ"/>
      <w:numFmt w:val="bullet"/>
      <w:start w:val="1"/>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Ɣ"/>
      <w:numFmt w:val="bullet"/>
      <w:start w:val="1"/>
    </w:lvl>
  </w:abstractNum>
  <w:abstractNum w:abstractNumId="61">
    <w:nsid w:val="7E0C57B1"/>
    <w:multiLevelType w:val="hybridMultilevel"/>
    <w:lvl w:ilvl="0">
      <w:lvlJc w:val="left"/>
      <w:lvlText w:val="*"/>
      <w:numFmt w:val="bullet"/>
      <w:start w:val="1"/>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2023-10-27T18:17:31Z</dcterms:created>
  <dcterms:modified xsi:type="dcterms:W3CDTF">2023-10-27T18:17:31Z</dcterms:modified>
</cp:coreProperties>
</file>