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30"/>
              <w:spacing w:after="0"/>
              <w:rPr>
                <w:sz w:val="20"/>
                <w:szCs w:val="20"/>
                <w:color w:val="auto"/>
              </w:rPr>
            </w:pPr>
            <w:r>
              <w:rPr>
                <w:rFonts w:ascii="Arial" w:cs="Arial" w:eastAsia="Arial" w:hAnsi="Arial"/>
                <w:sz w:val="18"/>
                <w:szCs w:val="18"/>
                <w:color w:val="auto"/>
                <w:w w:val="96"/>
              </w:rPr>
              <w:t>SKADDEN, ARPS, SLATE, MEAGHER &amp; FLOM LLP</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7"/>
              </w:rPr>
              <w:t>ONE MANHATTAN WEST</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5"/>
              </w:rPr>
              <w:t>NEW YORK, NY 10001</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9"/>
              </w:rPr>
              <w:t>FIRM/AFFILIATE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2"/>
              </w:rPr>
              <w:t>OFFICES</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3"/>
              </w:rPr>
              <w:t>TEL: (212) 735-3000</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4"/>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2"/>
              </w:rPr>
              <w:t>FAX: (212) 735-2000</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0"/>
              </w:rPr>
              <w:t>www.skadden.com</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3"/>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5"/>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5"/>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WASHINGTON, D.C.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rPr>
              <w:t>WILMINGTON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7"/>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1"/>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September 14, 2022</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HONG KONG</w:t>
            </w:r>
          </w:p>
        </w:tc>
        <w:tc>
          <w:tcPr>
            <w:tcW w:w="0" w:type="dxa"/>
            <w:vAlign w:val="bottom"/>
          </w:tcPr>
          <w:p>
            <w:pPr>
              <w:spacing w:after="0"/>
              <w:rPr>
                <w:sz w:val="1"/>
                <w:szCs w:val="1"/>
                <w:color w:val="auto"/>
              </w:rPr>
            </w:pPr>
          </w:p>
        </w:tc>
      </w:tr>
      <w:tr>
        <w:trPr>
          <w:trHeight w:val="216"/>
        </w:trPr>
        <w:tc>
          <w:tcPr>
            <w:tcW w:w="8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VIA EDGAR</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8"/>
              </w:rPr>
              <w:t>LONDON</w:t>
            </w:r>
          </w:p>
        </w:tc>
        <w:tc>
          <w:tcPr>
            <w:tcW w:w="0" w:type="dxa"/>
            <w:vAlign w:val="bottom"/>
          </w:tcPr>
          <w:p>
            <w:pPr>
              <w:spacing w:after="0"/>
              <w:rPr>
                <w:sz w:val="1"/>
                <w:szCs w:val="1"/>
                <w:color w:val="auto"/>
              </w:rPr>
            </w:pPr>
          </w:p>
        </w:tc>
      </w:tr>
      <w:tr>
        <w:trPr>
          <w:trHeight w:val="190"/>
        </w:trPr>
        <w:tc>
          <w:tcPr>
            <w:tcW w:w="8160" w:type="dxa"/>
            <w:vAlign w:val="bottom"/>
            <w:gridSpan w:val="3"/>
            <w:vMerge w:val="continue"/>
          </w:tcPr>
          <w:p>
            <w:pPr>
              <w:spacing w:after="0"/>
              <w:rPr>
                <w:sz w:val="16"/>
                <w:szCs w:val="16"/>
                <w:color w:val="auto"/>
              </w:rPr>
            </w:pPr>
          </w:p>
        </w:tc>
        <w:tc>
          <w:tcPr>
            <w:tcW w:w="2220" w:type="dxa"/>
            <w:vAlign w:val="bottom"/>
          </w:tcPr>
          <w:p>
            <w:pPr>
              <w:jc w:val="center"/>
              <w:ind w:left="490"/>
              <w:spacing w:after="0" w:line="190" w:lineRule="exact"/>
              <w:rPr>
                <w:sz w:val="20"/>
                <w:szCs w:val="20"/>
                <w:color w:val="auto"/>
              </w:rPr>
            </w:pPr>
            <w:r>
              <w:rPr>
                <w:rFonts w:ascii="Arial" w:cs="Arial" w:eastAsia="Arial" w:hAnsi="Arial"/>
                <w:sz w:val="18"/>
                <w:szCs w:val="18"/>
                <w:color w:val="auto"/>
                <w:w w:val="99"/>
              </w:rPr>
              <w:t>MUNICH</w:t>
            </w:r>
          </w:p>
        </w:tc>
        <w:tc>
          <w:tcPr>
            <w:tcW w:w="0" w:type="dxa"/>
            <w:vAlign w:val="bottom"/>
          </w:tcPr>
          <w:p>
            <w:pPr>
              <w:spacing w:after="0"/>
              <w:rPr>
                <w:sz w:val="1"/>
                <w:szCs w:val="1"/>
                <w:color w:val="auto"/>
              </w:rPr>
            </w:pPr>
          </w:p>
        </w:tc>
      </w:tr>
      <w:tr>
        <w:trPr>
          <w:trHeight w:val="222"/>
        </w:trPr>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120" w:type="dxa"/>
            <w:vAlign w:val="bottom"/>
          </w:tcPr>
          <w:p>
            <w:pPr>
              <w:spacing w:after="0"/>
              <w:rPr>
                <w:sz w:val="19"/>
                <w:szCs w:val="19"/>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88"/>
              </w:rPr>
              <w:t>PARIS</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4"/>
              </w:rPr>
              <w:t>SEOUL</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Office of Manufacturing</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9"/>
              </w:rPr>
              <w:t>SHANGHAI</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3"/>
              </w:rPr>
              <w:t>SINGAPORE</w:t>
            </w: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Attn:</w:t>
            </w: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Heather Clark</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Anne McConnell</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Bradley Ecker</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Sherry Haywood</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Chardan NexTech Acquisition 2 Corp.</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Amendment No. 2 to Registration Statement on Form S-4</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Filed September 13, 2022</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CIK No. 0001847986</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Mesdames Haywood, Clark and McConnell and Mr. Ecker:</w:t>
      </w:r>
    </w:p>
    <w:p>
      <w:pPr>
        <w:spacing w:after="0" w:line="225"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color w:val="auto"/>
        </w:rPr>
        <w:t>On behalf of our client,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contained in the Staff’s letter dated September 14, 2022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with respect to the Company’s supplemental response dated September 13, 2022 (the “</w:t>
      </w:r>
      <w:r>
        <w:rPr>
          <w:rFonts w:ascii="Arial" w:cs="Arial" w:eastAsia="Arial" w:hAnsi="Arial"/>
          <w:sz w:val="17"/>
          <w:szCs w:val="17"/>
          <w:b w:val="1"/>
          <w:bCs w:val="1"/>
          <w:i w:val="1"/>
          <w:iCs w:val="1"/>
          <w:color w:val="auto"/>
        </w:rPr>
        <w:t>Prior Response Letter</w:t>
      </w:r>
      <w:r>
        <w:rPr>
          <w:rFonts w:ascii="Arial" w:cs="Arial" w:eastAsia="Arial" w:hAnsi="Arial"/>
          <w:sz w:val="17"/>
          <w:szCs w:val="17"/>
          <w:color w:val="auto"/>
        </w:rPr>
        <w:t>”), each relating to the above-referenced registration statement on Form S-4 filed on July 22, 2022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as amended by Amendment No. 3 to the Registration Statement on Form S-4 (the “</w:t>
      </w:r>
      <w:r>
        <w:rPr>
          <w:rFonts w:ascii="Arial" w:cs="Arial" w:eastAsia="Arial" w:hAnsi="Arial"/>
          <w:sz w:val="17"/>
          <w:szCs w:val="17"/>
          <w:b w:val="1"/>
          <w:bCs w:val="1"/>
          <w:i w:val="1"/>
          <w:iCs w:val="1"/>
          <w:color w:val="auto"/>
        </w:rPr>
        <w:t>Amendment No. 3</w:t>
      </w:r>
      <w:r>
        <w:rPr>
          <w:rFonts w:ascii="Arial" w:cs="Arial" w:eastAsia="Arial" w:hAnsi="Arial"/>
          <w:sz w:val="17"/>
          <w:szCs w:val="17"/>
          <w:color w:val="auto"/>
        </w:rPr>
        <w:t>”).</w:t>
      </w:r>
    </w:p>
    <w:p>
      <w:pPr>
        <w:spacing w:after="0" w:line="176"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publicly filed via EDGAR Amendment No. 4 to its Registration Statement on Form S-4 (the “</w:t>
      </w:r>
      <w:r>
        <w:rPr>
          <w:rFonts w:ascii="Arial" w:cs="Arial" w:eastAsia="Arial" w:hAnsi="Arial"/>
          <w:sz w:val="18"/>
          <w:szCs w:val="18"/>
          <w:b w:val="1"/>
          <w:bCs w:val="1"/>
          <w:i w:val="1"/>
          <w:iCs w:val="1"/>
          <w:color w:val="auto"/>
        </w:rPr>
        <w:t>Amendment No. 4</w:t>
      </w:r>
      <w:r>
        <w:rPr>
          <w:rFonts w:ascii="Arial" w:cs="Arial" w:eastAsia="Arial" w:hAnsi="Arial"/>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Capitalized terms used but not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1" w:lineRule="exact"/>
        <w:rPr>
          <w:sz w:val="20"/>
          <w:szCs w:val="20"/>
          <w:color w:val="auto"/>
        </w:rPr>
      </w:pPr>
    </w:p>
    <w:p>
      <w:pPr>
        <w:ind w:left="130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6. Please provide an active hyperlink directly to the current Exhibit 10.5. Refer to Item 601(a)(2) of Regulation S-K.</w:t>
      </w:r>
    </w:p>
    <w:p>
      <w:pPr>
        <w:spacing w:after="0" w:line="16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acknowledge the Staff’s comment. We have revised the hyperlink to link directly to the current Exhibit 10.5.</w:t>
      </w:r>
    </w:p>
    <w:p>
      <w:pPr>
        <w:spacing w:after="0" w:line="248" w:lineRule="exact"/>
        <w:rPr>
          <w:rFonts w:ascii="Arial" w:cs="Arial" w:eastAsia="Arial" w:hAnsi="Arial"/>
          <w:sz w:val="18"/>
          <w:szCs w:val="18"/>
          <w:b w:val="1"/>
          <w:bCs w:val="1"/>
          <w:color w:val="auto"/>
        </w:rPr>
      </w:pPr>
    </w:p>
    <w:p>
      <w:pPr>
        <w:ind w:left="544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Please address correspondence to Skadden, Arps, Slate, Meagher &amp; Flom LLP and do not hesitate to contact Jeff Brill at (212) 735-2587 or jeffrey.brill@skadden.com, or Peter Serating at (212) 735-2286 or peter.serating@skadden.com of Skadden, Arps, Slate, Meagher &amp; Flom LLP with any questions or comments regarding this letter.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cc:Jonas Grossman, Chardan NexTech Acquisition 2 Corp.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Denis Phares, Dragonfly Energy Corp.</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2022-10-24T00:14:59Z</dcterms:created>
  <dcterms:modified xsi:type="dcterms:W3CDTF">2022-10-24T00:14:59Z</dcterms:modified>
</cp:coreProperties>
</file>