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both"/>
        <w:ind w:left="6220" w:hanging="1570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Filed by Chardan NexTech Acquisition 2 Corp. pursuant to Rule 425 under the Securities Act of 1933 and deemed filed pursuant to Rule 14a-12 under the Securities Exchange Act of 1934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Subject Company: Chardan NexTech Acquisition 2 Corp.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149860</wp:posOffset>
            </wp:positionV>
            <wp:extent cx="7132320" cy="6875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6875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120"/>
      </w:cols>
      <w:pgMar w:left="1440" w:top="463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2022-05-17T05:16:46Z</dcterms:created>
  <dcterms:modified xsi:type="dcterms:W3CDTF">2022-05-17T05:16:46Z</dcterms:modified>
</cp:coreProperties>
</file>