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color w:val="auto"/>
        </w:rPr>
        <w:t>Chardan Announces Launch of ChEF (Chardan Equity Facility)</w:t>
      </w:r>
    </w:p>
    <w:p>
      <w:pPr>
        <w:spacing w:after="0" w:line="24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August 31, 2022 /PRNewswire/ -- Chardan, a global investment bank, has announced the launch of its Chardan Equity Facility (ChEF) product, an innovative financing solution used to support the unique needs of its clients. The ChEF enables companies to raise equity on a periodic basis after becoming public, outside the context of a traditional underwritten follow-on offering.</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Companies that have recently announced ChEFs include Senti Biosciences, Inc. (Nasdaq: SNTI), a synthetic biology platform company that has entered into a $50 million ChEF, and Dragonfly Energy (Nasdaq: CNTQ), an energy-storage solutions company, which has announced an agreement to enter into a $150 million ChEF.</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ChEF is ideal for newly public or soon-to-be public companies (i.e., de-SPACs) currently facing a challenging and uncertain capital markets environment who want the flexibility to raise capital quickly and efficiently. Chardan’s transactional expertise and success raising billions of dollars for innovators worldwide over the past two decades enables us to be an ideal partner with the ChEF," said Jonas Grossman, Chardan’s President and Managing Partner.</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recently announced ChEFs further demonstrate Chardan's commitment to creative solutions for companies seeking access to capital. Since 2002, Chardan has raised more than $30 billion for companies, including nearly $10 billion for healthcare companies. Additionally, Chardan is a leading sponsor, underwriter and adviser of SPAC transactions, having advised or underwritten nearly 150 SPAC transactions.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Chardan is an independent global investment bank specializing in healthcare, disruptive technologies, and SPACs. Our range of services include capital raising, merger and acquisition advisory, strategic advisory, equity research, corporate access, and institutional trading. Headquartered in New York City, Chardan is a registered broker-dealer with the U.S. Securities and Exchange Commission and is a member of the following: FINRA, SIPC, NASDAQ and the NYSE Arca, Inc.</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Chardan at </w:t>
      </w:r>
      <w:r>
        <w:rPr>
          <w:rFonts w:ascii="Times New Roman" w:cs="Times New Roman" w:eastAsia="Times New Roman" w:hAnsi="Times New Roman"/>
          <w:sz w:val="18"/>
          <w:szCs w:val="18"/>
          <w:u w:val="single" w:color="auto"/>
          <w:color w:val="auto"/>
        </w:rPr>
        <w:t>www.chardan.com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Levine, Chardan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elevine@chardan.com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465-9018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Margaret Gaenzle, Prosek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mgaenzle@prosek.com</w:t>
      </w:r>
    </w:p>
    <w:p>
      <w:pPr>
        <w:spacing w:after="0" w:line="9" w:lineRule="exact"/>
        <w:rPr>
          <w:sz w:val="20"/>
          <w:szCs w:val="20"/>
          <w:color w:val="auto"/>
        </w:rPr>
      </w:pPr>
    </w:p>
    <w:p>
      <w:pPr>
        <w:ind w:right="9860" w:firstLine="8"/>
        <w:spacing w:after="0" w:line="511" w:lineRule="auto"/>
        <w:tabs>
          <w:tab w:leader="none" w:pos="4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714-8848 SOURCE 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2022-09-01T12:48:35Z</dcterms:created>
  <dcterms:modified xsi:type="dcterms:W3CDTF">2022-09-01T12:48:35Z</dcterms:modified>
</cp:coreProperties>
</file>