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-186690</wp:posOffset>
            </wp:positionV>
            <wp:extent cx="22885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-128270</wp:posOffset>
            </wp:positionV>
            <wp:extent cx="22885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Dragonfly Energy Holdings Corp.</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(Name of Issuer)</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26145B 106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(CUSIP Number)</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Jeffrey A. Brill</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Peter D. Serating</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Skadden, Arps, Slate, Meagher &amp; Flom LLP</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One Manhattan West</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New York, New York 10001</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Tel.: (212) 735-3000</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(Name, Address and Telephone Number of Person Authorized to Receive Notices and Communications)</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December 28,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12"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17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8"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25"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26145B 106</w:t>
      </w:r>
    </w:p>
    <w:p>
      <w:pPr>
        <w:spacing w:after="0" w:line="200" w:lineRule="exact"/>
        <w:rPr>
          <w:sz w:val="20"/>
          <w:szCs w:val="20"/>
          <w:color w:val="auto"/>
        </w:rPr>
      </w:pPr>
    </w:p>
    <w:p>
      <w:pPr>
        <w:spacing w:after="0" w:line="254" w:lineRule="exact"/>
        <w:rPr>
          <w:sz w:val="20"/>
          <w:szCs w:val="20"/>
          <w:color w:val="auto"/>
        </w:rPr>
      </w:pPr>
    </w:p>
    <w:p>
      <w:pPr>
        <w:ind w:left="1500" w:hanging="826"/>
        <w:spacing w:after="0"/>
        <w:tabs>
          <w:tab w:leader="none" w:pos="15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6026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26150"/>
                    </a:xfrm>
                    <a:prstGeom prst="rect">
                      <a:avLst/>
                    </a:prstGeom>
                    <a:noFill/>
                  </pic:spPr>
                </pic:pic>
              </a:graphicData>
            </a:graphic>
          </wp:anchor>
        </w:drawing>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b w:val="1"/>
          <w:bCs w:val="1"/>
          <w:color w:val="auto"/>
        </w:rPr>
        <w:t>Chardan NexTech Investments 2 LLC</w:t>
      </w:r>
    </w:p>
    <w:p>
      <w:pPr>
        <w:spacing w:after="0" w:line="32" w:lineRule="exact"/>
        <w:rPr>
          <w:sz w:val="20"/>
          <w:szCs w:val="20"/>
          <w:color w:val="auto"/>
        </w:rPr>
      </w:pPr>
    </w:p>
    <w:p>
      <w:pPr>
        <w:ind w:left="1500" w:hanging="826"/>
        <w:spacing w:after="0"/>
        <w:tabs>
          <w:tab w:leader="none" w:pos="15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w:t>
      </w:r>
    </w:p>
    <w:p>
      <w:pPr>
        <w:spacing w:after="0" w:line="13" w:lineRule="exact"/>
        <w:rPr>
          <w:rFonts w:ascii="Times New Roman" w:cs="Times New Roman" w:eastAsia="Times New Roman" w:hAnsi="Times New Roman"/>
          <w:sz w:val="20"/>
          <w:szCs w:val="20"/>
          <w:color w:val="auto"/>
        </w:rPr>
      </w:pPr>
    </w:p>
    <w:p>
      <w:pPr>
        <w:ind w:left="1760" w:hanging="267"/>
        <w:spacing w:after="0" w:line="230" w:lineRule="exact"/>
        <w:tabs>
          <w:tab w:leader="none" w:pos="1760" w:val="left"/>
        </w:tabs>
        <w:numPr>
          <w:ilvl w:val="1"/>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9" w:lineRule="exact"/>
        <w:rPr>
          <w:rFonts w:ascii="Times New Roman" w:cs="Times New Roman" w:eastAsia="Times New Roman" w:hAnsi="Times New Roman"/>
          <w:sz w:val="20"/>
          <w:szCs w:val="20"/>
          <w:color w:val="auto"/>
        </w:rPr>
      </w:pPr>
    </w:p>
    <w:p>
      <w:pPr>
        <w:ind w:left="1780" w:hanging="287"/>
        <w:spacing w:after="0" w:line="230" w:lineRule="exact"/>
        <w:tabs>
          <w:tab w:leader="none" w:pos="1780" w:val="left"/>
        </w:tabs>
        <w:numPr>
          <w:ilvl w:val="1"/>
          <w:numId w:val="3"/>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3" w:lineRule="exact"/>
        <w:rPr>
          <w:sz w:val="20"/>
          <w:szCs w:val="20"/>
          <w:color w:val="auto"/>
        </w:rPr>
      </w:pPr>
    </w:p>
    <w:p>
      <w:pPr>
        <w:ind w:left="1500" w:hanging="826"/>
        <w:spacing w:after="0"/>
        <w:tabs>
          <w:tab w:leader="none" w:pos="15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7" w:lineRule="exact"/>
        <w:rPr>
          <w:sz w:val="20"/>
          <w:szCs w:val="20"/>
          <w:color w:val="auto"/>
        </w:rPr>
      </w:pPr>
    </w:p>
    <w:p>
      <w:pPr>
        <w:ind w:left="1500" w:hanging="826"/>
        <w:spacing w:after="0"/>
        <w:tabs>
          <w:tab w:leader="none" w:pos="15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31" w:lineRule="exact"/>
        <w:rPr>
          <w:sz w:val="20"/>
          <w:szCs w:val="20"/>
          <w:color w:val="auto"/>
        </w:rPr>
      </w:pPr>
    </w:p>
    <w:p>
      <w:pPr>
        <w:ind w:left="1500" w:hanging="826"/>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181" w:lineRule="exact"/>
        <w:rPr>
          <w:sz w:val="20"/>
          <w:szCs w:val="20"/>
          <w:color w:val="auto"/>
        </w:rPr>
      </w:pPr>
    </w:p>
    <w:p>
      <w:pPr>
        <w:ind w:left="1500"/>
        <w:spacing w:after="0" w:line="221" w:lineRule="exact"/>
        <w:rPr>
          <w:sz w:val="20"/>
          <w:szCs w:val="20"/>
          <w:color w:val="auto"/>
        </w:rPr>
      </w:pPr>
      <w:r>
        <w:rPr>
          <w:rFonts w:ascii="MS PGothic" w:cs="MS PGothic" w:eastAsia="MS PGothic" w:hAnsi="MS PGothic"/>
          <w:sz w:val="22"/>
          <w:szCs w:val="22"/>
          <w:color w:val="auto"/>
        </w:rPr>
        <w:t>☐</w:t>
      </w:r>
    </w:p>
    <w:p>
      <w:pPr>
        <w:spacing w:after="0" w:line="97" w:lineRule="exact"/>
        <w:rPr>
          <w:sz w:val="20"/>
          <w:szCs w:val="20"/>
          <w:color w:val="auto"/>
        </w:rPr>
      </w:pPr>
    </w:p>
    <w:p>
      <w:pPr>
        <w:ind w:left="1500" w:hanging="826"/>
        <w:spacing w:after="0"/>
        <w:tabs>
          <w:tab w:leader="none" w:pos="15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189"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Delaware</w:t>
      </w:r>
    </w:p>
    <w:p>
      <w:pPr>
        <w:spacing w:after="0" w:line="32" w:lineRule="exact"/>
        <w:rPr>
          <w:rFonts w:ascii="Times New Roman" w:cs="Times New Roman" w:eastAsia="Times New Roman" w:hAnsi="Times New Roman"/>
          <w:sz w:val="20"/>
          <w:szCs w:val="20"/>
          <w:color w:val="auto"/>
        </w:rPr>
      </w:pPr>
    </w:p>
    <w:p>
      <w:pPr>
        <w:ind w:left="3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9"/>
          <w:szCs w:val="19"/>
          <w:color w:val="auto"/>
        </w:rPr>
        <w:t>SOLE VOTING POWER</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8"/>
              </w:rPr>
              <w:t>NUMBER OF</w:t>
            </w:r>
          </w:p>
        </w:tc>
        <w:tc>
          <w:tcPr>
            <w:tcW w:w="96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79"/>
              </w:rPr>
              <w:t>8</w:t>
            </w: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9"/>
              </w:rPr>
              <w:t>SHARES</w:t>
            </w:r>
          </w:p>
        </w:tc>
        <w:tc>
          <w:tcPr>
            <w:tcW w:w="960" w:type="dxa"/>
            <w:vAlign w:val="bottom"/>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7"/>
              </w:rPr>
              <w:t>BENEFICIALLY</w:t>
            </w:r>
          </w:p>
        </w:tc>
        <w:tc>
          <w:tcPr>
            <w:tcW w:w="960" w:type="dxa"/>
            <w:vAlign w:val="bottom"/>
          </w:tcPr>
          <w:p>
            <w:pPr>
              <w:spacing w:after="0"/>
              <w:rPr>
                <w:sz w:val="19"/>
                <w:szCs w:val="19"/>
                <w:color w:val="auto"/>
              </w:rPr>
            </w:pP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3,030,500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7"/>
              </w:rPr>
              <w:t>OWNED BY</w:t>
            </w:r>
          </w:p>
        </w:tc>
        <w:tc>
          <w:tcPr>
            <w:tcW w:w="9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79"/>
              </w:rPr>
              <w:t>9</w:t>
            </w: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6"/>
              </w:rPr>
              <w:t>EACH</w:t>
            </w:r>
          </w:p>
        </w:tc>
        <w:tc>
          <w:tcPr>
            <w:tcW w:w="960" w:type="dxa"/>
            <w:vAlign w:val="bottom"/>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9"/>
              </w:rPr>
              <w:t>REPORTING</w:t>
            </w:r>
          </w:p>
        </w:tc>
        <w:tc>
          <w:tcPr>
            <w:tcW w:w="960" w:type="dxa"/>
            <w:vAlign w:val="bottom"/>
          </w:tcPr>
          <w:p>
            <w:pPr>
              <w:spacing w:after="0"/>
              <w:rPr>
                <w:sz w:val="19"/>
                <w:szCs w:val="19"/>
                <w:color w:val="auto"/>
              </w:rPr>
            </w:pP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8"/>
              </w:rPr>
              <w:t>PERSON WITH</w:t>
            </w:r>
          </w:p>
        </w:tc>
        <w:tc>
          <w:tcPr>
            <w:tcW w:w="9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20" w:type="dxa"/>
            <w:vAlign w:val="bottom"/>
            <w:vMerge w:val="continue"/>
          </w:tcPr>
          <w:p>
            <w:pPr>
              <w:spacing w:after="0"/>
              <w:rPr>
                <w:sz w:val="9"/>
                <w:szCs w:val="9"/>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99"/>
              </w:rPr>
              <w:t>10</w:t>
            </w: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3,030,500</w:t>
      </w:r>
    </w:p>
    <w:p>
      <w:pPr>
        <w:spacing w:after="0" w:line="32" w:lineRule="exact"/>
        <w:rPr>
          <w:sz w:val="20"/>
          <w:szCs w:val="20"/>
          <w:color w:val="auto"/>
        </w:rPr>
      </w:pPr>
    </w:p>
    <w:p>
      <w:pPr>
        <w:ind w:left="1500" w:hanging="872"/>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196"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3,030,500</w:t>
      </w:r>
    </w:p>
    <w:p>
      <w:pPr>
        <w:spacing w:after="0" w:line="32" w:lineRule="exact"/>
        <w:rPr>
          <w:rFonts w:ascii="Times New Roman" w:cs="Times New Roman" w:eastAsia="Times New Roman" w:hAnsi="Times New Roman"/>
          <w:sz w:val="20"/>
          <w:szCs w:val="20"/>
          <w:color w:val="auto"/>
        </w:rPr>
      </w:pPr>
    </w:p>
    <w:p>
      <w:pPr>
        <w:ind w:left="1500" w:hanging="875"/>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75" w:lineRule="exact"/>
        <w:rPr>
          <w:rFonts w:ascii="Times New Roman" w:cs="Times New Roman" w:eastAsia="Times New Roman" w:hAnsi="Times New Roman"/>
          <w:sz w:val="20"/>
          <w:szCs w:val="20"/>
          <w:color w:val="auto"/>
        </w:rPr>
      </w:pPr>
    </w:p>
    <w:p>
      <w:pPr>
        <w:ind w:left="1500"/>
        <w:spacing w:after="0" w:line="221" w:lineRule="exact"/>
        <w:rPr>
          <w:rFonts w:ascii="Times New Roman" w:cs="Times New Roman" w:eastAsia="Times New Roman" w:hAnsi="Times New Roman"/>
          <w:sz w:val="20"/>
          <w:szCs w:val="20"/>
          <w:color w:val="auto"/>
        </w:rPr>
      </w:pPr>
      <w:r>
        <w:rPr>
          <w:rFonts w:ascii="MS PGothic" w:cs="MS PGothic" w:eastAsia="MS PGothic" w:hAnsi="MS PGothic"/>
          <w:sz w:val="22"/>
          <w:szCs w:val="22"/>
          <w:color w:val="auto"/>
        </w:rPr>
        <w:t>☐</w:t>
      </w:r>
    </w:p>
    <w:p>
      <w:pPr>
        <w:spacing w:after="0" w:line="97" w:lineRule="exact"/>
        <w:rPr>
          <w:rFonts w:ascii="Times New Roman" w:cs="Times New Roman" w:eastAsia="Times New Roman" w:hAnsi="Times New Roman"/>
          <w:sz w:val="20"/>
          <w:szCs w:val="20"/>
          <w:color w:val="auto"/>
        </w:rPr>
      </w:pPr>
    </w:p>
    <w:p>
      <w:pPr>
        <w:ind w:left="1500" w:hanging="875"/>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189"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6.8%</w:t>
      </w:r>
    </w:p>
    <w:p>
      <w:pPr>
        <w:spacing w:after="0" w:line="32" w:lineRule="exact"/>
        <w:rPr>
          <w:rFonts w:ascii="Times New Roman" w:cs="Times New Roman" w:eastAsia="Times New Roman" w:hAnsi="Times New Roman"/>
          <w:sz w:val="20"/>
          <w:szCs w:val="20"/>
          <w:color w:val="auto"/>
        </w:rPr>
      </w:pPr>
    </w:p>
    <w:p>
      <w:pPr>
        <w:ind w:left="1500" w:hanging="875"/>
        <w:spacing w:after="0"/>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04"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940" w:hanging="826"/>
        <w:spacing w:after="0"/>
        <w:tabs>
          <w:tab w:leader="none" w:pos="9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-139700</wp:posOffset>
            </wp:positionV>
            <wp:extent cx="7132320" cy="6026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26150"/>
                    </a:xfrm>
                    <a:prstGeom prst="rect">
                      <a:avLst/>
                    </a:prstGeom>
                    <a:noFill/>
                  </pic:spPr>
                </pic:pic>
              </a:graphicData>
            </a:graphic>
          </wp:anchor>
        </w:drawing>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b w:val="1"/>
          <w:bCs w:val="1"/>
          <w:color w:val="auto"/>
        </w:rPr>
        <w:t>Jonas Grossman</w:t>
      </w:r>
    </w:p>
    <w:p>
      <w:pPr>
        <w:spacing w:after="0" w:line="32" w:lineRule="exact"/>
        <w:rPr>
          <w:sz w:val="20"/>
          <w:szCs w:val="20"/>
          <w:color w:val="auto"/>
        </w:rPr>
      </w:pPr>
    </w:p>
    <w:p>
      <w:pPr>
        <w:ind w:left="940" w:hanging="826"/>
        <w:spacing w:after="0"/>
        <w:tabs>
          <w:tab w:leader="none" w:pos="9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w:t>
      </w:r>
    </w:p>
    <w:p>
      <w:pPr>
        <w:spacing w:after="0" w:line="13" w:lineRule="exact"/>
        <w:rPr>
          <w:rFonts w:ascii="Times New Roman" w:cs="Times New Roman" w:eastAsia="Times New Roman" w:hAnsi="Times New Roman"/>
          <w:sz w:val="20"/>
          <w:szCs w:val="20"/>
          <w:color w:val="auto"/>
        </w:rPr>
      </w:pPr>
    </w:p>
    <w:p>
      <w:pPr>
        <w:ind w:left="1200" w:hanging="267"/>
        <w:spacing w:after="0" w:line="230" w:lineRule="exact"/>
        <w:tabs>
          <w:tab w:leader="none" w:pos="1200" w:val="left"/>
        </w:tabs>
        <w:numPr>
          <w:ilvl w:val="1"/>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9" w:lineRule="exact"/>
        <w:rPr>
          <w:rFonts w:ascii="Times New Roman" w:cs="Times New Roman" w:eastAsia="Times New Roman" w:hAnsi="Times New Roman"/>
          <w:sz w:val="20"/>
          <w:szCs w:val="20"/>
          <w:color w:val="auto"/>
        </w:rPr>
      </w:pPr>
    </w:p>
    <w:p>
      <w:pPr>
        <w:ind w:left="1220" w:hanging="287"/>
        <w:spacing w:after="0" w:line="230" w:lineRule="exact"/>
        <w:tabs>
          <w:tab w:leader="none" w:pos="1220" w:val="left"/>
        </w:tabs>
        <w:numPr>
          <w:ilvl w:val="1"/>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p>
    <w:p>
      <w:pPr>
        <w:spacing w:after="0" w:line="13" w:lineRule="exact"/>
        <w:rPr>
          <w:sz w:val="20"/>
          <w:szCs w:val="20"/>
          <w:color w:val="auto"/>
        </w:rPr>
      </w:pPr>
    </w:p>
    <w:p>
      <w:pPr>
        <w:ind w:left="940" w:hanging="826"/>
        <w:spacing w:after="0"/>
        <w:tabs>
          <w:tab w:leader="none" w:pos="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7" w:lineRule="exact"/>
        <w:rPr>
          <w:sz w:val="20"/>
          <w:szCs w:val="20"/>
          <w:color w:val="auto"/>
        </w:rPr>
      </w:pPr>
    </w:p>
    <w:p>
      <w:pPr>
        <w:ind w:left="940" w:hanging="826"/>
        <w:spacing w:after="0"/>
        <w:tabs>
          <w:tab w:leader="none" w:pos="9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SOURCE OF FUNDS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31" w:lineRule="exact"/>
        <w:rPr>
          <w:sz w:val="20"/>
          <w:szCs w:val="20"/>
          <w:color w:val="auto"/>
        </w:rPr>
      </w:pPr>
    </w:p>
    <w:p>
      <w:pPr>
        <w:ind w:left="940" w:hanging="826"/>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DISCLOSURE OF LEGAL PROCEEDINGS IS REQUIRED PURSUANT TO ITEMS 2(d) or 2(e)</w:t>
      </w:r>
    </w:p>
    <w:p>
      <w:pPr>
        <w:spacing w:after="0" w:line="181" w:lineRule="exact"/>
        <w:rPr>
          <w:sz w:val="20"/>
          <w:szCs w:val="20"/>
          <w:color w:val="auto"/>
        </w:rPr>
      </w:pPr>
    </w:p>
    <w:p>
      <w:pPr>
        <w:ind w:left="940"/>
        <w:spacing w:after="0" w:line="221" w:lineRule="exact"/>
        <w:rPr>
          <w:sz w:val="20"/>
          <w:szCs w:val="20"/>
          <w:color w:val="auto"/>
        </w:rPr>
      </w:pPr>
      <w:r>
        <w:rPr>
          <w:rFonts w:ascii="MS PGothic" w:cs="MS PGothic" w:eastAsia="MS PGothic" w:hAnsi="MS PGothic"/>
          <w:sz w:val="22"/>
          <w:szCs w:val="22"/>
          <w:color w:val="auto"/>
        </w:rPr>
        <w:t>☐</w:t>
      </w:r>
    </w:p>
    <w:p>
      <w:pPr>
        <w:spacing w:after="0" w:line="97" w:lineRule="exact"/>
        <w:rPr>
          <w:sz w:val="20"/>
          <w:szCs w:val="20"/>
          <w:color w:val="auto"/>
        </w:rPr>
      </w:pPr>
    </w:p>
    <w:p>
      <w:pPr>
        <w:ind w:left="940" w:hanging="826"/>
        <w:spacing w:after="0"/>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w:t>
      </w:r>
    </w:p>
    <w:p>
      <w:pPr>
        <w:spacing w:after="0" w:line="189"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rFonts w:ascii="Times New Roman" w:cs="Times New Roman" w:eastAsia="Times New Roman" w:hAnsi="Times New Roman"/>
          <w:sz w:val="20"/>
          <w:szCs w:val="20"/>
          <w:color w:val="auto"/>
        </w:rPr>
      </w:pPr>
    </w:p>
    <w:p>
      <w:pPr>
        <w:ind w:left="2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7</w:t>
      </w:r>
      <w:r>
        <w:rPr>
          <w:rFonts w:ascii="Times New Roman" w:cs="Times New Roman" w:eastAsia="Times New Roman" w:hAnsi="Times New Roman"/>
          <w:sz w:val="19"/>
          <w:szCs w:val="19"/>
          <w:color w:val="auto"/>
        </w:rPr>
        <w:t>SOLE VOTING POWER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8"/>
              </w:rPr>
              <w:t>NUMBER OF</w:t>
            </w:r>
          </w:p>
        </w:tc>
        <w:tc>
          <w:tcPr>
            <w:tcW w:w="96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79"/>
              </w:rPr>
              <w:t>8</w:t>
            </w: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9"/>
              </w:rPr>
              <w:t>SHARES</w:t>
            </w:r>
          </w:p>
        </w:tc>
        <w:tc>
          <w:tcPr>
            <w:tcW w:w="960" w:type="dxa"/>
            <w:vAlign w:val="bottom"/>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20" w:type="dxa"/>
            <w:vAlign w:val="bottom"/>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7"/>
              </w:rPr>
              <w:t>BENEFICIALLY</w:t>
            </w:r>
          </w:p>
        </w:tc>
        <w:tc>
          <w:tcPr>
            <w:tcW w:w="960" w:type="dxa"/>
            <w:vAlign w:val="bottom"/>
          </w:tcPr>
          <w:p>
            <w:pPr>
              <w:spacing w:after="0"/>
              <w:rPr>
                <w:sz w:val="19"/>
                <w:szCs w:val="19"/>
                <w:color w:val="auto"/>
              </w:rPr>
            </w:pP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3,335,586</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7"/>
              </w:rPr>
              <w:t>OWNED BY</w:t>
            </w:r>
          </w:p>
        </w:tc>
        <w:tc>
          <w:tcPr>
            <w:tcW w:w="9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79"/>
              </w:rPr>
              <w:t>9</w:t>
            </w: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77"/>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6"/>
              </w:rPr>
              <w:t>EACH</w:t>
            </w:r>
          </w:p>
        </w:tc>
        <w:tc>
          <w:tcPr>
            <w:tcW w:w="960" w:type="dxa"/>
            <w:vAlign w:val="bottom"/>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20" w:type="dxa"/>
            <w:vAlign w:val="bottom"/>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9"/>
              </w:rPr>
              <w:t>REPORTING</w:t>
            </w:r>
          </w:p>
        </w:tc>
        <w:tc>
          <w:tcPr>
            <w:tcW w:w="960" w:type="dxa"/>
            <w:vAlign w:val="bottom"/>
          </w:tcPr>
          <w:p>
            <w:pPr>
              <w:spacing w:after="0"/>
              <w:rPr>
                <w:sz w:val="19"/>
                <w:szCs w:val="19"/>
                <w:color w:val="auto"/>
              </w:rPr>
            </w:pP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5"/>
        </w:trPr>
        <w:tc>
          <w:tcPr>
            <w:tcW w:w="2020" w:type="dxa"/>
            <w:vAlign w:val="bottom"/>
            <w:vMerge w:val="restart"/>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8"/>
              </w:rPr>
              <w:t>PERSON WITH</w:t>
            </w:r>
          </w:p>
        </w:tc>
        <w:tc>
          <w:tcPr>
            <w:tcW w:w="960" w:type="dxa"/>
            <w:vAlign w:val="bottom"/>
            <w:tcBorders>
              <w:bottom w:val="single" w:sz="8" w:color="auto"/>
            </w:tcBorders>
          </w:tcPr>
          <w:p>
            <w:pPr>
              <w:spacing w:after="0"/>
              <w:rPr>
                <w:sz w:val="11"/>
                <w:szCs w:val="11"/>
                <w:color w:val="auto"/>
              </w:rPr>
            </w:pPr>
          </w:p>
        </w:tc>
        <w:tc>
          <w:tcPr>
            <w:tcW w:w="7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960" w:type="dxa"/>
            <w:vAlign w:val="bottom"/>
            <w:vMerge w:val="restart"/>
          </w:tcPr>
          <w:p>
            <w:pPr>
              <w:jc w:val="center"/>
              <w:ind w:left="101"/>
              <w:spacing w:after="0"/>
              <w:rPr>
                <w:sz w:val="20"/>
                <w:szCs w:val="20"/>
                <w:color w:val="auto"/>
              </w:rPr>
            </w:pPr>
            <w:r>
              <w:rPr>
                <w:rFonts w:ascii="Times New Roman" w:cs="Times New Roman" w:eastAsia="Times New Roman" w:hAnsi="Times New Roman"/>
                <w:sz w:val="20"/>
                <w:szCs w:val="20"/>
                <w:color w:val="auto"/>
                <w:w w:val="99"/>
              </w:rPr>
              <w:t>10</w:t>
            </w:r>
          </w:p>
        </w:tc>
        <w:tc>
          <w:tcPr>
            <w:tcW w:w="7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3,335,586</w:t>
      </w:r>
    </w:p>
    <w:p>
      <w:pPr>
        <w:spacing w:after="0" w:line="32" w:lineRule="exact"/>
        <w:rPr>
          <w:sz w:val="20"/>
          <w:szCs w:val="20"/>
          <w:color w:val="auto"/>
        </w:rPr>
      </w:pPr>
    </w:p>
    <w:p>
      <w:pPr>
        <w:ind w:left="940" w:hanging="872"/>
        <w:spacing w:after="0"/>
        <w:tabs>
          <w:tab w:leader="none" w:pos="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196"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3,335,586</w:t>
      </w:r>
    </w:p>
    <w:p>
      <w:pPr>
        <w:spacing w:after="0" w:line="32" w:lineRule="exact"/>
        <w:rPr>
          <w:rFonts w:ascii="Times New Roman" w:cs="Times New Roman" w:eastAsia="Times New Roman" w:hAnsi="Times New Roman"/>
          <w:sz w:val="20"/>
          <w:szCs w:val="20"/>
          <w:color w:val="auto"/>
        </w:rPr>
      </w:pPr>
    </w:p>
    <w:p>
      <w:pPr>
        <w:ind w:left="940" w:hanging="875"/>
        <w:spacing w:after="0"/>
        <w:tabs>
          <w:tab w:leader="none" w:pos="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p>
      <w:pPr>
        <w:spacing w:after="0" w:line="175" w:lineRule="exact"/>
        <w:rPr>
          <w:rFonts w:ascii="Times New Roman" w:cs="Times New Roman" w:eastAsia="Times New Roman" w:hAnsi="Times New Roman"/>
          <w:sz w:val="20"/>
          <w:szCs w:val="20"/>
          <w:color w:val="auto"/>
        </w:rPr>
      </w:pPr>
    </w:p>
    <w:p>
      <w:pPr>
        <w:ind w:left="940"/>
        <w:spacing w:after="0" w:line="221" w:lineRule="exact"/>
        <w:rPr>
          <w:rFonts w:ascii="Times New Roman" w:cs="Times New Roman" w:eastAsia="Times New Roman" w:hAnsi="Times New Roman"/>
          <w:sz w:val="20"/>
          <w:szCs w:val="20"/>
          <w:color w:val="auto"/>
        </w:rPr>
      </w:pPr>
      <w:r>
        <w:rPr>
          <w:rFonts w:ascii="MS PGothic" w:cs="MS PGothic" w:eastAsia="MS PGothic" w:hAnsi="MS PGothic"/>
          <w:sz w:val="22"/>
          <w:szCs w:val="22"/>
          <w:color w:val="auto"/>
        </w:rPr>
        <w:t>☒</w:t>
      </w:r>
    </w:p>
    <w:p>
      <w:pPr>
        <w:spacing w:after="0" w:line="97" w:lineRule="exact"/>
        <w:rPr>
          <w:rFonts w:ascii="Times New Roman" w:cs="Times New Roman" w:eastAsia="Times New Roman" w:hAnsi="Times New Roman"/>
          <w:sz w:val="20"/>
          <w:szCs w:val="20"/>
          <w:color w:val="auto"/>
        </w:rPr>
      </w:pPr>
    </w:p>
    <w:p>
      <w:pPr>
        <w:ind w:left="940" w:hanging="875"/>
        <w:spacing w:after="0"/>
        <w:tabs>
          <w:tab w:leader="none" w:pos="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(11)</w:t>
      </w:r>
    </w:p>
    <w:p>
      <w:pPr>
        <w:spacing w:after="0" w:line="189"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7.5%</w:t>
      </w:r>
    </w:p>
    <w:p>
      <w:pPr>
        <w:spacing w:after="0" w:line="32" w:lineRule="exact"/>
        <w:rPr>
          <w:rFonts w:ascii="Times New Roman" w:cs="Times New Roman" w:eastAsia="Times New Roman" w:hAnsi="Times New Roman"/>
          <w:sz w:val="20"/>
          <w:szCs w:val="20"/>
          <w:color w:val="auto"/>
        </w:rPr>
      </w:pPr>
    </w:p>
    <w:p>
      <w:pPr>
        <w:ind w:left="940" w:hanging="875"/>
        <w:spacing w:after="0"/>
        <w:tabs>
          <w:tab w:leader="none" w:pos="9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04"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52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Explanatory Note</w:t>
      </w:r>
    </w:p>
    <w:p>
      <w:pPr>
        <w:spacing w:after="0" w:line="22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This Amendment No. 1 (“</w:t>
      </w:r>
      <w:r>
        <w:rPr>
          <w:rFonts w:ascii="Times New Roman" w:cs="Times New Roman" w:eastAsia="Times New Roman" w:hAnsi="Times New Roman"/>
          <w:sz w:val="20"/>
          <w:szCs w:val="20"/>
          <w:u w:val="single" w:color="auto"/>
          <w:color w:val="auto"/>
        </w:rPr>
        <w:t>Amendment No. 1</w:t>
      </w:r>
      <w:r>
        <w:rPr>
          <w:rFonts w:ascii="Times New Roman" w:cs="Times New Roman" w:eastAsia="Times New Roman" w:hAnsi="Times New Roman"/>
          <w:sz w:val="20"/>
          <w:szCs w:val="20"/>
          <w:color w:val="auto"/>
        </w:rPr>
        <w:t>”) to Schedule 13D relates to the Common Stock, par value $0.0001 per share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of Dragonfly Energy Holdings Corp., a Delaware corporation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and amends and supplements the initial statement on Schedule 13D filed on October 12, 2022 (as amended, the “</w:t>
      </w:r>
      <w:r>
        <w:rPr>
          <w:rFonts w:ascii="Times New Roman" w:cs="Times New Roman" w:eastAsia="Times New Roman" w:hAnsi="Times New Roman"/>
          <w:sz w:val="20"/>
          <w:szCs w:val="20"/>
          <w:u w:val="single" w:color="auto"/>
          <w:color w:val="auto"/>
        </w:rPr>
        <w:t>Schedule 13D</w:t>
      </w:r>
      <w:r>
        <w:rPr>
          <w:rFonts w:ascii="Times New Roman" w:cs="Times New Roman" w:eastAsia="Times New Roman" w:hAnsi="Times New Roman"/>
          <w:sz w:val="20"/>
          <w:szCs w:val="20"/>
          <w:color w:val="auto"/>
        </w:rPr>
        <w:t>”). Except as specifically provided herein, this Amendment No. 1 does not modify any of the information previously reported in the Schedule 13D. Capitalized terms used but not defined in this Amendment No. 1 shall have the same meanings ascribed to them in the Schedule 13D.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Interest in Securities of the Issuer.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Items 5 (a)-(c) of the Schedule 13D are hereby amended and restated as follows: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information set forth in Item 6 of this Schedule 13D is incorporated by reference in its entirety into this Item 5.</w:t>
      </w:r>
    </w:p>
    <w:p>
      <w:pPr>
        <w:spacing w:after="0" w:line="216" w:lineRule="exact"/>
        <w:rPr>
          <w:sz w:val="20"/>
          <w:szCs w:val="20"/>
          <w:color w:val="auto"/>
        </w:rPr>
      </w:pPr>
    </w:p>
    <w:p>
      <w:pPr>
        <w:ind w:right="20" w:firstLine="656"/>
        <w:spacing w:after="0" w:line="246" w:lineRule="auto"/>
        <w:tabs>
          <w:tab w:leader="none" w:pos="9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The percentage of beneficial ownership in this Schedule 13D is based on: (i) 43,272,728 shares of Common Stock outstanding as of November 14, 2022, based on the prospectus on Form 424(b)(3) filed by the Issuer on December 30, 2022, (ii) 1,100,000 shares of Common Stock issued by the Issuer in connection with the exercise of Private Warrants described herein, and (iii) in the case of Mr. Grossman, an additional 305,356 shares of Common Stock issuable upon the exercise of Private Warrants held by Chardan NexTech 2 Warrant Holdings LLC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an affiliate of the Sponsor, due to the Ownership Limitation (as defined below).</w:t>
      </w:r>
    </w:p>
    <w:p>
      <w:pPr>
        <w:spacing w:after="0" w:line="185" w:lineRule="exact"/>
        <w:rPr>
          <w:sz w:val="20"/>
          <w:szCs w:val="20"/>
          <w:color w:val="auto"/>
        </w:rPr>
      </w:pPr>
    </w:p>
    <w:p>
      <w:pPr>
        <w:ind w:right="360" w:firstLine="648"/>
        <w:spacing w:after="0" w:line="249" w:lineRule="auto"/>
        <w:rPr>
          <w:sz w:val="20"/>
          <w:szCs w:val="20"/>
          <w:color w:val="auto"/>
        </w:rPr>
      </w:pPr>
      <w:r>
        <w:rPr>
          <w:rFonts w:ascii="Times New Roman" w:cs="Times New Roman" w:eastAsia="Times New Roman" w:hAnsi="Times New Roman"/>
          <w:sz w:val="20"/>
          <w:szCs w:val="20"/>
          <w:color w:val="auto"/>
        </w:rPr>
        <w:t>The aggregate number and percentage of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w:t>
      </w:r>
    </w:p>
    <w:p>
      <w:pPr>
        <w:spacing w:after="0" w:line="180"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As of the date hereof, Sponsor directly holds 3,030,500 shares of Common Stock. Additionally, due to the Ownership Limitation, Mr. Grossman may be deemed to beneficially own 305,356 shares of Common Stock issuable upon exercise of Private Warrants held directly by Holdings. Mr. Grossman does not have any investment or voting power over any Issuer securities held by CCM LLC as of the date hereof and disclaims beneficial ownership over those Issuer securities beneficially owned by CCM LLC as of the date hereof.</w:t>
      </w:r>
    </w:p>
    <w:p>
      <w:pPr>
        <w:spacing w:after="0" w:line="18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0"/>
          <w:szCs w:val="20"/>
          <w:color w:val="auto"/>
        </w:rPr>
        <w:t>Neither the filing of this Schedule 13D nor any of its contents shall be deemed to constitute an admission that any Reporting Person (other than to the extent it directly holds Common Stock) is the beneficial owner of the Common Stock referred to herein for purposes of Section 13(d)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or for any other purpose. The filing of this statement should not be construed to be an admission that the Reporting Persons are members of a “group” for the purposes of Sections 13(d) and 13(g) of the Exchange Act.</w:t>
      </w:r>
    </w:p>
    <w:p>
      <w:pPr>
        <w:spacing w:after="0" w:line="185"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described in this Amendment No. 1, the Reporting Persons have not effected any transactions in Common Stock during the past</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60 days.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Item 6. Contracts, Arrangements, Understandings or Relationships With Respect to Securities of the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“Private Warrants” Section of Item 6 of the Schedule 13D is hereby amended and supplemented as follows: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On December 28, 2022, Holdings, an affiliate of the Sponsor, exercised Private Warrants on a cashless exercise basis for 1,100,000 shares and instructed the Issuer to issue such shares to an entity owned by the Sponsor that is managed by an unaffiliated third party. The Reporting Persons disclaim beneficial ownership over any securities held by such entity.</w:t>
      </w:r>
    </w:p>
    <w:p>
      <w:pPr>
        <w:spacing w:after="0" w:line="18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0"/>
          <w:szCs w:val="20"/>
          <w:color w:val="auto"/>
        </w:rPr>
        <w:t>Pursuant to the Ownership Limitation, the number of shares of Common Stock into which the remaining 1,501,386 Private Warrants held by Holdings are exercisable is limited pursuant to the terms of such warrants to that number of shares of Common Stock that would result in Holdings and its affiliates, including the Reporting Persons, having aggregate beneficial ownership of more than 7.5% of the total issued and outstanding shares of Common Stock (the “</w:t>
      </w:r>
      <w:r>
        <w:rPr>
          <w:rFonts w:ascii="Times New Roman" w:cs="Times New Roman" w:eastAsia="Times New Roman" w:hAnsi="Times New Roman"/>
          <w:sz w:val="20"/>
          <w:szCs w:val="20"/>
          <w:u w:val="single" w:color="auto"/>
          <w:color w:val="auto"/>
        </w:rPr>
        <w:t>Ownership Limitation</w:t>
      </w:r>
      <w:r>
        <w:rPr>
          <w:rFonts w:ascii="Times New Roman" w:cs="Times New Roman" w:eastAsia="Times New Roman" w:hAnsi="Times New Roman"/>
          <w:sz w:val="20"/>
          <w:szCs w:val="20"/>
          <w:color w:val="auto"/>
        </w:rPr>
        <w:t>”). In accordance with Rule 13d-4 under the Exchange Act, the Reporting Persons disclaim beneficial ownership of any and all shares of Common Stock issuable upon any exercise of the Private Warrants to the extent that such exercise would cause such aggregate beneficial ownership to exceed or remain above the Ownership Limitation. Due to the Ownership Limitation, as of the date of this filing, the Reporting Persons disclaim beneficial ownership with respect to 1,196,030 shares of Common Stock into which such warrants would otherwise be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29"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each of the undersigned’s knowledge and belief, each of the undersigned, severally and not jointly, certifies that the information set forth in this statement is true, complete and correct.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Dated: January 6, 2023</w:t>
            </w:r>
          </w:p>
        </w:tc>
        <w:tc>
          <w:tcPr>
            <w:tcW w:w="760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CHARDAN NEXTECH INVESTMENTS 2 LLC</w:t>
            </w:r>
          </w:p>
        </w:tc>
        <w:tc>
          <w:tcPr>
            <w:tcW w:w="0" w:type="dxa"/>
            <w:vAlign w:val="bottom"/>
          </w:tcPr>
          <w:p>
            <w:pPr>
              <w:spacing w:after="0"/>
              <w:rPr>
                <w:sz w:val="1"/>
                <w:szCs w:val="1"/>
                <w:color w:val="auto"/>
              </w:rPr>
            </w:pPr>
          </w:p>
        </w:tc>
      </w:tr>
      <w:tr>
        <w:trPr>
          <w:trHeight w:val="633"/>
        </w:trPr>
        <w:tc>
          <w:tcPr>
            <w:tcW w:w="3640" w:type="dxa"/>
            <w:vAlign w:val="bottom"/>
          </w:tcPr>
          <w:p>
            <w:pPr>
              <w:spacing w:after="0"/>
              <w:rPr>
                <w:sz w:val="24"/>
                <w:szCs w:val="24"/>
                <w:color w:val="auto"/>
              </w:rPr>
            </w:pPr>
          </w:p>
        </w:tc>
        <w:tc>
          <w:tcPr>
            <w:tcW w:w="26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Jonas Grossman</w:t>
            </w:r>
          </w:p>
        </w:tc>
        <w:tc>
          <w:tcPr>
            <w:tcW w:w="0" w:type="dxa"/>
            <w:vAlign w:val="bottom"/>
          </w:tcPr>
          <w:p>
            <w:pPr>
              <w:spacing w:after="0"/>
              <w:rPr>
                <w:sz w:val="1"/>
                <w:szCs w:val="1"/>
                <w:color w:val="auto"/>
              </w:rPr>
            </w:pPr>
          </w:p>
        </w:tc>
      </w:tr>
      <w:tr>
        <w:trPr>
          <w:trHeight w:val="23"/>
        </w:trPr>
        <w:tc>
          <w:tcPr>
            <w:tcW w:w="3640" w:type="dxa"/>
            <w:vAlign w:val="bottom"/>
          </w:tcPr>
          <w:p>
            <w:pPr>
              <w:spacing w:after="0" w:line="20" w:lineRule="exact"/>
              <w:rPr>
                <w:sz w:val="1"/>
                <w:szCs w:val="1"/>
                <w:color w:val="auto"/>
              </w:rPr>
            </w:pPr>
          </w:p>
        </w:tc>
        <w:tc>
          <w:tcPr>
            <w:tcW w:w="2660" w:type="dxa"/>
            <w:vAlign w:val="bottom"/>
            <w:vMerge w:val="restart"/>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64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Jonas Grossman</w:t>
            </w: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26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Member</w:t>
            </w:r>
          </w:p>
        </w:tc>
        <w:tc>
          <w:tcPr>
            <w:tcW w:w="0" w:type="dxa"/>
            <w:vAlign w:val="bottom"/>
          </w:tcPr>
          <w:p>
            <w:pPr>
              <w:spacing w:after="0"/>
              <w:rPr>
                <w:sz w:val="1"/>
                <w:szCs w:val="1"/>
                <w:color w:val="auto"/>
              </w:rPr>
            </w:pPr>
          </w:p>
        </w:tc>
      </w:tr>
      <w:tr>
        <w:trPr>
          <w:trHeight w:val="661"/>
        </w:trPr>
        <w:tc>
          <w:tcPr>
            <w:tcW w:w="3640" w:type="dxa"/>
            <w:vAlign w:val="bottom"/>
          </w:tcPr>
          <w:p>
            <w:pPr>
              <w:spacing w:after="0"/>
              <w:rPr>
                <w:sz w:val="24"/>
                <w:szCs w:val="24"/>
                <w:color w:val="auto"/>
              </w:rPr>
            </w:pPr>
          </w:p>
        </w:tc>
        <w:tc>
          <w:tcPr>
            <w:tcW w:w="7600" w:type="dxa"/>
            <w:vAlign w:val="bottom"/>
            <w:gridSpan w:val="2"/>
          </w:tcPr>
          <w:p>
            <w:pPr>
              <w:ind w:left="1800"/>
              <w:spacing w:after="0"/>
              <w:rPr>
                <w:sz w:val="20"/>
                <w:szCs w:val="20"/>
                <w:color w:val="auto"/>
              </w:rPr>
            </w:pPr>
            <w:r>
              <w:rPr>
                <w:rFonts w:ascii="Times New Roman" w:cs="Times New Roman" w:eastAsia="Times New Roman" w:hAnsi="Times New Roman"/>
                <w:sz w:val="20"/>
                <w:szCs w:val="20"/>
                <w:b w:val="1"/>
                <w:bCs w:val="1"/>
                <w:color w:val="auto"/>
              </w:rPr>
              <w:t>JONAS GROSSMAN</w:t>
            </w:r>
          </w:p>
        </w:tc>
        <w:tc>
          <w:tcPr>
            <w:tcW w:w="0" w:type="dxa"/>
            <w:vAlign w:val="bottom"/>
          </w:tcPr>
          <w:p>
            <w:pPr>
              <w:spacing w:after="0"/>
              <w:rPr>
                <w:sz w:val="1"/>
                <w:szCs w:val="1"/>
                <w:color w:val="auto"/>
              </w:rPr>
            </w:pPr>
          </w:p>
        </w:tc>
      </w:tr>
      <w:tr>
        <w:trPr>
          <w:trHeight w:val="656"/>
        </w:trPr>
        <w:tc>
          <w:tcPr>
            <w:tcW w:w="3640" w:type="dxa"/>
            <w:vAlign w:val="bottom"/>
          </w:tcPr>
          <w:p>
            <w:pPr>
              <w:spacing w:after="0"/>
              <w:rPr>
                <w:sz w:val="24"/>
                <w:szCs w:val="24"/>
                <w:color w:val="auto"/>
              </w:rPr>
            </w:pPr>
          </w:p>
        </w:tc>
        <w:tc>
          <w:tcPr>
            <w:tcW w:w="266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Jonas Grossman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[Dragonfly Energy Holdings Corp. - Schedule 13D/A]</w:t>
      </w:r>
    </w:p>
    <w:sectPr>
      <w:pgSz w:w="11900" w:h="16838" w:orient="portrait"/>
      <w:cols w:equalWidth="0" w:num="1">
        <w:col w:w="11240"/>
      </w:cols>
      <w:pgMar w:left="320" w:top="3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5"/>
      <w:numFmt w:val="bullet"/>
      <w:start w:val="1"/>
    </w:lvl>
  </w:abstractNum>
  <w:abstractNum w:abstractNumId="6">
    <w:nsid w:val="66EF438D"/>
    <w:multiLevelType w:val="hybridMultilevel"/>
    <w:lvl w:ilvl="0">
      <w:lvlJc w:val="left"/>
      <w:lvlText w:val="6"/>
      <w:numFmt w:val="bullet"/>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2"/>
      <w:numFmt w:val="bullet"/>
      <w:start w:val="1"/>
    </w:lvl>
    <w:lvl w:ilvl="1">
      <w:lvlJc w:val="left"/>
      <w:lvlText w:val="(%2)"/>
      <w:numFmt w:val="lowerLetter"/>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4"/>
      <w:numFmt w:val="bullet"/>
      <w:start w:val="1"/>
    </w:lvl>
  </w:abstractNum>
  <w:abstractNum w:abstractNumId="12">
    <w:nsid w:val="1BEFD79F"/>
    <w:multiLevelType w:val="hybridMultilevel"/>
    <w:lvl w:ilvl="0">
      <w:lvlJc w:val="left"/>
      <w:lvlText w:val="5"/>
      <w:numFmt w:val="bullet"/>
      <w:start w:val="1"/>
    </w:lvl>
  </w:abstractNum>
  <w:abstractNum w:abstractNumId="13">
    <w:nsid w:val="41A7C4C9"/>
    <w:multiLevelType w:val="hybridMultilevel"/>
    <w:lvl w:ilvl="0">
      <w:lvlJc w:val="left"/>
      <w:lvlText w:val="6"/>
      <w:numFmt w:val="bullet"/>
      <w:start w:val="1"/>
    </w:lvl>
  </w:abstractNum>
  <w:abstractNum w:abstractNumId="14">
    <w:nsid w:val="6B68079A"/>
    <w:multiLevelType w:val="hybridMultilevel"/>
    <w:lvl w:ilvl="0">
      <w:lvlJc w:val="left"/>
      <w:lvlText w:val="%1"/>
      <w:numFmt w:val="decimal"/>
      <w:start w:val="1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2023-01-09T05:09:12Z</dcterms:created>
  <dcterms:modified xsi:type="dcterms:W3CDTF">2023-01-09T05:09:12Z</dcterms:modified>
</cp:coreProperties>
</file>