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16,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20"/>
                <w:szCs w:val="20"/>
                <w:color w:val="auto"/>
              </w:rPr>
            </w:pPr>
          </w:p>
        </w:tc>
        <w:tc>
          <w:tcPr>
            <w:tcW w:w="380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DFLIW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No. 1 on Form 8-K/A (this “</w:t>
      </w:r>
      <w:r>
        <w:rPr>
          <w:rFonts w:ascii="Times New Roman" w:cs="Times New Roman" w:eastAsia="Times New Roman" w:hAnsi="Times New Roman"/>
          <w:sz w:val="18"/>
          <w:szCs w:val="18"/>
          <w:u w:val="single" w:color="auto"/>
          <w:color w:val="auto"/>
        </w:rPr>
        <w:t>Amendment No. 1</w:t>
      </w:r>
      <w:r>
        <w:rPr>
          <w:rFonts w:ascii="Times New Roman" w:cs="Times New Roman" w:eastAsia="Times New Roman" w:hAnsi="Times New Roman"/>
          <w:sz w:val="18"/>
          <w:szCs w:val="18"/>
          <w:color w:val="auto"/>
        </w:rPr>
        <w:t>”) amends the Current Report on Form 8-K of Dragonfly Energy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October 16, 2025. This Amendment No. 1 is being filed solely to file Exhibits 1.1, 4.1, 5.1, 5.2, 23.1, 23.2, 99.1, and 99.2 and to add Item 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16, 2025, the Company entered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Canaccord Genuity LLC, as representative of the several underwriters named therein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relating to an underwritten public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of (i) 36,000,000 shares (the “</w:t>
      </w:r>
      <w:r>
        <w:rPr>
          <w:rFonts w:ascii="Times New Roman" w:cs="Times New Roman" w:eastAsia="Times New Roman" w:hAnsi="Times New Roman"/>
          <w:sz w:val="18"/>
          <w:szCs w:val="18"/>
          <w:u w:val="single" w:color="auto"/>
          <w:color w:val="auto"/>
        </w:rPr>
        <w:t>Base Shares</w:t>
      </w:r>
      <w:r>
        <w:rPr>
          <w:rFonts w:ascii="Times New Roman" w:cs="Times New Roman" w:eastAsia="Times New Roman" w:hAnsi="Times New Roman"/>
          <w:sz w:val="18"/>
          <w:szCs w:val="18"/>
          <w:color w:val="auto"/>
        </w:rPr>
        <w:t>”) of the Company’s common stock, par value $0.0001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at a price to the public of $1.35 per share and (ii) pre-funded warrants (the “</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to purchase up to 5,000,000 shares of Common Stock (the “</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at a price to the public of $1.3499 per Pre-Funded Warrant, which represents the per share public offering price for the Shares (as defined below) less the $0.0001 per share exercise price for each such Pre-Funded Warrant. Pursuant to the terms of the Underwriting Agreement, the Company granted to the Underwriters a 30-day option to purchase up to an additional 6,150,000 shares of Common Stock in the Offering (the “</w:t>
      </w:r>
      <w:r>
        <w:rPr>
          <w:rFonts w:ascii="Times New Roman" w:cs="Times New Roman" w:eastAsia="Times New Roman" w:hAnsi="Times New Roman"/>
          <w:sz w:val="18"/>
          <w:szCs w:val="18"/>
          <w:u w:val="single" w:color="auto"/>
          <w:color w:val="auto"/>
        </w:rPr>
        <w:t>Option Shares</w:t>
      </w:r>
      <w:r>
        <w:rPr>
          <w:rFonts w:ascii="Times New Roman" w:cs="Times New Roman" w:eastAsia="Times New Roman" w:hAnsi="Times New Roman"/>
          <w:sz w:val="18"/>
          <w:szCs w:val="18"/>
          <w:color w:val="auto"/>
        </w:rPr>
        <w:t>” and together with the Base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at the public offering price. All of the Shares and Pre-Funded Warrants in the Offering are being sold by the Company.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net proceeds to the Company from the Offering are expected to be approximately $51.7 million, after deducting underwriting discounts and commissions and other estimated offering expenses payable by the Company. The Company may receive nominal proceeds, if any, from the exercise of the Pre-Funded Warrants. The Offering is expected to close on or about October 17, 2025, subject to customary closing conditions. The Company intends to use the net proceeds from the Offering for working capital and other general corporate purposes, including repayment of $45.0 million of outstanding indebtedness under its Term Loan Agreement (as defined below), continued investments in initiatives intended to drive near term revenue, and continued strategic investment in next generation battery technologies, including scaling the dry electrode process and its application to solid-state batteries.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Pre-Funded Warrants are immediately exercisable, have an exercise price of $0.0001 and may be exercised at any time after the date of issuance. A holder of Pre-Funded Warrants may not exercise the warrant if the holder, together with its affiliates, would beneficially own more than 9.99% (or, at the election of the purchaser, 4.99%) of the number of shares of the Common Stock outstanding immediately after giving effect to such exercise. A holder of Pre-Funded Warrants may increase or decrease this percentage not in excess of 9.99% by providing at least 61 days’ prior notice to the Company.</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Shares and Pre-Funded Warrants are being offered and sold pursuant to a prospectus supplement, dated October 16, 2025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filed with the SEC, and an accompanying base prospectus that forms a part of the Company’s Registration Statement on Form S-3 (File No. 333-275559), which was previously filed with the SEC on November 15, 2023 and declared effective on November 24, 2023.</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 Underwriting Agreement, the Company has agreed to certain restrictions on the issuance and sale of its Common Stock and securities convertible into shares of Common Stock during the 90 day period following the date of the Underwriting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covenants of the Company, conditions to closing, and indemnification obligations of the Company and the Underwriters, including for liabilities under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foregoing descriptions of the Underwriting Agreement and Pre-Funded Warrant are not complete and are qualified in their entirety by reference to the full text of the Underwriting Agreement and Form of Pre-Funded Warrant, copies of which are filed as Exhibit 1.1 and Exhibit 4.1, respectively, to this Current Report on Form 8-K/A, and are incorporated herein by reference. A copy of the opinion of Parsons Behle &amp; Latimer relating to the legality of the issuance and sale of the Shares, Pre-Funded Warrants and Pre-Funded Warrant Shares in the Offering is filed as Exhibit 5.1 to this Current Report on Form 8-K/A and is incorporated herein by reference, and a copy of the opinion of Lowenstein Sandler LLP relating to the legality of the issuance and sale of the Pre-Funded Warrants in the Offering is filed as Exhibit 5.2 to this Current Report on Form 8-K/A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15, 2025, the Company issued a press release announcing the launch of the Offering (the “</w:t>
      </w:r>
      <w:r>
        <w:rPr>
          <w:rFonts w:ascii="Times New Roman" w:cs="Times New Roman" w:eastAsia="Times New Roman" w:hAnsi="Times New Roman"/>
          <w:sz w:val="18"/>
          <w:szCs w:val="18"/>
          <w:u w:val="single" w:color="auto"/>
          <w:color w:val="auto"/>
        </w:rPr>
        <w:t>Launch Press Release</w:t>
      </w:r>
      <w:r>
        <w:rPr>
          <w:rFonts w:ascii="Times New Roman" w:cs="Times New Roman" w:eastAsia="Times New Roman" w:hAnsi="Times New Roman"/>
          <w:sz w:val="18"/>
          <w:szCs w:val="18"/>
          <w:color w:val="auto"/>
        </w:rPr>
        <w:t>”), and on October 16, 2025, the Company issued a press release announcing that it had priced the Offering (the “</w:t>
      </w:r>
      <w:r>
        <w:rPr>
          <w:rFonts w:ascii="Times New Roman" w:cs="Times New Roman" w:eastAsia="Times New Roman" w:hAnsi="Times New Roman"/>
          <w:sz w:val="18"/>
          <w:szCs w:val="18"/>
          <w:u w:val="single" w:color="auto"/>
          <w:color w:val="auto"/>
        </w:rPr>
        <w:t>Pricing Press Release</w:t>
      </w:r>
      <w:r>
        <w:rPr>
          <w:rFonts w:ascii="Times New Roman" w:cs="Times New Roman" w:eastAsia="Times New Roman" w:hAnsi="Times New Roman"/>
          <w:sz w:val="18"/>
          <w:szCs w:val="18"/>
          <w:color w:val="auto"/>
        </w:rPr>
        <w:t>”). Copies of the Launch Press Release and Pricing Press Release are furnished hereto as Exhibit 99.1 and Exhibit 99.2, respectively.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under Item 7.01, including the information contained in Exhibit 99.1 and Exhibit 99.2, is being furnished to the SEC and shall not be deemed to be “filed” for the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otherwise subject to the liabilities of that section, and shall not be deemed to be incorporated by reference into any filing under the Securities Act or the Exchange Act, except as shall be expressly set forth by a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Debt Restructuring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reached an agreement in principle with the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under its Term Loan, Guarantee and Security Agreement, dated October 7, 2022, with ALTER DOMUS (US) LLC, as agent, and the Lenders (as amended to date, the “</w:t>
      </w:r>
      <w:r>
        <w:rPr>
          <w:rFonts w:ascii="Times New Roman" w:cs="Times New Roman" w:eastAsia="Times New Roman" w:hAnsi="Times New Roman"/>
          <w:sz w:val="18"/>
          <w:szCs w:val="18"/>
          <w:u w:val="single" w:color="auto"/>
          <w:color w:val="auto"/>
        </w:rPr>
        <w:t>Term Loan Agreement</w:t>
      </w:r>
      <w:r>
        <w:rPr>
          <w:rFonts w:ascii="Times New Roman" w:cs="Times New Roman" w:eastAsia="Times New Roman" w:hAnsi="Times New Roman"/>
          <w:sz w:val="18"/>
          <w:szCs w:val="18"/>
          <w:color w:val="auto"/>
        </w:rPr>
        <w:t>”), pursuant to which the Company would restructure its outstanding indebtedness as follows (the “</w:t>
      </w:r>
      <w:r>
        <w:rPr>
          <w:rFonts w:ascii="Times New Roman" w:cs="Times New Roman" w:eastAsia="Times New Roman" w:hAnsi="Times New Roman"/>
          <w:sz w:val="18"/>
          <w:szCs w:val="18"/>
          <w:u w:val="single" w:color="auto"/>
          <w:color w:val="auto"/>
        </w:rPr>
        <w:t>Proposed Restructuring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would make a prepayment of $45.0 million of outstanding indebtedness under the Term Loan Agreement from the net proceeds of the Offering;</w:t>
      </w: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would convert $25 million of the outstanding principal amount of the loan into shares of newly created preferred stock which preferred stock would (i) be convertible into shares of Common Stock at the Lenders option at a conversion price of $3.15 per share, or an aggregate of 7,936,508 shares of Common Stock, (ii) have a dividend of 8% per annum payable quarterly in cash and (iii) have a dividend of 2% per annum payable quarterly in kind. In addition, the Company would have a right to redeem any outstanding shares of such preferred stock at its option at the greater of (i) the stated value plus any outstanding dividends and (ii) the as-converted value of the shares of Common Stock underlying such preferred stock (the “Optional Redemption Price”). The Lenders would also agree not to convert any share of such preferred stock for a period of six months following the closing of the Offering. In connection with any future equity offerings, the Company would be required to use 25% of the net proceeds from such offering to redeem outstanding shares of such preferred stock at the Optional Redemption Price. In the event the Company has not redeemed such preferred stock by October 7, 2027, the holders would have the right to require the Company to redeem the preferred stock at the Optional Redemption Price;</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would forgive the repayment of $5 million of the outstanding principal under the Term Loan Agreement;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outstanding principal amount under the Term Loan Agreement of $17 million, after the repayment and forgiveness disclosed above, would have a fixed interest rate of 12% per annum, payable monthly commencing December 31, 2025 and would mature in October 2027;</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would pay a fee to the Lenders equal to approximately $450,000 in cash and $450,000 added to principal outstanding amount of the loan under the Term Loan Agreement; and</w:t>
      </w:r>
    </w:p>
    <w:p>
      <w:pPr>
        <w:ind w:left="660" w:right="2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covenants under the Term Loan Agreement would be waived through December 31, 2026, except that the Company would agree to a minimum liquidity covenant of $5.0 million calculated on a monthly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agreement in principle is not binding, and there can be no assurance that the Company and the Lenders will ultimately enter into a definitive agreement for the Proposed Restructuring, that the Proposed Restructuring will be consummated, or as to the timing or ultimate terms of any Proposed Restructuring that may occur. The closing of the Proposed Restructuring would be subject to significant closing conditions, including the negotiation and execution of the definitive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including the below update to its risk factors, for the purpose of supplementing and updating the disclosure contained in its Annual Report on Form 10-K for the fiscal year ended December 31, 2024, filed with the SEC on March 31, 2025, and its Quarterly Reports on Form 10-Q for the period ended March 31, 2025, filed with the SEC on May 16, 2025, and for the period ended June 30, 2025, filed with the SEC on August 14, 2025.</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 in principle with the Lenders regarding the Proposed Restructuring is non-binding and the Company may be unable to consummate the transactions contemplated by such agreement.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15, 2025, the Company reached an agreement in principle with the Lenders regarding the Proposed Restructuring. The agreement in principle is non-binding, and there can be no assurance that the Company and the Lenders will ultimately enter into a definitive agreement for the Proposed Restructuring, that the Proposed Restructuring will be consummated, or as to the timing or ultimate terms of any Proposed Restructuring that may occur. The closing of the Proposed Restructuring would be subject to significant closing conditions, including the negotiation and execution of the definitive agreement and required board approval. Failure to consummate the transactions contemplated by the agreement in principle could have adverse effects on the Company’s business and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involve estimates, assumptions, risks and uncertainties. Forward-looking statements include, but are not limited to, statements related to the amount of proceeds expected from the Offering, the intended use of proceeds from the Offering, the timing and certainty of completion of the Offering and the proposed restructuring of the Company’s outstanding indebtedness. The risks and uncertainties relating to the Company and the Offering include general market conditions, the proposed restructuring of the Company’s outstanding indebtedness, the Company’s ability to complete the Offering on favorable terms, or at all, as well as other risks detailed from time to time in the Company’s filings with the SEC, including in its Annual Report on Form 10-K for the year ended December 31, 2024 and the Prospectus Supplement. These documents contain important factors that could cause actual results to differ from current expectations and from the forward-looking statements contained in this Current Report on Form 8-K. These forward-looking statements speak only as of the date of this Current Report on Form 8-K and the Company undertakes no obligation to publicly update any forward-looking statements to reflect new information, events or circumstances after the date of this Current Report on Form 8-K.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u w:val="single" w:color="auto"/>
          <w:color w:val="0000EE"/>
        </w:rPr>
        <w:t>Underwriting Agreement, dated October 16, 2025, by and between Dragonfly Energy Holdings Corp. and Canaccord Genuity LLC</w:t>
      </w:r>
    </w:p>
    <w:p>
      <w:pPr>
        <w:spacing w:after="0" w:line="2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Form of Pre-Funded Warrant</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Parsons, Behle &amp; Latimer.</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0000EE"/>
        </w:rPr>
        <w:t>Opinion of Lowenstein Sandler LLP</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Parsons Behle &amp; Latimer (contained in Exhibit 5.1)</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Lowenstein Sandler LLP (contained in Exhibit 5.2)</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October 15, 2025</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8"/>
          <w:szCs w:val="18"/>
          <w:u w:val="single" w:color="auto"/>
          <w:color w:val="0000EE"/>
        </w:rPr>
        <w:t>Press Release dated October 16, 2025</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16, 2025</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720" w:type="dxa"/>
            <w:vAlign w:val="bottom"/>
          </w:tcPr>
          <w:p>
            <w:pPr>
              <w:spacing w:after="0"/>
              <w:rPr>
                <w:sz w:val="16"/>
                <w:szCs w:val="16"/>
                <w:color w:val="auto"/>
              </w:rPr>
            </w:pPr>
          </w:p>
        </w:tc>
        <w:tc>
          <w:tcPr>
            <w:tcW w:w="248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720" w:type="dxa"/>
            <w:vAlign w:val="bottom"/>
          </w:tcPr>
          <w:p>
            <w:pPr>
              <w:spacing w:after="0"/>
              <w:rPr>
                <w:sz w:val="18"/>
                <w:szCs w:val="18"/>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36,000,000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Pre-Funded Warrants to Purchase 5,000,000 Shares of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16,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Post Office Square,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Dragonfly Energy Holdings Corp.,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proposes to sell to the several underwriters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whom you (the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are acting as representative, (i) an aggregate of 36,000,000 shares (the “</w:t>
      </w:r>
      <w:r>
        <w:rPr>
          <w:rFonts w:ascii="Times New Roman" w:cs="Times New Roman" w:eastAsia="Times New Roman" w:hAnsi="Times New Roman"/>
          <w:sz w:val="18"/>
          <w:szCs w:val="18"/>
          <w:u w:val="single" w:color="auto"/>
          <w:color w:val="auto"/>
        </w:rPr>
        <w:t>Firm Shares</w:t>
      </w:r>
      <w:r>
        <w:rPr>
          <w:rFonts w:ascii="Times New Roman" w:cs="Times New Roman" w:eastAsia="Times New Roman" w:hAnsi="Times New Roman"/>
          <w:sz w:val="18"/>
          <w:szCs w:val="18"/>
          <w:color w:val="auto"/>
        </w:rPr>
        <w:t>”) of common stock, $0.0001 par value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(ii) pre-funded warrants, substantially in the form of Annex A hereto (the “</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and, together with the Firm Shares, the “</w:t>
      </w:r>
      <w:r>
        <w:rPr>
          <w:rFonts w:ascii="Times New Roman" w:cs="Times New Roman" w:eastAsia="Times New Roman" w:hAnsi="Times New Roman"/>
          <w:sz w:val="18"/>
          <w:szCs w:val="18"/>
          <w:u w:val="single" w:color="auto"/>
          <w:color w:val="auto"/>
        </w:rPr>
        <w:t>Firm Securities</w:t>
      </w:r>
      <w:r>
        <w:rPr>
          <w:rFonts w:ascii="Times New Roman" w:cs="Times New Roman" w:eastAsia="Times New Roman" w:hAnsi="Times New Roman"/>
          <w:sz w:val="18"/>
          <w:szCs w:val="18"/>
          <w:color w:val="auto"/>
        </w:rPr>
        <w:t>”), to purchase an aggregate of 5,000,000 shares of Common Stock (the “</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and (iii) at the election of the Underwriters, up to 6,150,000 additional shares of Common Stock (the “</w:t>
      </w:r>
      <w:r>
        <w:rPr>
          <w:rFonts w:ascii="Times New Roman" w:cs="Times New Roman" w:eastAsia="Times New Roman" w:hAnsi="Times New Roman"/>
          <w:sz w:val="18"/>
          <w:szCs w:val="18"/>
          <w:u w:val="single" w:color="auto"/>
          <w:color w:val="auto"/>
        </w:rPr>
        <w:t>Optional Shares</w:t>
      </w:r>
      <w:r>
        <w:rPr>
          <w:rFonts w:ascii="Times New Roman" w:cs="Times New Roman" w:eastAsia="Times New Roman" w:hAnsi="Times New Roman"/>
          <w:sz w:val="18"/>
          <w:szCs w:val="18"/>
          <w:color w:val="auto"/>
        </w:rPr>
        <w:t>” and together with the Firm Securities and Pre-Funded Warrant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The Firm Shares and the Optional Shares that the Underwriters elect to purchase pursuant to Section 2 hereof are collectively referred to as “Shares”. To the extent there are no additional Underwriters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other than you, the term Representative as used herein shall mean you, as Underwriter, and the term Underwriters shall mean the singular as the context requires. Certain terms used herein are defined in Section 21 hereof. In the event that the Company has no subsidiaries, or only one subsidiary, then all references in this underwriting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“subsidiaries” of the Company shall be deemed to refer to no subsidiary, or such single subsidiary, mutatis mutandis.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used in this Agreement,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registration statement referred to in paragraph 1(a) hereof, including the exhibits, schedules and financial statements and any prospectus supplement relating to the Securities that is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pursuant to Rule 424(b) under the Securities Act of 1933, as amended, and the rules and regulations promulgated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deemed part of such registration statement pursuant to Rule 430B under the Securities Act, as amended on each Effective Date, and, in the event any post-effective amendment thereto or any registration statement and any amendments thereto filed pursuant to Rule 462(b) under the Securities Act (a “</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becomes effective prior to the Closing Date (as defined in Section 3 hereof), shall also mean such registration statement as so amended or such Rule 462(b) Registration Statement, as the case may be;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each date and time that the Registration Statement, any post-effective amendment or amendments thereto or any Rule 462(b) Registration Statement became or becomes effective;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means the base prospectus referred to in paragraph 1(a) hereof contained in the Registration Statement at the date and time that this Agreement is executed and delivered by the parties hereto (the “</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Preliminary Prospectus Supplement</w:t>
      </w:r>
      <w:r>
        <w:rPr>
          <w:rFonts w:ascii="Times New Roman" w:cs="Times New Roman" w:eastAsia="Times New Roman" w:hAnsi="Times New Roman"/>
          <w:sz w:val="18"/>
          <w:szCs w:val="18"/>
          <w:color w:val="auto"/>
        </w:rPr>
        <w:t>” means any preliminary prospectus supplement to the Base Prospectus referred to in paragraph 1(a) hereof which is used prior to the filing of the Final Prospectus Supplement, together with the Base Prospectus; and the “</w:t>
      </w:r>
      <w:r>
        <w:rPr>
          <w:rFonts w:ascii="Times New Roman" w:cs="Times New Roman" w:eastAsia="Times New Roman" w:hAnsi="Times New Roman"/>
          <w:sz w:val="18"/>
          <w:szCs w:val="18"/>
          <w:u w:val="single" w:color="auto"/>
          <w:color w:val="auto"/>
        </w:rPr>
        <w:t>Final Prospectus Supplement</w:t>
      </w:r>
      <w:r>
        <w:rPr>
          <w:rFonts w:ascii="Times New Roman" w:cs="Times New Roman" w:eastAsia="Times New Roman" w:hAnsi="Times New Roman"/>
          <w:sz w:val="18"/>
          <w:szCs w:val="18"/>
          <w:color w:val="auto"/>
        </w:rPr>
        <w:t>” means the prospectus supplement relating to the Securities that is first filed pursuant to Rule 424(b) under the Securities Act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after the Execution Time, together with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reference herein to the Registration Statement, the Base Prospectus, any Preliminary Prospectus Supplement or the Final Prospectus Supplement shall be deemed to refer to and include the documents incorporated by reference therein pursuant to Item 12 of Form S-3 which were filed under the Securities Exchange Act of 1934, as amended, and the rules and regulations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on or before the Effective Date of the Registration Statement or the issue date of the Base Prospectus, any Preliminary Prospectus Supplement or the Final Prospectus Supplement, as the case may be; and any reference herein to the terms “amend,” “amendment” or “supplement” with respect to the Registration Statement, the Base Prospectus, any Preliminary Prospectus Supplement or the Final Prospectus Supplement shall be deemed to refer to and include the filing of any document under the Exchange Act after the Effective Date of the Registration Statement or the issue date of the Base Prospectus, any Preliminary Prospectus Supplement or the Final Prospectus Supplement, as the case may be, deemed to be incorporated therein by reference.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used in this Agreement, the “</w:t>
      </w:r>
      <w:r>
        <w:rPr>
          <w:rFonts w:ascii="Times New Roman" w:cs="Times New Roman" w:eastAsia="Times New Roman" w:hAnsi="Times New Roman"/>
          <w:sz w:val="18"/>
          <w:szCs w:val="18"/>
          <w:u w:val="single" w:color="auto"/>
          <w:color w:val="auto"/>
        </w:rPr>
        <w:t>Pricing Disclosure Package</w:t>
      </w:r>
      <w:r>
        <w:rPr>
          <w:rFonts w:ascii="Times New Roman" w:cs="Times New Roman" w:eastAsia="Times New Roman" w:hAnsi="Times New Roman"/>
          <w:sz w:val="18"/>
          <w:szCs w:val="18"/>
          <w:color w:val="auto"/>
        </w:rPr>
        <w:t>” shall mean (i) the Base Prospectus, (ii) the Preliminary Prospectus Supplement used most recently prior to the Execution Time, (iii) any issuer free writing prospectus, as defined in Rule 433 under the Securities Act (an “</w:t>
      </w:r>
      <w:r>
        <w:rPr>
          <w:rFonts w:ascii="Times New Roman" w:cs="Times New Roman" w:eastAsia="Times New Roman" w:hAnsi="Times New Roman"/>
          <w:sz w:val="18"/>
          <w:szCs w:val="18"/>
          <w:u w:val="single" w:color="auto"/>
          <w:color w:val="auto"/>
        </w:rPr>
        <w:t>Issuer 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identified in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(iv) the pricing information set forth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and (v) any other free writing prospectus, as defined in Rule 405 under the Securities Act (a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that the parties hereto shall hereafter expressly agree in writing to treat as part of the Pricing Disclosure Package.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and agrees with, each Underwriter as set forth below in this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7" w:lineRule="exact"/>
        <w:rPr>
          <w:sz w:val="20"/>
          <w:szCs w:val="20"/>
          <w:color w:val="auto"/>
        </w:rPr>
      </w:pPr>
    </w:p>
    <w:p>
      <w:pPr>
        <w:jc w:val="both"/>
        <w:ind w:firstLine="1304"/>
        <w:spacing w:after="0" w:line="252" w:lineRule="auto"/>
        <w:tabs>
          <w:tab w:leader="none" w:pos="15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met the requirements for use of Form S-3 under the Securities Act, including, but not limited to, General Instruction I.B.6 of Form S-3, if applicable, at the time it prepared and filed with the SEC a shelf registration statement, as defined in Rule 405 (file number 333-275559) on Form S-3, including a related Base Prospectus, for registration under the Securities Act of the offering and sale of the Securities. The Company may have filed one or more amendments thereto, and has prepared a Preliminary Prospectus Supplement, each of which has previously been furnished to you and has become effective upon filing. The Company will next file with the SEC a Final Prospectus Supplement relating to the Securities in accordance with Rule 424(b). As filed, such Final Prospectus Supplement shall contain all information required by the Securities Act and the rules thereunder and, except to the extent the Representative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Base Prospectus and any Preliminary Prospectus Supplement) as the Company has advised you, prior to the Execution Time, will be included or made therein. The Registration Statement, at the Execution Time, is effective and meets the requirements set forth in Rule 415(a)(1)(x). There is no order preventing or suspending the use of the Registration Statement, the Pricing Disclosure Package or the Final Prospectus Supplement, and, to the knowledge of the Company, no proceeding for that purpose or pursuant to Section 8A of the Securities Act against the Company or related to the offering has been initiated or threatened by the SEC and no notice of objection of the SEC to the use of such Registration Statement pursuant to Rule 401(g)(2) under the Securities Act has been received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both"/>
        <w:ind w:left="-1120" w:firstLine="1304"/>
        <w:spacing w:after="0" w:line="253" w:lineRule="auto"/>
        <w:tabs>
          <w:tab w:leader="none" w:pos="4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each Effective Date, the Registration Statement did, and when the Final Prospectus Supplement is first filed in accordance with Rule 424(b) and on the Closing Date, the Final Prospectus Supplement (and any amendment or supplement thereto) will, comply in all material respects with the applicable requirements of the Securities Act and the Exchange Act and the respective rules thereunder; on each Effective Date, at the Execution Time, and on the Closing Date,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the Final Prospectus Supplement (together with any amendment or supplement thereto) will not include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makes no representations or warranties as to the information contained in or omitted from the Registration Statement or the Final Prospectus Supplement (or any amendment or supplement thereto) in reliance upon and in conformity with information furnished in writing to the Company by or on behalf of any Underwriter through the Representative specifically for use in the Registration Statement or the Final Prospectus Supplement (or any amendment or supplement thereto), it being understood and agreed that the only such information furnished by the Underwriters consists of the information described as such in Section 8(b) hereof.</w:t>
      </w:r>
    </w:p>
    <w:p>
      <w:pPr>
        <w:spacing w:after="0" w:line="189"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4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Execution Time, the Pricing Disclosure Package and each electronic road show does not, and as of the Closing Date will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Pricing Disclosure Package based upon and in conformity with written information furnished to the Company by any Underwriter through the Representative specifically for use therein, it being understood and agreed that the only such information furnished by or on behalf of the Underwriters consists of the information described as such in Section 8(b) hereof.</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the business combination pursuant to that certain agreement and plan of merger, dated as of May 15, 2022, by and among Chardan NexTech 2 Acquisition Corp., a Delaware Corporation and the Company’s predecessor, Dragonfly Energy Corp., a Nevada corporation, and Bronco Merger Sub, Inc., a Nevada corporation, through the Execution Time, the Company has been and is an “</w:t>
      </w: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 as defined in Section 2(a) of the Securities Act (an “</w:t>
      </w: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9" w:name="page10"/>
    <w:bookmarkEnd w:id="9"/>
    <w:p>
      <w:pPr>
        <w:jc w:val="both"/>
        <w:ind w:left="-1120" w:firstLine="1304"/>
        <w:spacing w:after="0" w:line="254" w:lineRule="auto"/>
        <w:tabs>
          <w:tab w:leader="none" w:pos="4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 has not alone engaged in any Testing-the-Waters Communication other than Testing-the-Waters Communications with the consent of the Representative with entities that are reasonably believed to be qualified institutional buyers within the meaning of Rule 144A under the Securities Act or institutions that are accredited investors within the meaning of Rule 501 under the Securities Act and (ii) has not authorized anyone other than the Representative to engage in Testing-the-Waters Communications. The Company has not distributed any Written Testing-the-Waters Communications other than those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Testing-the-Waters Communication</w:t>
      </w:r>
      <w:r>
        <w:rPr>
          <w:rFonts w:ascii="Times New Roman" w:cs="Times New Roman" w:eastAsia="Times New Roman" w:hAnsi="Times New Roman"/>
          <w:sz w:val="18"/>
          <w:szCs w:val="18"/>
          <w:color w:val="auto"/>
        </w:rPr>
        <w:t>” means any oral or written communication with potential investors undertaken in reliance on Section 5(d) or Rule 163B of the Securities Act. “</w:t>
      </w:r>
      <w:r>
        <w:rPr>
          <w:rFonts w:ascii="Times New Roman" w:cs="Times New Roman" w:eastAsia="Times New Roman" w:hAnsi="Times New Roman"/>
          <w:sz w:val="18"/>
          <w:szCs w:val="18"/>
          <w:u w:val="single" w:color="auto"/>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including any presentation used in a Testing-the-Waters Communication.</w:t>
      </w:r>
    </w:p>
    <w:p>
      <w:pPr>
        <w:spacing w:after="0" w:line="191" w:lineRule="exact"/>
        <w:rPr>
          <w:rFonts w:ascii="Times New Roman" w:cs="Times New Roman" w:eastAsia="Times New Roman" w:hAnsi="Times New Roman"/>
          <w:sz w:val="18"/>
          <w:szCs w:val="18"/>
          <w:color w:val="auto"/>
        </w:rPr>
      </w:pPr>
    </w:p>
    <w:p>
      <w:pPr>
        <w:ind w:left="400" w:hanging="216"/>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used any Issuer Free Writing Prospectus.</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5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if any, does not include any information that conflicts with the information contained in the Registration Statement, the Base Prospectus, any Preliminary Prospectus Supplement or the Final Prospectus Supplement. The foregoing sentence does not apply to statements in or omissions from any Issuer Free Writing Prospectus based upon and in conformity with written information furnished to the Company by any Underwriter through the Representative specifically for use therein, it being understood and agreed that the only such information furnished by or on behalf of any Underwriter consists of the information described as such in Section 8(b) hereof.</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the extensible Business Reporting Language (“</w:t>
      </w:r>
      <w:r>
        <w:rPr>
          <w:rFonts w:ascii="Times New Roman" w:cs="Times New Roman" w:eastAsia="Times New Roman" w:hAnsi="Times New Roman"/>
          <w:sz w:val="18"/>
          <w:szCs w:val="18"/>
          <w:u w:val="single" w:color="auto"/>
          <w:color w:val="auto"/>
        </w:rPr>
        <w:t>XBRL</w:t>
      </w:r>
      <w:r>
        <w:rPr>
          <w:rFonts w:ascii="Times New Roman" w:cs="Times New Roman" w:eastAsia="Times New Roman" w:hAnsi="Times New Roman"/>
          <w:sz w:val="18"/>
          <w:szCs w:val="18"/>
          <w:color w:val="auto"/>
        </w:rPr>
        <w:t>”) and Inline XBRL included as an exhibit to the Registration Statement fairly presents the information called for in all material respects and has been prepared in accordance with the SEC’s rules and guidelines applicable thereto.</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4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been duly incorporated and is validly existing as a corporation in good standing under the laws of the jurisdiction in which it is chartered or organized with full corporate power and authority to own or lease, as the case may be, and to operate its properties and conduct its business as described in the Pricing Disclosure Package and the Final Prospectus Supplement, and is duly qualified to do business as a foreign corporation and is in good standing under the laws of each jurisdiction which requires such qualification, except where the failure to be so qualified or in good standing would not reasonably be expected to have a material adverse effect on the condition (financial or otherwise), prospects, earnings, business or properties of the Company and its subsidiaries, taken as a whole, whether or not arising from transactions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3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outstanding shares of capital stock of each subsidiary of the Company have been duly and validly authorized and issued and are fully paid and non-assessable, and all outstanding shares of capital stock of the subsidiaries are owned by the Company either directly or through wholly owned subsidiaries, and except as set forth in the Pricing Disclosure Package and the Final Prospectus Supplement, are free and clear of any perfected security interest or any other security interests, claims, liens or encumbrances.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0" w:name="page11"/>
    <w:bookmarkEnd w:id="10"/>
    <w:p>
      <w:pPr>
        <w:jc w:val="both"/>
        <w:ind w:left="-1120" w:firstLine="1304"/>
        <w:spacing w:after="0" w:line="252" w:lineRule="auto"/>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authorized equity capitalization is as set forth in the Pricing Disclosure Package and the Final Prospectus Supplement; the capital stock of the Company conforms in all material respects to the description thereof contained in the Pricing Disclosure Package and the Final Prospectus Supplement; the outstanding shares of Common Stock have been duly and validly authorized and issued and are fully paid and nonassessable; the Shares have been duly and validly authorized and, when issued and delivered to and paid for by the Underwriters pursuant to this Agreement, will be fully paid and nonassessable; the Shares in book-entry form are in valid and sufficient form; and the holders of outstanding shares of capital stock of the Company are not entitled to preemptive or other rights to subscribe for the Securities, except for any such rights as have been effectively waived; and, except as set forth in the Pricing Disclosure Package and the Final Prospectus Supplement, no options, warrants or other rights to purchase, agreements or other obligations to issue, or rights to convert any obligations into or exchange any securities for, shares of capital stock of or ownership interests in the Company are outstanding. The Pre-Funded Warrants have been duly authorized by the Company and, when executed and delivered by the Company will be valid and binding agreements of the Company, enforceable against the Company in accordance with their terms, except as the enforcement thereof may be limited by bankruptcy, insolvency, reorganization, moratorium or other similar laws relating to or affecting the rights and remedies of creditors or by general equitable principles. The Pre-Funded Warrant Shares have been duly authorized and validly reserved for issuance upon exercise of the Pre-Funded Warrants in a number sufficient to meet the current exercise requirements. When issued and delivered upon exercise of the Pre-Funded Warrants in accordance therewith, the Pre-Funded Warrant Shares will be duly and validly issued, fully paid and nonassessable; and the issuance of the Pre-Funded Warrant Shares is not subject to any preemptive or similar rights that have not been effectively waived or satisfied. The Company has reserved from its duly authorized capital stock the maximum number of shares of Common Stock issuable pursuant to this Agreement and the Pre-Funded Warrants.</w:t>
      </w:r>
    </w:p>
    <w:p>
      <w:pPr>
        <w:spacing w:after="0" w:line="193"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franchise, contract or other document of a character required to be described in the Registration Statement or the Final Prospectus Supplement, or to be filed as an exhibit thereto, which is not described or filed as required (and the Preliminary Prospectus Supplement contains in all material respects the same description of the foregoing matters contained in the Final Prospectus Supplement); and the statements in the Preliminary Prospectus Supplement and the Final Prospectus Supplement insofar as such statements summarize legal matters, agreements, documents or proceedings discussed therein, are accurate and fair summaries of such legal matters, agreements, documents or proceedings in all material respects.</w:t>
      </w:r>
    </w:p>
    <w:p>
      <w:pPr>
        <w:spacing w:after="0" w:line="183"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Securities and the application of the proceeds thereof as described in the Pricing Disclosure Package and the Final Prospectus Supplement, will not be an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as defined in the Investment Company Act of 1940,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1" w:name="page12"/>
    <w:bookmarkEnd w:id="11"/>
    <w:p>
      <w:pPr>
        <w:jc w:val="both"/>
        <w:ind w:left="-1120" w:firstLine="1304"/>
        <w:spacing w:after="0" w:line="258" w:lineRule="auto"/>
        <w:tabs>
          <w:tab w:leader="none" w:pos="4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filing with or order of any court or governmental agency or body is required in connection with the transactions contemplated herein, except such as have been obtained under the Securities Act and such as may be required under the listing rules of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applicable rules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and the blue sky laws of any jurisdiction in connection with the purchase and distribution of the Securities by the Underwriters in the manner contemplated herein and in the Pricing Disclosure Package and the Final Prospectus Supplement.</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4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in the case of clauses (ii) and (iii) for any such breach, violation or imposition as would not reasonably be expected to have a Material Adverse Effect and which would not reasonably be expected to have a material adverse effect on the performance of this Agreement or the consummation of any of the transactions contemplated hereby.</w:t>
      </w:r>
    </w:p>
    <w:p>
      <w:pPr>
        <w:spacing w:after="0" w:line="194"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agreements or understandings between the Company and any person granting such person the right to require the Company, as applicable, to file a registration statement under the Securities Act with respect to any securities of the Company or to require the Company to include such securities with the Securities registered pursuant to the Registration Statement, except as have been validly waived in connection with the issuance and sale of the Securities contemplated hereby or as have been described in the Preliminary Prospectus Supplement, and the holders of outstanding shares of capital stock of the Company are not entitled to statutory preemptive or other similar contractual rights to subscribe for the Securities.</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4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or incorporated by reference in the Preliminary Prospectus Supplement, the Final Prospectus Supplement and the Registration Statement,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and the subsidiaries for the periods specified (subject, in the case of unaudited statements, to normal year-end audit adjustments which will not be material, either individually or in the aggregate) and have been prepared in all material respects in compliance with the published requirements of the Securities Act and Exchange Act, as applicable and as in effect at the time of filing, and in conformity with generally accepted accounting principles in the United States (“GAAP”) as in effect at the time of filing applied on a consistent basis (except (i) for such adjustments to accounting standards and practices as are noted therein and (ii) in the case of unaudited interim statements, to the extent they may exclude footnotes or may be condensed or summary statements) during the periods involved; the other financial and statistical data with respect to the Company and the Subsidiaries contained or incorporated by reference in the Preliminary Prospectus Supplement, the Final Prospectus Supplement and the Registration Statement, are accurately and fairly presented in all material respects and prepared on a basis consistent with the financial statements and books and records of the Company; there are no financial statements (historical or pro forma) that are required to be included or incorporated by reference in the Preliminary Prospectus Supplement, the Final Prospectus Supplement and the Registration Statement that are not included or incorporated by reference as required; the Company and the Subsidiaries do not have any material liabilities or obligations, direct or contingent (including any off balance sheet obligations), not described in the Preliminary Prospectus Supplement, the Final Prospectus Supplement or the Registration Statement which are required to be described in the Preliminary Prospectus Supplement, the Final Prospectus Supplement or the Registration Statement; and all disclosures contained or incorporated by reference in Preliminary Prospectus Supplement, the Final Prospectus Supplement and the Registration Statement,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269875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2" w:name="page13"/>
    <w:bookmarkEnd w:id="12"/>
    <w:p>
      <w:pPr>
        <w:jc w:val="both"/>
        <w:ind w:left="-1120" w:firstLine="1304"/>
        <w:spacing w:after="0" w:line="261" w:lineRule="auto"/>
        <w:tabs>
          <w:tab w:leader="none" w:pos="4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suit or proceeding by or before any court or governmental agency, authority or body or any arbitrator involving the Company or any of its subsidiaries or its or their property is pending or, to the knowledge of the Company, threatened that (i) could reasonably be expected to have a material adverse effect on the performance of this Agreement or the consummation of any of the transactions contemplated hereby or (ii) could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left="-1120" w:firstLine="1304"/>
        <w:spacing w:after="0" w:line="282" w:lineRule="auto"/>
        <w:tabs>
          <w:tab w:leader="none" w:pos="3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of its subsidiaries owns or leases all such properties as are necessary to the conduct of its operations as presently conducted in all material respects.</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4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for any such violation or default as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CBIZ CPAs P.C., which has certified certain financial statements of the Company and its consolidated subsidiaries and delivered its report with respect to the audited consolidated financial statements and schedules included in the Pricing Disclosure Package and the Final Prospectus Supplement, are independent public accountants with respect to the Company within the meaning of the Securities Act and the applicable published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262890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3" w:name="page14"/>
    <w:bookmarkEnd w:id="13"/>
    <w:p>
      <w:pPr>
        <w:jc w:val="both"/>
        <w:ind w:left="-1120" w:firstLine="1304"/>
        <w:spacing w:after="0" w:line="266" w:lineRule="auto"/>
        <w:tabs>
          <w:tab w:leader="none" w:pos="48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transfer taxes or other similar fees or charges under Federal law or the laws of any state, or any political subdivision thereof, required to be paid in connection with the execution and delivery of this Agreement or the issuance by the Company or sale by the Company to the Underwriters of the Securities.</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2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tax returns that are required to be filed or has requested extensions thereof (except in any case in which the failure so to file would not have a Material Adverse Effect)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 problem or dispute with the employees of the Company or any of its subsidiaries exists or, to the knowledge of the Company, is threatened or imminent, and the Company is not aware of any existing or imminent labor disturbance by the employees of any of its or its subsidiaries’ principal suppliers, contractors or customers, that could reasonably be expected to have a Material Adverse Effect.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insured by insurers of recognized financial responsibility against such losses and risks and in such amounts as the Company reasonably believes are prudent and customary in the businesses in which they are engaged; all policies of insurance and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material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88" w:lineRule="exact"/>
        <w:rPr>
          <w:sz w:val="20"/>
          <w:szCs w:val="20"/>
          <w:color w:val="auto"/>
        </w:rPr>
      </w:pPr>
    </w:p>
    <w:p>
      <w:pPr>
        <w:jc w:val="both"/>
        <w:ind w:left="-1120" w:firstLine="1304"/>
        <w:spacing w:after="0" w:line="261" w:lineRule="auto"/>
        <w:tabs>
          <w:tab w:leader="none" w:pos="53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set forth in the Pricing Disclosure Package and the Final Prospectus Supplement.</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51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all licenses, certificates, permits and other authorizations (collectively,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required to conduct their respective businesses, except for any such failure to possess as would not reasonably be expected to have a Material Adverse Effect, and neither the Company nor any such subsidiary is in violation of, or in default under, any such Permit, except for any such violation as would not reasonably be expected to have a Material Adverse Effect,; neither the Company nor its subsidiaries has received any written notice of proceedings relating to the revocation or modification of any such Permit nor has any reason to believe that any such Permit will not be renewed in the ordinary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265430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4" w:name="page15"/>
    <w:bookmarkEnd w:id="14"/>
    <w:p>
      <w:pPr>
        <w:jc w:val="both"/>
        <w:ind w:left="-1120" w:firstLine="1304"/>
        <w:spacing w:after="0" w:line="253" w:lineRule="auto"/>
        <w:tabs>
          <w:tab w:leader="none" w:pos="5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considered together as one entity, maintain a system of internal accounting controls (as contemplated under Rule 13a-15(f) of the Exchange Act) designed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XBRL included in the Registration Statement, the Preliminary Prospectus Supplement and the Final Prospectus Supplement is in compliance with the SEC’s published rules, regulations and guidelines applicable thereto. The Company’s and its subsidiaries’ internal controls over financial reporting are effective and, except as set forth in the Pricing Disclosure Package and the Final Prospectus Supplement, the Company and its subsidiaries are not aware of any material weakness in their internal controls over financial reporting.</w:t>
      </w:r>
    </w:p>
    <w:p>
      <w:pPr>
        <w:spacing w:after="0" w:line="194"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53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maintain “</w:t>
      </w:r>
      <w:r>
        <w:rPr>
          <w:rFonts w:ascii="Times New Roman" w:cs="Times New Roman" w:eastAsia="Times New Roman" w:hAnsi="Times New Roman"/>
          <w:sz w:val="18"/>
          <w:szCs w:val="18"/>
          <w:u w:val="single" w:color="auto"/>
          <w:color w:val="auto"/>
        </w:rPr>
        <w:t>disclosure controls and procedures</w:t>
      </w:r>
      <w:r>
        <w:rPr>
          <w:rFonts w:ascii="Times New Roman" w:cs="Times New Roman" w:eastAsia="Times New Roman" w:hAnsi="Times New Roman"/>
          <w:sz w:val="18"/>
          <w:szCs w:val="18"/>
          <w:color w:val="auto"/>
        </w:rPr>
        <w:t>” (as such term is defined in Rule 13a-15(e) under the Exchange Act); such disclosure controls and procedures are effective, except as set forth in the Pricing Disclosure Package and the Final Prospectus Supplement.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5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taken, directly or indirectly (without giving effect to the activities of the Underwriters),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4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of them under applicable Environmental Laws to conduct their respective businesses and (iii) have not received notice of any actual or potential liability under any environmental law, except where such non-compliance with Environmental Laws, failure to receive required permits, licenses or other approvals, or liability would not, individually or in the aggregate, reasonably be expected to have a Material Adverse Effect. Neither the Company nor any of its subsidiaries has been named as a “</w:t>
      </w:r>
      <w:r>
        <w:rPr>
          <w:rFonts w:ascii="Times New Roman" w:cs="Times New Roman" w:eastAsia="Times New Roman" w:hAnsi="Times New Roman"/>
          <w:sz w:val="18"/>
          <w:szCs w:val="18"/>
          <w:u w:val="single" w:color="auto"/>
          <w:color w:val="auto"/>
        </w:rPr>
        <w:t>potentially responsible party</w:t>
      </w:r>
      <w:r>
        <w:rPr>
          <w:rFonts w:ascii="Times New Roman" w:cs="Times New Roman" w:eastAsia="Times New Roman" w:hAnsi="Times New Roman"/>
          <w:sz w:val="18"/>
          <w:szCs w:val="18"/>
          <w:color w:val="auto"/>
        </w:rPr>
        <w:t>” under the Comprehensive Environmental Response, Compensation, and Liability Act of 1980, as amended.</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5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reasonably be expected to, individually or in the aggregate,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267970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5" w:name="page16"/>
    <w:bookmarkEnd w:id="15"/>
    <w:p>
      <w:pPr>
        <w:jc w:val="both"/>
        <w:ind w:left="-8" w:firstLine="1304"/>
        <w:spacing w:after="0" w:line="261" w:lineRule="auto"/>
        <w:tabs>
          <w:tab w:leader="none" w:pos="163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the attention of the Company that has caused the Company to believe that the statistical and market-related data included in the Registration Statement, the Pricing Disclosure Package and the Final Prospectus Supplement is not based on or derived from sources that are reliable and accurate in all material respects, and, to the extent required by such sources, the Company has obtained the written consent to the use of such data from such sources.</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52" w:lineRule="auto"/>
        <w:tabs>
          <w:tab w:leader="none" w:pos="158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following events has occurred or exists: (i) a failure to fulfill the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a Plan,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that would reasonably be expected to have a Material Adverse Effect; (iii) any breach of any contractual obligation, or any violation of law or applicable qualification standards, with respect to the employment or compensation of employees by the Company or any of its subsidiaries that would reasonably be expected to have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w:t>
      </w:r>
      <w:r>
        <w:rPr>
          <w:rFonts w:ascii="Times New Roman" w:cs="Times New Roman" w:eastAsia="Times New Roman" w:hAnsi="Times New Roman"/>
          <w:sz w:val="18"/>
          <w:szCs w:val="18"/>
          <w:u w:val="single" w:color="auto"/>
          <w:color w:val="auto"/>
        </w:rPr>
        <w:t>accumulated post-retirement benefit obligations</w:t>
      </w:r>
      <w:r>
        <w:rPr>
          <w:rFonts w:ascii="Times New Roman" w:cs="Times New Roman" w:eastAsia="Times New Roman" w:hAnsi="Times New Roman"/>
          <w:sz w:val="18"/>
          <w:szCs w:val="18"/>
          <w:color w:val="auto"/>
        </w:rPr>
        <w:t>” (within the meaning of Statement of Financial Accounting Standards 106) of the Company and its subsidiaries compared to the amount of such obligations in the most recently completed fiscal year of the Company and its subsidiaries;</w:t>
      </w:r>
    </w:p>
    <w:p>
      <w:pPr>
        <w:spacing w:after="0" w:line="2"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3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or condition giving rise to a liability under Title IV of ERISA that would reasonably be expected to have a Material Adverse Effect; or (iv) the filing of a claim by one or more employees or former employees of the Company or any of its subsidiaries related to their employment that would reasonably be expected to have a Material Adverse Effect. For purposes of this paragraph, the term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 plan (within the meaning of Section 3(3) of ERISA) subject to Title IV of ERISA with respect to which the Company or any of its subsidiaries may have any liability.</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156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that are in effect and with which the Company is required to comply as of the Effective Date, including Section 402 relating to loans and Sections 302 and 906 relating to certifications.</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64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director, officer, or, to the knowledge of the Company, any employee or agent of the Company or any of its subsidiaries has taken any action, directly or indirectly, (i) in furtherance of a corrupt offer, payment, promise to pay, or authorization or approval of the payment, giving or receipt of money, property, gifts or anything else of value,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secure an unlawful business advantage, or (ii) in violation of the U.S. Foreign Corrupt Practices Act of 1977 or the U.K. Bribery Act 2010, each as amended, or similar applicable law of any other relevant jurisdiction, or the rules or regulations thereunder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The Company and its subsidiaries have instituted and maintained policies and procedures reasonably designed to promote and achieve compliance with Anti-Corruption Laws. No part of the proceeds of the offering will be used by the Company, its subsidiaries, or its affiliates, directly or, to the knowledge of the Company, indirectly, in violation of the Anti-Corruption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6" w:name="page17"/>
    <w:bookmarkEnd w:id="16"/>
    <w:p>
      <w:pPr>
        <w:jc w:val="both"/>
        <w:ind w:left="-1120" w:firstLine="1304"/>
        <w:spacing w:after="0" w:line="255" w:lineRule="auto"/>
        <w:tabs>
          <w:tab w:leader="none" w:pos="4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material compliance with applicable financial recordkeeping and reporting requirements, including, to the extent applicable, those of the Bank Secrecy Act, as amended by Title III of the Uniting and Strengthening America by Providing Appropriate Tools Required to Intercept and Obstruct Terrorism Act of 2001 (USA PATRIOT Act), and the anti-money laundering statutes and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63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any director, officer, or, to the knowledge of the Company, any employee or agent of the Company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(including sanctions administered or enforced by His Majesty’s Treasury of the United Kingdom) or other applicable sanctions authority where the Company or its subsidiaries operate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and such persons, “</w:t>
      </w:r>
      <w:r>
        <w:rPr>
          <w:rFonts w:ascii="Times New Roman" w:cs="Times New Roman" w:eastAsia="Times New Roman" w:hAnsi="Times New Roman"/>
          <w:sz w:val="18"/>
          <w:szCs w:val="18"/>
          <w:u w:val="single" w:color="auto"/>
          <w:color w:val="auto"/>
        </w:rPr>
        <w:t>Sanctioned Persons</w:t>
      </w:r>
      <w:r>
        <w:rPr>
          <w:rFonts w:ascii="Times New Roman" w:cs="Times New Roman" w:eastAsia="Times New Roman" w:hAnsi="Times New Roman"/>
          <w:sz w:val="18"/>
          <w:szCs w:val="18"/>
          <w:color w:val="auto"/>
        </w:rPr>
        <w:t>” and each such person, a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(ii) is located, organized or ordinarily resident in a country or territory that is, or whose government is, the subject of Sanctions that broadly prohibit dealings with that country or territory (collectively, “</w:t>
      </w:r>
      <w:r>
        <w:rPr>
          <w:rFonts w:ascii="Times New Roman" w:cs="Times New Roman" w:eastAsia="Times New Roman" w:hAnsi="Times New Roman"/>
          <w:sz w:val="18"/>
          <w:szCs w:val="18"/>
          <w:u w:val="single" w:color="auto"/>
          <w:color w:val="auto"/>
        </w:rPr>
        <w:t>Sanctioned Countries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and currently, Cuba, Iran, North Korea, Syria, Belarus, the so-called Donetsk People’s Republic, the so-called Luhansk People’s Republic, the Crimea region of Ukraine and other Covered Region (as defined in the Executive Order 14065) of Ukraine identified pursuant to the Executive Order 14065) or (iii) will, directly or knowingly indirectly, use the proceeds of this offering, or lend, contribute or otherwise make available such proceeds to any subsidiary, joint venture partner or other individual or entity to fund or facilitate any activities or business of or with a Sanctioned Person or Sanctioned Country, or in any other manner that would result in a violation of any Sanctions by, or could result in the imposition of Sanctions against, any individual or entity (including any individual or entity participating in the offering, whether as underwriter, advisor, investor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7" w:name="page18"/>
    <w:bookmarkEnd w:id="17"/>
    <w:p>
      <w:pPr>
        <w:jc w:val="both"/>
        <w:ind w:left="-1120" w:firstLine="1304"/>
        <w:spacing w:after="0" w:line="266" w:lineRule="auto"/>
        <w:tabs>
          <w:tab w:leader="none" w:pos="53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knowingly engaged in any dealings or transactions with or for the benefit of a Sanctioned Person, or with or in a Sanctioned Country, in the preceding five (5) years, nor does the Company or any of its subsidiaries have any plans to engage in dealings or transactions with or for the benefit of a Sanctioned Person, or with or in a Sanctioned Country.</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1" w:lineRule="auto"/>
        <w:tabs>
          <w:tab w:leader="none" w:pos="5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possess, license or have other rights to use, on reasonable terms, all patents, patent applications, trade and service marks, trade and service mark registrations, trade names, copyrights, licenses, inventions, trade secrets, technology, know-how and other intellectual property (collectively, the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for the conduct of the Company’s business in all material respects as now conducted or as proposed to be conducted in the Pricing Disclosure Package and the Final Prospectus Supplement, and, to the Company’s knowledge, the conduct of the respective businesses of the Company does not and will not infringe, misappropriate, or otherwise conflict in any material respect with any intellectual property of another. The Company and its subsidiaries have not received any written notice of any claim of infringement, misappropriation or conflict with any intellectual property right of another in connection with its patents, patent applications, patent rights, licenses, inventions, trademarks, service marks, trade names, copyrights and know-how, which could reasonably be expected to result in a Material Adverse Effect, and the Company is unaware of any facts which would form a reasonable basis for any such claim. There are no rights of third parties to any Intellectual Property owned by the Company and its subsidiaries (the “</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including no liens, security interests, or other encumbrances. To the Company’s knowledge, (a) there is no material infringement by third parties of any Company Intellectual Property; (b) there is no pending or, to the Company’s knowledge, threatened action, suit, proceeding or claim by others challenging the Company’s rights in or to any such Company Intellectual Property, and the Company is unaware of any facts which would form a reasonable basis for any such action, suit, proceeding, or claim; (c) such Company Intellectual Property has not been adjudged by a court of competent jurisdiction invalid or unenforceable, in whole or in part, there is no pending or, to the Company’s knowledge, threatened action, suit, proceeding or claim by others challenging the validity or scope of any such Company Intellectual Property, including interferences, oppositions, reexaminations, or government proceedings, and the Company is unaware of any facts which would form a reasonable basis for any such action, suit, proceeding, or claim; (d) there is no pending or, to the Company’s knowledge, threatened action, suit, proceeding or claim by others that the Company infringes, misappropriates, or otherwise violates, or would, upon the commercialization of any product or service described in the Pricing Disclosure Package and the Final Prospectus Supplement as under development, infringe, misappropriate, or otherwise violate, any patent, trademark, copyright, trade secret or other proprietary rights of others, and the Company is unaware of any other fact which would form a reasonable basis for any such action, suit, proceeding, or claim; (e) to the Company’s knowledge, the Company and its subsidiaries have taken all reasonable steps to protect, maintain and safeguard their Intellectual Property, including the execution of commercially reasonable nondisclosure, confidentiality agreements and invention assignment agreements and invention assignments with their employees, and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(f) to the Company’s knowledge, there are no material defects in any of the patents or patent applications included in the Intellectual Property; (g) there is no patent or published patent application in the U.S. or other jurisdiction which contains claims that dominate or may dominate any Intellectual Property described in the Pricing Disclosure Package and the Final Prospectus Supplement as being owned by or licensed to the Company or that interferes with the issued or pending claims of any such Intellectual Property; (h) there is no prior art of which the Company is aware that may render any patent held by the Company invalid or any patent application held by the Company unpatentable; and (i) all prior art of which the Company is aware that may be material to the validity of a U.S. patent or to the patentability of a U.S. patent application has been disclosed to the U.S. Patent and Trademark Office, and all such prior art has been disclosed to the patent office of other jurisdictions where required. All licenses to which the Company is a party relating to the Intellectual Property are in full force and effect and the Company is not in violation of any term of such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276225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18" w:name="page19"/>
    <w:bookmarkEnd w:id="18"/>
    <w:p>
      <w:pPr>
        <w:ind w:left="1640" w:hanging="336"/>
        <w:spacing w:after="0"/>
        <w:tabs>
          <w:tab w:leader="none" w:pos="1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does not have any material lending or other relationship with any bank or lending affiliate of the Underwriters and</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intend to use any of the proceeds from the sale of the Securities hereunder to repay any outstanding debt owed to any affiliate of the Underwriters.</w:t>
      </w:r>
    </w:p>
    <w:p>
      <w:pPr>
        <w:spacing w:after="0" w:line="181" w:lineRule="exact"/>
        <w:rPr>
          <w:rFonts w:ascii="Times New Roman" w:cs="Times New Roman" w:eastAsia="Times New Roman" w:hAnsi="Times New Roman"/>
          <w:sz w:val="18"/>
          <w:szCs w:val="18"/>
          <w:color w:val="auto"/>
        </w:rPr>
      </w:pPr>
    </w:p>
    <w:p>
      <w:pPr>
        <w:ind w:firstLine="1304"/>
        <w:spacing w:after="0" w:line="282" w:lineRule="auto"/>
        <w:tabs>
          <w:tab w:leader="none" w:pos="16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subsidiaries of the Company are set forth in the Pricing Disclosure Package and the Final Prospectus Supplement and are the only significant subsidiaries of the Company as defined by Rule 1-02 of Regulation S-X under the Securities Act.</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1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material security breach, unauthorized access, use, disclosure, modification, destruction or other incident or compromise of or relating to any of the Company’s or any of its subsidiaries’ information technology and computer systems, networks, hardware, software, data (including all personal information, personal data, personally identifiable information or similar information and the data of their respective customers, employees, suppliers, vendors and any third party data maintained by or on behalf of them),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the Company and its subsidiaries have no knowledge of any specific event or condition that would reasonably be expected to result in, any such material security breach, unauthorized access, use, disclosure, modification, destruction or other compromise of their IT Systems and Data. The Company and its subsidiaries employ commercially reasonable physical, technical, and administrative security measures, controls, safeguards, policies and procedures designed to (a) protect all IT Systems and Data from and against material unauthorized access, use and/or disclosure and (b) maintain the integrity, continuous operation, redundancy and security of the IT Systems and Data. The Company and its subsidiaries are presently, and for the past four</w:t>
      </w:r>
    </w:p>
    <w:p>
      <w:pPr>
        <w:spacing w:after="0" w:line="6"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years have been, in compliance with all applicable laws, regulations and statutes, including to the extent applicable, the California Consumer Privacy Act and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(and all other applicable laws and regulations governing the data privacy and security of personal information or personal data), and all judgments, orders, rules, directives and decrees of any court or arbitrator or governmental or regulatory authority, company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and the Company and its subsidiaries have implemented backup and disaster recovery technology consistent with industry standards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firstLine="1304"/>
        <w:spacing w:after="0" w:line="266" w:lineRule="auto"/>
        <w:tabs>
          <w:tab w:leader="none" w:pos="160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the proceeds received by the Company from the issuance, sale and delivery of the Securities as described in the Pricing Disclosure Package and the Final Prospectus Supplement will not violate Regulation T, U or X of the Board of Governors of the Federal Reserve system or any other regulation of such Board of Governors.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contract, agreement or understanding with any person (other than this Agreement) that would give rise to a valid claim against the Company or any of its subsidiaries or the Underwriters for a brokerage commission, finder’s fee or like payment in connection with the offering and sale of the Securities or any transaction contemplated by this Agreement, the Registration Statement, Pricing Disclosure Package or the Final Prospectus Supplement.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forward-looking statement (within the meaning of Section 27A of the Securities Act and Section 21E of the Exchange Act) contained in either the Pricing Disclosure Package or the Final Prospectus Supplement has been made or reaffirmed without a reasonable basis or has been disclosed other than in good faith.</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Pricing Disclosure Package and the Final Prospectus Supplement, each of the Company and the subsidiaries, and, to the Company’s knowledge, each of their affiliates and any director, officer or employee of, or other person associated with or acting on behalf of, the Company has acted at all times in compliance in all material respects with applicable Export and Import Laws (as defined below) and there are no claims, complaints, charges, investigations or proceedings pending or, to the knowledge of the Company, threatened between the Company or any of the subsidiaries and any governmental authority under any Export or Import Laws. The term “Export and Import Laws”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neither the Company nor any of its affiliates (within the meaning of FINRA Rule 5121(f)(1)) directly or indirectly controls (within the meaning of FINRA Rule 5121(f)(6)), is controlled by, or is under common control with, or is an associated person (within the meaning of Article I, Section 1(ee) of the bylaws of FINRA) of, any member firm of FINRA.</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certificate signed by any officer of the Company and delivered to the Representative or counsel for the Underwriters in connection with the offering of the Securities shall be deemed a representation and warranty by the Company, as to matters covered thereby, to each 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656"/>
        <w:spacing w:after="0" w:line="253" w:lineRule="auto"/>
        <w:tabs>
          <w:tab w:leader="none" w:pos="8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xml:space="preserve">. Subject to the terms and conditions and in reliance upon the representations and warranties herein set forth, the Company agrees to sell to each Underwriter, and each Underwriter agrees, severally and not jointly, to purchase from the Company, (a) at a purchase price per share of $1.269, the number of Firm Shares set forth opposite the name of such Underwriter in Schedule I hereto, (b) Pre-Funded Warrants to purchase 5,000,000 shares of Common Stock at a price of $1.2689 per Pre-Funded Warrant, and (c)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the denominator of which is the maximum number of Optional Shares that all of the Underwriters are entitled to purchase hereunder.</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hereby grants to the Underwriters the right to purchase at their election up to 6,150,000 Optional Shares (subject to appropriate adjustment in the event of any stock dividend, stock split, combination or other similar recapitalization), at the purchase price per share set forth in the paragraph above (subject to appropriate adjustment in the event of any stock dividend, stock split, combination or other similar recapitalization), for the sole purpose of covering over-allotments made in connection with the offering of the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3 hereof) or, unless you and the Company otherwise agree in writing, earlier than two or later than ten business days after the date of such notice.</w:t>
      </w:r>
    </w:p>
    <w:p>
      <w:pPr>
        <w:spacing w:after="0" w:line="188" w:lineRule="exact"/>
        <w:rPr>
          <w:sz w:val="20"/>
          <w:szCs w:val="20"/>
          <w:color w:val="auto"/>
        </w:rPr>
      </w:pPr>
    </w:p>
    <w:p>
      <w:pPr>
        <w:jc w:val="both"/>
        <w:ind w:firstLine="656"/>
        <w:spacing w:after="0" w:line="253" w:lineRule="auto"/>
        <w:tabs>
          <w:tab w:leader="none" w:pos="8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and Payment</w:t>
      </w:r>
      <w:r>
        <w:rPr>
          <w:rFonts w:ascii="Times New Roman" w:cs="Times New Roman" w:eastAsia="Times New Roman" w:hAnsi="Times New Roman"/>
          <w:sz w:val="18"/>
          <w:szCs w:val="18"/>
          <w:color w:val="auto"/>
        </w:rPr>
        <w:t>. Delivery of and payment for the Firm Securities shall be made at 10:00 AM, New York City time, on October 17, 2025, or at such time on such later date not more than two Business Days after the foregoing date as the Representative shall designate, which date and time may be postponed by agreement between the Representative and the Company or as provided in Section 9 hereof. Delivery of and payment for the Optional Shares shall be made at 10:00 AM, New York City time, on the date specified by the Representative in each written notice given by the Representative of the Underwriters’ election to purchase such Optional Shares, or such other time and date as the Representative and the Company may agree upon in writing. Such time and date for delivery of the Firm Securities is herein called the “</w:t>
      </w:r>
      <w:r>
        <w:rPr>
          <w:rFonts w:ascii="Times New Roman" w:cs="Times New Roman" w:eastAsia="Times New Roman" w:hAnsi="Times New Roman"/>
          <w:sz w:val="18"/>
          <w:szCs w:val="18"/>
          <w:u w:val="single" w:color="auto"/>
          <w:color w:val="auto"/>
        </w:rPr>
        <w:t>First Time of Delivery</w:t>
      </w:r>
      <w:r>
        <w:rPr>
          <w:rFonts w:ascii="Times New Roman" w:cs="Times New Roman" w:eastAsia="Times New Roman" w:hAnsi="Times New Roman"/>
          <w:sz w:val="18"/>
          <w:szCs w:val="18"/>
          <w:color w:val="auto"/>
        </w:rPr>
        <w:t>”, such time and date for delivery of the Optional Shares, if not the First Time of Delivery, is herein called the “</w:t>
      </w:r>
      <w:r>
        <w:rPr>
          <w:rFonts w:ascii="Times New Roman" w:cs="Times New Roman" w:eastAsia="Times New Roman" w:hAnsi="Times New Roman"/>
          <w:sz w:val="18"/>
          <w:szCs w:val="18"/>
          <w:u w:val="single" w:color="auto"/>
          <w:color w:val="auto"/>
        </w:rPr>
        <w:t>Second Time of Delivery</w:t>
      </w:r>
      <w:r>
        <w:rPr>
          <w:rFonts w:ascii="Times New Roman" w:cs="Times New Roman" w:eastAsia="Times New Roman" w:hAnsi="Times New Roman"/>
          <w:sz w:val="18"/>
          <w:szCs w:val="18"/>
          <w:color w:val="auto"/>
        </w:rPr>
        <w:t>”, and each such time and date for delivery is herein called a “</w:t>
      </w:r>
      <w:r>
        <w:rPr>
          <w:rFonts w:ascii="Times New Roman" w:cs="Times New Roman" w:eastAsia="Times New Roman" w:hAnsi="Times New Roman"/>
          <w:sz w:val="18"/>
          <w:szCs w:val="18"/>
          <w:u w:val="single" w:color="auto"/>
          <w:color w:val="auto"/>
        </w:rPr>
        <w:t>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Delivery</w:t>
      </w:r>
      <w:r>
        <w:rPr>
          <w:rFonts w:ascii="Times New Roman" w:cs="Times New Roman" w:eastAsia="Times New Roman" w:hAnsi="Times New Roman"/>
          <w:sz w:val="18"/>
          <w:szCs w:val="18"/>
          <w:color w:val="auto"/>
        </w:rPr>
        <w:t>”. Delivery of the Securities shall be made to the Representative for the respective accounts of the several Underwriters against payment by the several Underwriters through the Representative of the purchase price thereof to or upon the order of the Company by wire transfer payable in same-day funds to an account specified by the Company. Delivery of the Shares shall be made through the facilities of The Depository Trust Company unless the Representative shall otherwise instruct. The Pre-Funded Warrants shall be delivered by the Company in physical certificated form at the direction of the Representative, issued in such names and in such denominations as the Representative may direct by notice in writing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ind w:left="-656" w:firstLine="656"/>
        <w:spacing w:after="0" w:line="282" w:lineRule="auto"/>
        <w:tabs>
          <w:tab w:leader="none" w:pos="17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by Underwriters</w:t>
      </w:r>
      <w:r>
        <w:rPr>
          <w:rFonts w:ascii="Times New Roman" w:cs="Times New Roman" w:eastAsia="Times New Roman" w:hAnsi="Times New Roman"/>
          <w:sz w:val="18"/>
          <w:szCs w:val="18"/>
          <w:color w:val="auto"/>
        </w:rPr>
        <w:t>. It is understood that the several Underwriters propose to offer the Securities for sale to the public as set forth in the Final Prospectus Supplement.</w:t>
      </w:r>
    </w:p>
    <w:p>
      <w:pPr>
        <w:spacing w:after="0" w:line="16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Company agrees with the several Underwriters that: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2" w:lineRule="auto"/>
        <w:tabs>
          <w:tab w:leader="none" w:pos="8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termination of the offering of the Securities, the Company will not file any amendment of the Registration Statement or supplement (including any Preliminary Prospectus Supplement or the Final Prospectus Supplement) to the Base Prospectus or any Rule 462(b) Registration Statement unless the Company has furnished you a copy for your review prior to filing and will not file any such proposed amendment or supplement to which you reasonably object. The Company will cause the Final Prospectus Supplement, properly completed, and any supplement thereto to be filed in a form approved by the Representative with the SEC pursuant to the applicable paragraph of Rule 424(b) within the time period prescribed and will provide evidence satisfactory to the Representative of such timely filing. The Company will promptly advise the Representative (i) when the Final Prospectus Supplement, and any supplement thereto, shall have been filed (if required) with the SEC pursuant to Rule 424(b) or when any Rule 462(b) Registration Statement shall have been filed with the SEC, (ii) when, prior to termination of the offering of the Securities, any amendment to the Registration Statement shall have been filed or become effective, (iii) of any request by the SEC or its staff for any amendment of the Registration Statement, or any Rule 462(b) Registration Statement, or for any supplement to the Final Prospectus Supplement or for any additional information, (iv) of the issuance by the SEC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w:t>
      </w:r>
    </w:p>
    <w:p>
      <w:pPr>
        <w:spacing w:after="0" w:line="193" w:lineRule="exact"/>
        <w:rPr>
          <w:rFonts w:ascii="Times New Roman" w:cs="Times New Roman" w:eastAsia="Times New Roman" w:hAnsi="Times New Roman"/>
          <w:sz w:val="18"/>
          <w:szCs w:val="18"/>
          <w:color w:val="auto"/>
        </w:rPr>
      </w:pPr>
    </w:p>
    <w:p>
      <w:pPr>
        <w:jc w:val="both"/>
        <w:ind w:left="-656" w:firstLine="1304"/>
        <w:spacing w:after="0" w:line="256" w:lineRule="auto"/>
        <w:tabs>
          <w:tab w:leader="none" w:pos="89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filing of the Final Prospectus Supplement pursuant to Rule 424(b), any event occurs as a result of which the Pricing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 so that any use of the Pricing Disclosure Package may cease until it is amended or supplemented; (ii) amend or supplement the Pricing Disclosure Package to correct such statement or omission; and (iii) supply any amendment or supplement to you in such quantities as you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267970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2" w:name="page23"/>
    <w:bookmarkEnd w:id="22"/>
    <w:p>
      <w:pPr>
        <w:jc w:val="both"/>
        <w:ind w:left="-1120" w:firstLine="1304"/>
        <w:spacing w:after="0" w:line="253" w:lineRule="auto"/>
        <w:tabs>
          <w:tab w:leader="none" w:pos="4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when a prospectus relating to the Securities is required to be delivered under the Securities Act (including in circumstances where such requirement may be satisfied pursuant to Rule 172), any event occurs as a result of which the Final Prospectus Supplement as then supplemented would include any untrue statement of a material fact or omit to state any material fact necessary in order to make the statements therein in the light of the circumstances under which they were made or the circumstances then prevailing not misleading, or if it shall be necessary to amend the Registration Statement, file a new registration statement or supplement the Final Prospectus Supplement to comply with the Securities Act or the Exchange Act or the respective rules thereunder, including in connection with use or delivery of the Final Prospectus Supplement, the Company promptly will (i) notify the Representative of any such event, (ii) prepare and file with the SEC, subject to the second sentence of paragraph (a) of this Section 5, an amendment or supplement or new registration statement which will correct such statement or omission or effect such compliance, (iii) use its best efforts to have any amendment to the Registration Statement or new registration statement declared effective as soon as practicable in order to avoid any disruption in use of the Final Prospectus Supplement and (iv) supply any supplemented Final Prospectus Supplement to you in such quantities as you may reasonably request.</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the Company will make generally available to its security holders and to the Representative an earnings statement or statements of the Company and its subsidiaries which will satisfy the provisions of Section 11(a) of the Securities Act and Rule 158 under the Securities Act.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42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to the Representative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Securities Act (including in circumstances where such requirement may be satisfied pursuant to Rule 172), as many copies of each Preliminary Prospectus Supplement, the Final Prospectus Supplement and each Issuer Free Writing Prospectus and any supplement thereto as the Representative may reasonably request. The Company will pay the expenses of printing or other production of all documents relating to the offering.</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9" w:lineRule="auto"/>
        <w:tabs>
          <w:tab w:leader="none" w:pos="4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arrange, if necessary, for the qualification of the Securities for sale under the laws of such jurisdictions as the Representative may reasonably designate and will maintain such qualifications in effect so long as required for the distribution of the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Company be obligated to qualify to do business in any jurisdiction where it is not now so qualified or to take any action that would subject it to service of process in suits, other than those arising out of the offering or sale of the Securities, in any jurisdiction where it is not now so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404495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3" w:name="page24"/>
    <w:bookmarkEnd w:id="23"/>
    <w:p>
      <w:pPr>
        <w:jc w:val="both"/>
        <w:ind w:left="-1120" w:firstLine="1304"/>
        <w:spacing w:after="0" w:line="252" w:lineRule="auto"/>
        <w:tabs>
          <w:tab w:leader="none" w:pos="4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without the prior written consent of the Representative, offer, sell, contract to sell, pledge, hedge,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submission (or participation in the filing or submission) of a registration statement with the SEC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 publicly announce an intention to effect any such transaction, for a period of 90 days after the date of this Agreement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may (i) effect the transactions contemplated hereby, (ii) issue and sell Common Stock pursuant to any employee stock option plan, stock incentive plan, stock ownership plan or dividend reinvestment plan of the Company in effect at the Execution Time and as described in the Registration Statement, the Pricing Disclosure Package and the Final Prospectus Supplement (including the issuance of Common Stock issuable upon the exercise of options to purchase shares of Common Stock granted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newly appointed director or executive officer that is appointed during the Restricted Period and that is a recipient of such securities shall execute and deliver to the Representative a lock-up agreement substantially in the form of the lock-up letter described in Section 6(m) hereof covering the remainder of the Restricted Period, (iii) issue Common Stock issuable upon the conversion of securities or the exercise of warrants outstanding at the Execution Time, or (iv) Common Stock, or securities convertible into or exercisable for Common Stock, issued to the Company’s lenders in exchange for outstanding amounts under the Company’s loan agreements which are set forth in the Pricing Disclosure Package and the Final Prospectus Supplement,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Company’s lenders shall execute and deliver to the Representative a lock-up agreement substantially in the form of the lock-up letter described in Section 6(m) hereof.</w:t>
      </w:r>
    </w:p>
    <w:p>
      <w:pPr>
        <w:spacing w:after="0" w:line="193"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Restricted Period, the Company will use its best efforts to enforce the terms of all existing agreements, plans and arrangements restricting the transfer by any holder of such holder’s shares of Common Stock or securities convertible into or exercisable or exchangeable for Common Stock. The Company will issue stop-transfer instructions to the transfer agent with respect to any transaction that would constitute a breach of, or default under, such provisions. During the Restricted Period, the Company will use its best efforts to enforce, and not waive or amend, such stop-transfer instructions and any transfer restriction, including any “market standoff,” “holdback” or similar agreement or provision, applicable to any such securities unless the Company shall have obtained the prior written consent of the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Section 5(h) shall not prohibit the Company from effecting such a waiver or amendment to permit a transfer of securities which is permissible under the terms of the existing agreements, plans and arrangements restricting such transfers.</w:t>
      </w:r>
    </w:p>
    <w:p>
      <w:pPr>
        <w:spacing w:after="0" w:line="191" w:lineRule="exact"/>
        <w:rPr>
          <w:rFonts w:ascii="Times New Roman" w:cs="Times New Roman" w:eastAsia="Times New Roman" w:hAnsi="Times New Roman"/>
          <w:sz w:val="18"/>
          <w:szCs w:val="18"/>
          <w:color w:val="auto"/>
        </w:rPr>
      </w:pPr>
    </w:p>
    <w:p>
      <w:pPr>
        <w:ind w:left="-1120" w:firstLine="1304"/>
        <w:spacing w:after="0" w:line="282" w:lineRule="auto"/>
        <w:tabs>
          <w:tab w:leader="none" w:pos="39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reasonable best efforts to maintain the listing for the Shares and Pre-Funded Warrant Shares issued and sold by the Company on Nasdaq.</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39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take, directly or indirectly (without giving effect to activities by the Underwriters),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260350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4" w:name="page25"/>
    <w:bookmarkEnd w:id="24"/>
    <w:p>
      <w:pPr>
        <w:jc w:val="both"/>
        <w:ind w:left="-8" w:firstLine="1304"/>
        <w:spacing w:after="0" w:line="251" w:lineRule="auto"/>
        <w:tabs>
          <w:tab w:leader="none" w:pos="154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pay the costs and expenses relating to the following matters: (i) the preparation, printing or reproduction and filing with the SEC of the Registration Statement (including financial statements and exhibits thereto), each Preliminary Prospectus Supplement, the Final Prospectus Supplement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Supplement, the Final Prospectus Supplement and each Issuer Free Writing Prospectus, and all amendments or supplements to any of them, as may, in each case, be reasonably requested for use in connection with the offering and sale of the Securities; (iii) the preparation, printing, authentication, issuance and delivery of certificates for the Securities, including any stamp or transfer taxes in connection with the original issuance and sale of the Securities to the Underwriters (but not any such stamp or transfer taxes imposed on a subsequent transfer of the Securities, which taxes shall not be subject to indemnification pursuant to this clause); (iv) the printing (or reproduction) and delivery of this Agreement, any blue sky memorandum and all other agreements or documents printed (or reproduced) and delivered in connection with the offering of the Securities; (v) the registration of the Securities under the Exchange Act and the listing of the Shares and Pre-Funded Warrant Shares on Nasdaq; (vi) any registration or qualification of the Securities for offer and sale under the securities or blue sky laws of the several states (including filing fees and the reasonable fees and expenses of counsel for the Underwriters relating to such registration and qualification); (vii) any filings required to be made with FINRA (including filing fees and the reasonable fees and expenses of counsel for the Underwriters relating to such filings); (viii) the reasonable fees and expenses of counsel for the Underwriters relating to the offering contemplated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fees and expenses of counsel for the Underwriters with respect to clauses (vi), (vii) and (viii) shall not exceed $80,000 in the aggregate; (ix) the transportation and other expenses incurred by or on behalf of Company representatives in connection with presentations to prospective purchasers of the Securities; (x) the fees and expenses of the Company’s accountants and the fees and expenses of counsel (including local and special counsel) for the Company; (xi) certain out of pocket expenses of the Underwriters in an amount not to exceed $20,000; and</w:t>
      </w:r>
    </w:p>
    <w:p>
      <w:pPr>
        <w:spacing w:after="0" w:line="9" w:lineRule="exact"/>
        <w:rPr>
          <w:rFonts w:ascii="Times New Roman" w:cs="Times New Roman" w:eastAsia="Times New Roman" w:hAnsi="Times New Roman"/>
          <w:sz w:val="18"/>
          <w:szCs w:val="18"/>
          <w:color w:val="auto"/>
        </w:rPr>
      </w:pPr>
    </w:p>
    <w:p>
      <w:pPr>
        <w:ind w:left="352" w:hanging="352"/>
        <w:spacing w:after="0"/>
        <w:tabs>
          <w:tab w:leader="none" w:pos="3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costs and expenses incident to the performance by the Company of its obligations hereunder.</w:t>
      </w:r>
    </w:p>
    <w:p>
      <w:pPr>
        <w:spacing w:after="0" w:line="206"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50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unless it has or shall have obtained the prior written consent of the Representative, and each Underwriter, severally and not jointly, agrees with the Company that, unless it has or shall have obtained, as the case may be, the prior written consent of the Company, it has not made and will not make any offer relating to the Securities that would constitute an Issuer Free Writing Prospectus or that would otherwise constitute a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(as defined in Rule 405) required to be filed by the Company with the SEC or retained by the Company under Rule 433 under the Securities Act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prior written consent of the parties hereto shall be deemed to have been given in respect of the Free Writing Prospectuses included in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and any electronic road show. Any such free writing prospectus consented to by the Representative or the Company is hereinafter referred to as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The Company agrees that (x) it has treated and will treat, as the case may be, each Permitted Free Writing Prospectus as an Issuer Free Writing Prospectus and (y) it has complied and will comply, as the case may be, with the requirements of Rule 164 under the Securities Act (“</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and Rule 433 applicable to any Permitted Free Writing Prospectus, including in respect of timely filing with the SEC, legending and record keeping.</w:t>
      </w:r>
    </w:p>
    <w:p>
      <w:pPr>
        <w:spacing w:after="0" w:line="194" w:lineRule="exact"/>
        <w:rPr>
          <w:rFonts w:ascii="Times New Roman" w:cs="Times New Roman" w:eastAsia="Times New Roman" w:hAnsi="Times New Roman"/>
          <w:sz w:val="18"/>
          <w:szCs w:val="18"/>
          <w:color w:val="auto"/>
        </w:rPr>
      </w:pPr>
    </w:p>
    <w:p>
      <w:pPr>
        <w:ind w:left="-8" w:firstLine="1304"/>
        <w:spacing w:after="0" w:line="282" w:lineRule="auto"/>
        <w:tabs>
          <w:tab w:leader="none" w:pos="15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notify the Representative if the Company ceases to be an Emerging Growth Company at any time prior to the later of (a) completion of the distribution of the Securities within the meaning of the Securities Act and (b) completion of the Restricted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25" w:name="page26"/>
    <w:bookmarkEnd w:id="25"/>
    <w:p>
      <w:pPr>
        <w:jc w:val="both"/>
        <w:ind w:left="-656" w:firstLine="1304"/>
        <w:spacing w:after="0" w:line="256" w:lineRule="auto"/>
        <w:tabs>
          <w:tab w:leader="none" w:pos="89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distribution of any Written Testing-the-Waters Communication, any event occurs as a result of which such Written Testing-the-Waters Communication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Representative so that use of the Written Testing-the-Waters Communication may cease until it is amended or supplemented; (ii) amend or supplement the Written Testing-the-Waters Communication to correct such statement or omission; and (iii) supply any amendment or supplement to the Representative in such quantities as may be reasonably requested.</w:t>
      </w:r>
    </w:p>
    <w:p>
      <w:pPr>
        <w:spacing w:after="0" w:line="187"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89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reserve and keep available at all times a sufficient number of shares of Common Stock out of the aggregate of its authorized but unissued or treasury shares available to the Company, and, in each case, otherwise unreserved Common Stock, for the purpose of enabling the Company to issue the Pre-Funded Warrant Shares upon exercise of such Pre-Funded Warrants, the number of Pre-Funded Warrant Shares that are initially issuable and deliverable upon the then-outstanding Pre-Funded Warrants.</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91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at all times while any Pre-Funded Warrants are outstanding and exercisable, use its commercially reasonable efforts to maintain a registration statement covering the issue and sale of the Pre-Funded Warrant Shares upon exercise of the Pre-Funded Warrants such that the Pre-Funded Warrant Shares, when issued, will not be subject to resale restrictions under the Securities Act except to the extent that the Pre-Funded Warrant Shares are owned by affiliates.</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19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Obligations of the Underwriters</w:t>
      </w:r>
      <w:r>
        <w:rPr>
          <w:rFonts w:ascii="Times New Roman" w:cs="Times New Roman" w:eastAsia="Times New Roman" w:hAnsi="Times New Roman"/>
          <w:sz w:val="18"/>
          <w:szCs w:val="18"/>
          <w:color w:val="auto"/>
        </w:rPr>
        <w:t>. The obligations of the Underwriters to purchase the Securities shall be subject to the accuracy of the representations and warranties on the part of the Company contained herein as of the Execution Time and each Time of Delivery, to the accuracy of the statements of the Company made in any certificates pursuant to the provisions hereof, to the performance by the Company of its obligations hereunder and to the following additional conditions:</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88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Prospectus Supplement, and any supplement thereto, have been filed in the manner and within the time period required by Rule 424(b); any other material required to be filed by the Company pursuant to Rule 433(d) shall have been filed with the SEC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92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(i) Lowenstein Sandler LLP, counsel for the Company, to have furnished to the Representative their opinion and negative assurance letter, dated each Time of Delivery, and addressed to the Representative, in a form reasonably acceptable to the Representative and (ii) Parsons Behle &amp; Latimer, Nevada counsel for the Company, to have furnished to the Representative their opinion, dated each Time of Delivery, and addressed to the Representative, in a form reasonably acceptable to the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262890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6" w:name="page27"/>
    <w:bookmarkEnd w:id="26"/>
    <w:p>
      <w:pPr>
        <w:jc w:val="both"/>
        <w:ind w:left="-1120" w:firstLine="1304"/>
        <w:spacing w:after="0" w:line="266" w:lineRule="auto"/>
        <w:tabs>
          <w:tab w:leader="none" w:pos="4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Financial Officer of the Company shall have delivered to the Representative a certificate, at the Execution Time and at each Time of Delivery, letters, dated respectively as of the Execution Time and as of each Time of Delivery, in a form reasonably acceptable to the Representative.</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shall have received from Mintz, Levin, Cohn, Ferris, Glovsky and Popeo, P.C., counsel for the Underwriters, such opinion and negative assurance letter, dated each Time of Delivery and addressed to the Representative, with respect to the issuance and sale of the Securities, the Registration Statement, the Pricing Disclosure Package, the Final Prospectus Supplement (together with any supplement thereto) and other related matters as the Representative may reasonably require, and the Company shall have furnished to such counsel such documents as they request for the purpose of enabling them to pass upon such matters.</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Wolf, Greenfield &amp; Sacks, P.C., intellectual property counsel for the Company, to have furnished to the Representative their opinion, dated each Time of Delivery, and addressed to the Representative, in a form reasonably acceptable to the Representative.</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the Representative a certificate of the Company, signed by the Chief Executive Officer and the Chief Financial Officer of the Company, dated each Time of Delivery, to the effect that the signers of such certificate have carefully examined the Registration Statement, the Pricing Disclosure Package, the Final Prospectus Supplement and any amendment or supplement thereto, as well as each electronic road show used in connection with the offering of the Securities, and this Agreement and that:</w:t>
      </w:r>
    </w:p>
    <w:p>
      <w:pPr>
        <w:spacing w:after="0" w:line="179" w:lineRule="exact"/>
        <w:rPr>
          <w:rFonts w:ascii="Times New Roman" w:cs="Times New Roman" w:eastAsia="Times New Roman" w:hAnsi="Times New Roman"/>
          <w:sz w:val="18"/>
          <w:szCs w:val="18"/>
          <w:color w:val="auto"/>
        </w:rPr>
      </w:pPr>
    </w:p>
    <w:p>
      <w:pPr>
        <w:jc w:val="both"/>
        <w:ind w:left="-1120" w:firstLine="1952"/>
        <w:spacing w:after="0" w:line="266" w:lineRule="auto"/>
        <w:tabs>
          <w:tab w:leader="none" w:pos="104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Agreement are true and correct on and as of such Time of Delivery with the same effect as if made on such Time of Delivery and the Company has complied with all the agreements and satisfied all the conditions on its part to be performed or satisfied at or prior to such Time of Delivery;</w:t>
      </w:r>
    </w:p>
    <w:p>
      <w:pPr>
        <w:spacing w:after="0" w:line="175" w:lineRule="exact"/>
        <w:rPr>
          <w:rFonts w:ascii="Times New Roman" w:cs="Times New Roman" w:eastAsia="Times New Roman" w:hAnsi="Times New Roman"/>
          <w:sz w:val="18"/>
          <w:szCs w:val="18"/>
          <w:color w:val="auto"/>
        </w:rPr>
      </w:pPr>
    </w:p>
    <w:p>
      <w:pPr>
        <w:ind w:left="-1120" w:firstLine="1952"/>
        <w:spacing w:after="0" w:line="282" w:lineRule="auto"/>
        <w:tabs>
          <w:tab w:leader="none" w:pos="110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61" w:lineRule="exact"/>
        <w:rPr>
          <w:rFonts w:ascii="Times New Roman" w:cs="Times New Roman" w:eastAsia="Times New Roman" w:hAnsi="Times New Roman"/>
          <w:sz w:val="18"/>
          <w:szCs w:val="18"/>
          <w:color w:val="auto"/>
        </w:rPr>
      </w:pPr>
    </w:p>
    <w:p>
      <w:pPr>
        <w:ind w:left="-1120" w:right="20" w:firstLine="1952"/>
        <w:spacing w:after="0" w:line="282" w:lineRule="auto"/>
        <w:tabs>
          <w:tab w:leader="none" w:pos="115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financial statements included in the Pricing Disclosure Package and the Final Prospectus Supplement (exclusive of any amendment or supplement thereto), there has been no Material Adverse Effect.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requested and caused CBIZ CPAs P.C. to have furnished to the Representative, at the Execution Time and at each Time of Delivery, letters, dated respectively as of the Execution Time and as of each Time of Delivery, in form and substance reasonably satisfactory to the Representative, containing statements and information of the type ordinarily included in accountants “comfort letters” to underwriters.</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Time or, if earlier, the dates as of which information is given in the Registration Statement (exclusive of any amendment thereof) and the Final Prospectus Supplement (exclusive of any amendment or supplement thereto), there shall not have been (i) any change or decrease specified in the letter or letters referred to in paragraph (e)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the effect of which, in any case referred to in clause (i) or (ii) above, is, in the sole judgment of the Representative, so material and adverse as to make it impractical or inadvisable to proceed with the offering or delivery of the Securities as contemplated by the Registration Statement (exclusive of any amendment thereof), the Pricing Disclosure Package and the Final Prospectus Supplement (exclusive of any amendment or supplement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270510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7" w:name="page28"/>
    <w:bookmarkEnd w:id="27"/>
    <w:p>
      <w:pPr>
        <w:ind w:firstLine="1304"/>
        <w:spacing w:after="0" w:line="282" w:lineRule="auto"/>
        <w:tabs>
          <w:tab w:leader="none" w:pos="15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each Time of Delivery, the Company shall have furnished to the Representative a Secretary’s Certificate, in form and substance reasonably satisfactory to the Representative and customary for the type of offering contemplated by this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3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each Time of Delivery, the Company shall have furnished to the Representative such further information, certificates and documents as the Representative may reasonably request.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(and prior to each Time of Delivery, will be) no debt securities, convertible securities or preferred stock issued or guaranteed by the Company or any of its subsidiaries that are rated by a “nationally recognized statistical rating organization” (as defined for purposes of Rule 3(a)(62) under the Exchange Act).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filed a listing of additional shares covering the Shares and Pre-Funded Warrant Shares with Nasdaq, and satisfactory evidence of such actions shall have been provided to the Representative.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Execution Time, the Company shall have furnished to the Representative a letter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from each executive officer and director of the Company and certain stockholders of the Company identified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hereto addressed to the Representative.</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copies, duly executed by the Company, of the Pre-Funded Warrants. There shall exist no event or condition which would constitute a default or an event of default under the Pre-Funded Warrants.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 and counsel for the Underwriters, this Agreement and all obligations of the Underwriters hereunder may be canceled at, or at any time prior to, the respective Time of Delivery by the Representative. Notice of such cancellation shall be given to the Company in writing or by telephone or facsimile confirmed in writing.</w:t>
      </w:r>
    </w:p>
    <w:p>
      <w:pPr>
        <w:spacing w:after="0" w:line="183" w:lineRule="exact"/>
        <w:rPr>
          <w:sz w:val="20"/>
          <w:szCs w:val="20"/>
          <w:color w:val="auto"/>
        </w:rPr>
      </w:pPr>
    </w:p>
    <w:p>
      <w:pPr>
        <w:jc w:val="both"/>
        <w:ind w:firstLine="656"/>
        <w:spacing w:after="0" w:line="256" w:lineRule="auto"/>
        <w:tabs>
          <w:tab w:leader="none" w:pos="8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Underwriters’ Expenses</w:t>
      </w:r>
      <w:r>
        <w:rPr>
          <w:rFonts w:ascii="Times New Roman" w:cs="Times New Roman" w:eastAsia="Times New Roman" w:hAnsi="Times New Roman"/>
          <w:sz w:val="18"/>
          <w:szCs w:val="18"/>
          <w:color w:val="auto"/>
        </w:rPr>
        <w:t>. If the sale of the Securities provided for herein is not consummated because any condition to the obligations of the Underwriters set forth in Section 6 hereof is not satisfied, because of any termination pursuant to Section 9 hereof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 on demand for all reasonable and documented expenses (including reasonable fees and disbursements of counsel for the Underwriters) that shall have been incurred by them in connection with the proposed purchase and sale of the Securities, subject to the limitations set forth in Section 5(k).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ind w:left="184" w:hanging="184"/>
        <w:spacing w:after="0"/>
        <w:tabs>
          <w:tab w:leader="none" w:pos="1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2" w:lineRule="auto"/>
        <w:tabs>
          <w:tab w:leader="none" w:pos="9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indemnify and hold harmless each Underwriter, the directors, officers, employees, affiliates and agents of each Underwriter and each person who controls any Underwriter within the meaning of either the Securities Act or the Exchange Act against any and all losses, claims, damages or liabilities, joint or several, to which they or any of them may become subject under the Securities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any Preliminary Prospectus Supplement, the Pricing Disclosure Package or the Final Prospectus Supplement, any Issuer Free Writing Prospectus (including, for the avoidance of doubt, in any road show as defined in Rule 433(h) under the Securities Act), or any Written Testing-the-Waters Communication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documented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 specifically for inclusion therein. This indemnity agreement will be in addition to any liability which the Company may otherwise have.</w:t>
      </w:r>
    </w:p>
    <w:p>
      <w:pPr>
        <w:spacing w:after="0" w:line="195"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91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agrees to indemnify and hold harmless the Company, each of its directors, each of its officers who signs the Registration Statement, and each person who controls the Company within the meaning of either the Securities Act or the Exchange Act, to the same extent as the foregoing indemnity from the Company to each Underwriter, but only with reference to written information relating to such Underwriter furnished to the Company by or on behalf of such Underwriter through the Representative specifically for inclusion in the documents referred to in the foregoing indemnity. This indemnity agreement will be in addition to any liability which any Underwriter may otherwise have. The Company acknowledges that the statements set forth in the paragraphs under the headings “– Discretionary Accounts,” “– Stabilization,” “– Passive Market Making,” and “– Electronic Offer, Sale and Distribution of Securities” in the “Underwriting” section of the Preliminary Prospectus Supplement and the Final Prospectus Supplement constitute the only information furnished in writing by or on behalf of the several Underwriters for inclusion in the Preliminary Prospectus Supplement, the Pricing Disclosure Package, the Final Prospectus Supplement or any Issuer Free Writing Prospectus or any Written Testing-the-Waters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271780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29" w:name="page30"/>
    <w:bookmarkEnd w:id="29"/>
    <w:p>
      <w:pPr>
        <w:jc w:val="both"/>
        <w:ind w:left="-8" w:firstLine="1304"/>
        <w:spacing w:after="0" w:line="255" w:lineRule="auto"/>
        <w:tabs>
          <w:tab w:leader="none" w:pos="154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(it being understood, however, that the indemnifying party shall not be liable for the expenses of more than one separate counsel in addition to local counsel)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counsel shall be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269240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30" w:name="page31"/>
    <w:bookmarkEnd w:id="30"/>
    <w:p>
      <w:pPr>
        <w:jc w:val="both"/>
        <w:ind w:left="-656" w:firstLine="1304"/>
        <w:spacing w:after="0" w:line="251" w:lineRule="auto"/>
        <w:tabs>
          <w:tab w:leader="none" w:pos="9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indemnity provided in paragraph (a), (b) or (c)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the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to which the Company and one or more of the Underwriters may be subject in such proportion as is appropriate to reflect the relative benefits received by the Company on the one hand and by the Underwriters on the other from the offering of the Securities.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Underwriters shall be deemed to be equal to the total underwriting discounts and commissions, in each case as set forth on the cover page of the Final Prospectus Supplement.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Notwithstanding the provisions of this paragraph (d), no person guilty of fraudulent misrepresentation (within the meaning of Section 11(f) of the Securities Act) shall be entitled to contribution from any person who was not guilty of such fraudulent misrepresentation. For purposes of this Section 8, each person who controls an Underwriter within the meaning of either the Securities Act or the Exchange Act and each director, officer, employee, affiliate and agent of an Underwriter shall have the same rights to contribution as such Underwriter,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204"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1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by an Underwriter</w:t>
      </w:r>
      <w:r>
        <w:rPr>
          <w:rFonts w:ascii="Times New Roman" w:cs="Times New Roman" w:eastAsia="Times New Roman" w:hAnsi="Times New Roman"/>
          <w:sz w:val="18"/>
          <w:szCs w:val="18"/>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amount of Securities set forth opposite their names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bears to the aggregate amount of Securities set forth opposite the names of all the remaining Underwriters) the Securities which the defaulting Underwriter or Underwriters agreed but failed to purchase;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the aggregate amount of Securities which the defaulting Underwriter or Underwriters agreed but failed to purchase shall exceed 10% of the aggregate amount of Securities set forth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or the Company. In the event of a default by any Underwriter as set forth in this Section 9, the Closing Date shall be postponed for such period, not exceeding five Business Days, as the Representative shall determine in order that the required changes in the Registration Statement and the Final Prospectus Supplement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269240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31" w:name="page32"/>
    <w:bookmarkEnd w:id="31"/>
    <w:p>
      <w:pPr>
        <w:jc w:val="both"/>
        <w:ind w:left="-8" w:firstLine="656"/>
        <w:spacing w:after="0" w:line="254" w:lineRule="auto"/>
        <w:tabs>
          <w:tab w:leader="none" w:pos="9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be subject to termination in the absolute discretion of the Representative, by notice given to the Company prior to delivery of and payment for the Securities, if at any time prior to such delivery and payment (i) trading in the Company’s Common Stock shall have been suspended by the SEC or Nasdaq or trading in securities generally on Nasdaq shall have been suspended or limited or minimum prices shall have been established on such exchange, (ii) a banking moratorium shall have been declared either by Federal or New York State authorities, (iii) there shall have occurred a material disruption in commercial banking or securities settlement or clearance services or (iv) there shall have occurred any outbreak or escalation of hostilities, declaration by the United States of a national emergency or war, or other calamity or crisis or escalation thereof the effect of which on financial markets is such as to make it, in the sole judgment of the Representative, impractical or inadvisable to proceed with the offering or delivery of the Securities as contemplated by the Preliminary Prospectus Supplement or the Final Prospectus Supplement (exclusive of any amendment or supplement thereto).</w:t>
      </w:r>
    </w:p>
    <w:p>
      <w:pPr>
        <w:spacing w:after="0" w:line="188"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91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Indemnities to Survive</w:t>
      </w:r>
      <w:r>
        <w:rPr>
          <w:rFonts w:ascii="Times New Roman" w:cs="Times New Roman" w:eastAsia="Times New Roman" w:hAnsi="Times New Roman"/>
          <w:sz w:val="18"/>
          <w:szCs w:val="18"/>
          <w:color w:val="auto"/>
        </w:rPr>
        <w:t>.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officers, directors, employees, agents, affiliates or controlling persons referred to in Section 8 hereof, and will survive delivery of and payment for the Securities. The provisions of Sections 7 and 8 hereof shall survive the termination or cancellation of this Agreement.</w:t>
      </w:r>
    </w:p>
    <w:p>
      <w:pPr>
        <w:spacing w:after="0" w:line="183"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92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will be in writing and effective only on receipt, and, if sent to the Representative, will be mailed, delivered or telefaxed Canaccord Genuity LLC, As Representative of the Several Underwriters, 1 Post Office Square, 30th Floor, Boston, MA 02109, Attention: Equity Capital Markets; or, if sent to the Company, will be mailed, delivered or telefaxed to 1190 Trademark Drive, #108, Reno, Nevada 89521, Attention: Dominic Sinnott, General Counsel.</w:t>
      </w:r>
    </w:p>
    <w:p>
      <w:pPr>
        <w:spacing w:after="0" w:line="179" w:lineRule="exact"/>
        <w:rPr>
          <w:rFonts w:ascii="Times New Roman" w:cs="Times New Roman" w:eastAsia="Times New Roman" w:hAnsi="Times New Roman"/>
          <w:sz w:val="18"/>
          <w:szCs w:val="18"/>
          <w:color w:val="auto"/>
        </w:rPr>
      </w:pPr>
    </w:p>
    <w:p>
      <w:pPr>
        <w:ind w:left="-8" w:firstLine="656"/>
        <w:spacing w:after="0" w:line="282" w:lineRule="auto"/>
        <w:tabs>
          <w:tab w:leader="none" w:pos="91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76" w:lineRule="auto"/>
        <w:tabs>
          <w:tab w:leader="none" w:pos="91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Fiduciary Duty</w:t>
      </w:r>
      <w:r>
        <w:rPr>
          <w:rFonts w:ascii="Times New Roman" w:cs="Times New Roman" w:eastAsia="Times New Roman" w:hAnsi="Times New Roman"/>
          <w:sz w:val="17"/>
          <w:szCs w:val="17"/>
          <w:color w:val="auto"/>
        </w:rPr>
        <w:t>. The Company hereby acknowledges that (a) the purchase and sale of the Securities pursuant to this Agreement is an arm’s-length commercial transaction between the Company, on the one hand, and the Underwriters and any affiliate through which it may be acting, on the other,</w:t>
      </w:r>
    </w:p>
    <w:p>
      <w:pPr>
        <w:jc w:val="both"/>
        <w:ind w:left="-8" w:firstLine="8"/>
        <w:spacing w:after="0" w:line="252" w:lineRule="auto"/>
        <w:tabs>
          <w:tab w:leader="none" w:pos="26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269240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32" w:name="page33"/>
    <w:bookmarkEnd w:id="32"/>
    <w:p>
      <w:pPr>
        <w:ind w:left="920" w:hanging="264"/>
        <w:spacing w:after="0"/>
        <w:tabs>
          <w:tab w:leader="none" w:pos="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used in this Section 15, “</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9" w:lineRule="exact"/>
        <w:rPr>
          <w:sz w:val="20"/>
          <w:szCs w:val="20"/>
          <w:color w:val="auto"/>
        </w:rPr>
      </w:pPr>
    </w:p>
    <w:p>
      <w:pPr>
        <w:ind w:firstLine="656"/>
        <w:spacing w:after="0" w:line="282" w:lineRule="auto"/>
        <w:tabs>
          <w:tab w:leader="none" w:pos="9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supersedes all prior agreements and understandings (whether written or oral) between the Company and the Underwriters, or any of them, with respect to the subject matter hereof.</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will be governed by and construed in accordance with the laws of the State of New York applicable to contracts made and to be performed within the State of New York.</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The Company agrees that any suit, action or proceeding against the Company brought by any Underwriter, the directors, officers, employees, affiliates and agents of any Underwriter, or by any person who controls any Underwriter, arising out of or based upon this Agreement or the transactions contemplated hereby may be instituted in any State or U.S. federal court in The City of New York and County of New York, and waives any objection which it may now or hereafter have to the laying of venue of any such proceeding, and irrevocably submits to the non-exclusive jurisdiction of such courts in any suit, action or proceeding.</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Company and the Underwriters hereby irrevocably waive, to the fullest extent permitted by applicable law, any and all right to trial by jury in any legal proceeding arising out of or relating to this Agreement or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firstLine="656"/>
        <w:spacing w:after="0" w:line="254" w:lineRule="auto"/>
        <w:tabs>
          <w:tab w:leader="none" w:pos="9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one or more counterparts, each of which shall constitute an original and all of which together shall constitute one and the same agreement. The words “execution,” “signed,” “signature,” “delivery,” and words of like import in or relating to this Agreement or any document to be signed in connection with this Agreement shall be deemed to include electronic signatures, deliveries or the keeping of records in electronic form.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terms that follow, when used in this Agreement, shall have the meanings indicated.</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New York City.</w:t>
      </w:r>
    </w:p>
    <w:p>
      <w:pPr>
        <w:spacing w:after="0" w:line="16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158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163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refer to such rules under the Securities Act.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Agreement and your acceptance shall represent a binding agreement among the Company and the several Underwriters.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ind w:right="4799"/>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confirmed and accepted as of the date first above written.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Jennifer Pardi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Jennifer Pardi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7" w:lineRule="exact"/>
        <w:rPr>
          <w:sz w:val="20"/>
          <w:szCs w:val="20"/>
          <w:color w:val="auto"/>
        </w:rPr>
      </w:pPr>
    </w:p>
    <w:p>
      <w:pPr>
        <w:ind w:right="4979"/>
        <w:spacing w:after="0" w:line="282" w:lineRule="auto"/>
        <w:rPr>
          <w:sz w:val="20"/>
          <w:szCs w:val="20"/>
          <w:color w:val="auto"/>
        </w:rPr>
      </w:pPr>
      <w:r>
        <w:rPr>
          <w:rFonts w:ascii="Times New Roman" w:cs="Times New Roman" w:eastAsia="Times New Roman" w:hAnsi="Times New Roman"/>
          <w:sz w:val="18"/>
          <w:szCs w:val="18"/>
          <w:color w:val="auto"/>
        </w:rPr>
        <w:t xml:space="preserve">For itself and the other several Underwriters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the foregoing Agreement.</w:t>
      </w:r>
    </w:p>
    <w:p>
      <w:pPr>
        <w:spacing w:after="0" w:line="160"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2360" w:type="dxa"/>
            <w:vAlign w:val="bottom"/>
            <w:gridSpan w:val="5"/>
          </w:tcPr>
          <w:p>
            <w:pPr>
              <w:jc w:val="right"/>
              <w:ind w:right="1320"/>
              <w:spacing w:after="0"/>
              <w:rPr>
                <w:sz w:val="20"/>
                <w:szCs w:val="20"/>
                <w:color w:val="auto"/>
              </w:rPr>
            </w:pPr>
            <w:r>
              <w:rPr>
                <w:rFonts w:ascii="Times New Roman" w:cs="Times New Roman" w:eastAsia="Times New Roman" w:hAnsi="Times New Roman"/>
                <w:sz w:val="18"/>
                <w:szCs w:val="18"/>
                <w:color w:val="auto"/>
                <w:w w:val="97"/>
              </w:rPr>
              <w:t>SCHEDULE I</w:t>
            </w: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5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Number of Pre-Funded</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Number of Firm</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Warrants to be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Number of Optional</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Underwriters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Shares to be Purchased</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Purchased</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 to be Purchased</w:t>
            </w:r>
          </w:p>
        </w:tc>
      </w:tr>
      <w:tr>
        <w:trPr>
          <w:trHeight w:val="210"/>
        </w:trPr>
        <w:tc>
          <w:tcPr>
            <w:tcW w:w="5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Canaccord Genuity LLC</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34,200,000</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4,750,000</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5,842,500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Roth Capital Partners, LLC</w:t>
            </w:r>
          </w:p>
        </w:tc>
        <w:tc>
          <w:tcPr>
            <w:tcW w:w="236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1,800,000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250,000</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307,500</w:t>
            </w:r>
          </w:p>
        </w:tc>
      </w:tr>
      <w:tr>
        <w:trPr>
          <w:trHeight w:val="197"/>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36,000,000</w:t>
            </w:r>
          </w:p>
        </w:tc>
        <w:tc>
          <w:tcPr>
            <w:tcW w:w="36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5,000,000</w:t>
            </w:r>
          </w:p>
        </w:tc>
        <w:tc>
          <w:tcPr>
            <w:tcW w:w="3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6,150,000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432"/>
        </w:trPr>
        <w:tc>
          <w:tcPr>
            <w:tcW w:w="5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II</w:t>
            </w:r>
          </w:p>
        </w:tc>
      </w:tr>
      <w:tr>
        <w:trPr>
          <w:trHeight w:val="453"/>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Pricing Information</w:t>
            </w:r>
          </w:p>
        </w:tc>
        <w:tc>
          <w:tcPr>
            <w:tcW w:w="11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5060" w:type="dxa"/>
            <w:vAlign w:val="bottom"/>
          </w:tcPr>
          <w:p>
            <w:pPr>
              <w:spacing w:after="0"/>
              <w:rPr>
                <w:sz w:val="24"/>
                <w:szCs w:val="24"/>
                <w:color w:val="auto"/>
              </w:rPr>
            </w:pPr>
          </w:p>
        </w:tc>
      </w:tr>
      <w:tr>
        <w:trPr>
          <w:trHeight w:val="41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Firm Securities to be sold:</w:t>
            </w:r>
          </w:p>
        </w:tc>
        <w:tc>
          <w:tcPr>
            <w:tcW w:w="73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36,000,000 shares of Common Stock</w:t>
            </w:r>
          </w:p>
        </w:tc>
      </w:tr>
      <w:tr>
        <w:trPr>
          <w:trHeight w:val="234"/>
        </w:trPr>
        <w:tc>
          <w:tcPr>
            <w:tcW w:w="3920" w:type="dxa"/>
            <w:vAlign w:val="bottom"/>
          </w:tcPr>
          <w:p>
            <w:pPr>
              <w:spacing w:after="0"/>
              <w:rPr>
                <w:sz w:val="20"/>
                <w:szCs w:val="20"/>
                <w:color w:val="auto"/>
              </w:rPr>
            </w:pPr>
          </w:p>
        </w:tc>
        <w:tc>
          <w:tcPr>
            <w:tcW w:w="73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Pre-Funded Warrants to purchase 5,000,000 shares of Common Stock</w:t>
            </w:r>
          </w:p>
        </w:tc>
      </w:tr>
      <w:tr>
        <w:trPr>
          <w:trHeight w:val="43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Optional Shares to be sold:</w:t>
            </w:r>
          </w:p>
        </w:tc>
        <w:tc>
          <w:tcPr>
            <w:tcW w:w="73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6,150,000 shares of Common Stock</w:t>
            </w:r>
          </w:p>
        </w:tc>
      </w:tr>
      <w:tr>
        <w:trPr>
          <w:trHeight w:val="43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73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$1.35 per share of Common Stock and $1.3499 per Pre-Funded Warrant</w:t>
            </w:r>
          </w:p>
        </w:tc>
      </w:tr>
      <w:tr>
        <w:trPr>
          <w:trHeight w:val="43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 Exercise Price</w:t>
            </w:r>
          </w:p>
        </w:tc>
        <w:tc>
          <w:tcPr>
            <w:tcW w:w="73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$0.0001 per Pre-Funded Warrant Share</w:t>
            </w:r>
          </w:p>
        </w:tc>
      </w:tr>
      <w:tr>
        <w:trPr>
          <w:trHeight w:val="432"/>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2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6.0%</w:t>
            </w:r>
          </w:p>
        </w:tc>
        <w:tc>
          <w:tcPr>
            <w:tcW w:w="5060" w:type="dxa"/>
            <w:vAlign w:val="bottom"/>
          </w:tcPr>
          <w:p>
            <w:pPr>
              <w:spacing w:after="0"/>
              <w:rPr>
                <w:sz w:val="24"/>
                <w:szCs w:val="24"/>
                <w:color w:val="auto"/>
              </w:rPr>
            </w:pPr>
          </w:p>
        </w:tc>
      </w:tr>
      <w:tr>
        <w:trPr>
          <w:trHeight w:val="459"/>
        </w:trPr>
        <w:tc>
          <w:tcPr>
            <w:tcW w:w="3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38" w:name="page39"/>
    <w:bookmarkEnd w:id="38"/>
    <w:p>
      <w:pPr>
        <w:jc w:val="right"/>
        <w:ind w:right="3939"/>
        <w:spacing w:after="0"/>
        <w:rPr>
          <w:sz w:val="20"/>
          <w:szCs w:val="20"/>
          <w:color w:val="auto"/>
        </w:rPr>
      </w:pPr>
      <w:r>
        <w:rPr>
          <w:rFonts w:ascii="Times New Roman" w:cs="Times New Roman" w:eastAsia="Times New Roman" w:hAnsi="Times New Roman"/>
          <w:sz w:val="18"/>
          <w:szCs w:val="18"/>
          <w:u w:val="single" w:color="auto"/>
          <w:color w:val="auto"/>
        </w:rPr>
        <w:t>SCHEDULE III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Written Testing-the-Waters Communication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Free Writing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39" w:name="page40"/>
    <w:bookmarkEnd w:id="39"/>
    <w:p>
      <w:pPr>
        <w:jc w:val="right"/>
        <w:ind w:right="3919"/>
        <w:spacing w:after="0"/>
        <w:rPr>
          <w:sz w:val="20"/>
          <w:szCs w:val="20"/>
          <w:color w:val="auto"/>
        </w:rPr>
      </w:pPr>
      <w:r>
        <w:rPr>
          <w:rFonts w:ascii="Times New Roman" w:cs="Times New Roman" w:eastAsia="Times New Roman" w:hAnsi="Times New Roman"/>
          <w:sz w:val="18"/>
          <w:szCs w:val="18"/>
          <w:u w:val="single" w:color="auto"/>
          <w:color w:val="auto"/>
        </w:rPr>
        <w:t>SCHEDULE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Wade Seaburg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Tyler Bourns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Vickram Singh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Luisa Ingargiola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Nelson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Perry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40" w:name="page41"/>
    <w:bookmarkEnd w:id="40"/>
    <w:p>
      <w:pPr>
        <w:ind w:left="9240"/>
        <w:spacing w:after="0"/>
        <w:rPr>
          <w:sz w:val="20"/>
          <w:szCs w:val="20"/>
          <w:color w:val="auto"/>
        </w:rPr>
      </w:pPr>
      <w:r>
        <w:rPr>
          <w:rFonts w:ascii="Times New Roman" w:cs="Times New Roman" w:eastAsia="Times New Roman" w:hAnsi="Times New Roman"/>
          <w:sz w:val="17"/>
          <w:szCs w:val="17"/>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__,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Post Office Square,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Proposed Registered Follow-On Offering by Dragonfly Energy Holdings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undersigned, a securityholder and/or officer and/or a director of Dragonfly Energy Holdings Corp.,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Canaccord Genuity LLC (“</w:t>
      </w:r>
      <w:r>
        <w:rPr>
          <w:rFonts w:ascii="Times New Roman" w:cs="Times New Roman" w:eastAsia="Times New Roman" w:hAnsi="Times New Roman"/>
          <w:sz w:val="18"/>
          <w:szCs w:val="18"/>
          <w:u w:val="single" w:color="auto"/>
          <w:color w:val="auto"/>
        </w:rPr>
        <w:t>Canaccord</w:t>
      </w:r>
      <w:r>
        <w:rPr>
          <w:rFonts w:ascii="Times New Roman" w:cs="Times New Roman" w:eastAsia="Times New Roman" w:hAnsi="Times New Roman"/>
          <w:sz w:val="18"/>
          <w:szCs w:val="18"/>
          <w:color w:val="auto"/>
        </w:rPr>
        <w:t>”) and certain other underwriters propose to enter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with the Company relating to the proposed registered follow-on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of shares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Canaccord will act as the representative (the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of the several underwriters. The undersigned acknowledges that the underwriters are relying on the representations and agreements of the undersigned contained in this lock-up agreement in conducting the Offering and, at a subsequent date, in entering into the Underwriting Agreement and other underwriting arrangements with the Company with respect to the Offering.</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recognition of the benefit that the Offering will confer upon the undersigned as a securityholder and/or officer and/or a director of the Company, and for other good and valuable consideration, the receipt and sufficiency of which are hereby acknowledged, the undersigned agrees that, during the period beginning on the date hereof and ending on the date that is 90 days from the date of the Underwriting Agreement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undersigned will not (and will cause any immediate family member not to), without the prior written consent of the Representative, which may withhold its consent in its sole discretion, directly or indirectly, (i) sell, offer to sell, contract to sell or lend, effect any short sale or establish or increase a Put Equivalent Position (as defined in Rule 16a-1(h)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liquidate or decrease any Call Equivalent Position (as defined in Rule 16a-1(b) under the Exchange Act), pledge, hypothecate or grant any security interest in, or in any other way transfer or dispose of, any Common Stock or any securities convertible into or exchangeable or exercisable for Common Stock, in each case whether now owned or hereafter acquired by the undersigned or with respect to which the undersigned has or hereafter acquires the power of disposition (collectively, the “</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(ii) make any demand for, or exercise any right with respect to the registration of any of the Lock-Up Securities, or the filing of any registration statement, prospectus or prospectus supplement (or an amendment or supplement thereto) in connection therewith, under the Securities Act of 1933, as amended, (iii) enter into any swap, hedge or any other agreement or any transaction that transfers, in whole or in part, the economic consequence of ownership of the Lock-Up Securities, whether any such swap or transaction is to be settled by delivery of Common Stock or other securities, in cash or otherwise, or (iv) publicly announce the intention to do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and subject to the conditions below, the undersigned may transfer the Lock-Up Securities pursuant to clauses (i) through (vi) below without the prior written consent of the 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in the case of clauses (i) through (v), prior to any such transfer, the Representative receives a signed lock-up agreement, substantially in the form of this lock-up agreement, for the balance of the Lock-Up Period from each donee, trustee, distributee or transferee, as the case may be, (2) in the case of clauses (i) through (v), any such transfer shall not involve a disposition for value, (3) any required public filings or report under Section 16 of the Exchange Act during the Lock-Up Period shall clearly indicate in the footnotes thereto that the such transfer is being made pursuant to the circumstances described below, and (4) the undersigned does not otherwise voluntarily effect any public filing or report regarding such transfers:</w:t>
      </w:r>
    </w:p>
    <w:p>
      <w:pPr>
        <w:spacing w:after="0" w:line="187" w:lineRule="exact"/>
        <w:rPr>
          <w:sz w:val="20"/>
          <w:szCs w:val="20"/>
          <w:color w:val="auto"/>
        </w:rPr>
      </w:pPr>
    </w:p>
    <w:p>
      <w:pPr>
        <w:ind w:firstLine="656"/>
        <w:spacing w:after="0" w:line="284" w:lineRule="auto"/>
        <w:tabs>
          <w:tab w:leader="none" w:pos="8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bona fide gift or gifts, including, without limitation, to a charitable organization or educational institution, or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estate planning purposes; or</w:t>
      </w:r>
    </w:p>
    <w:p>
      <w:pPr>
        <w:spacing w:after="0" w:line="160" w:lineRule="exact"/>
        <w:rPr>
          <w:rFonts w:ascii="Times New Roman" w:cs="Times New Roman" w:eastAsia="Times New Roman" w:hAnsi="Times New Roman"/>
          <w:sz w:val="18"/>
          <w:szCs w:val="18"/>
          <w:color w:val="auto"/>
        </w:rPr>
      </w:pPr>
    </w:p>
    <w:p>
      <w:pPr>
        <w:ind w:firstLine="656"/>
        <w:spacing w:after="0" w:line="282" w:lineRule="auto"/>
        <w:tabs>
          <w:tab w:leader="none" w:pos="9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(defined below) of the undersigned, or if the undersigned is a trust, to a trustor, trustee or beneficiary of the trust or to the estate of a trustor, trustee, or beneficiary of such trust;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permitted transferee (defined below); or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or in connection with a settlement related to the distribution of assets in connection with the dissolution of marriage or civil union; or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2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intestate succession to the legal representative, heir, beneficiary or immediate family of the undersigned upon the death of the undersigned; or</w:t>
      </w:r>
    </w:p>
    <w:p>
      <w:pPr>
        <w:spacing w:after="0" w:line="159" w:lineRule="exact"/>
        <w:rPr>
          <w:rFonts w:ascii="Times New Roman" w:cs="Times New Roman" w:eastAsia="Times New Roman" w:hAnsi="Times New Roman"/>
          <w:sz w:val="18"/>
          <w:szCs w:val="18"/>
          <w:color w:val="auto"/>
        </w:rPr>
      </w:pPr>
    </w:p>
    <w:p>
      <w:pPr>
        <w:jc w:val="both"/>
        <w:ind w:firstLine="656"/>
        <w:spacing w:after="0" w:line="258"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third party tender offer, merger, consolidation or other similar transaction made to all holders of Common Stock that has been approved by the Company’s board of directors, which results in any person or group of persons becoming the beneficial owners (as defined in Rules 13d-3 and 13d-5 of the Exchange Act) of more than 50% of the outstanding voting securities of the Company (or the surviving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tender offer, merger, consolidation or other such transaction is not completed, the Common Stock shall remain subject to the provisions of this lock-up agreement.</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further agrees that the foregoing provisions shall be equally applicable to any Common Stock the undersigned may purchase or otherwise receive in the Offering.</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Furthermore, notwithstanding the restrictions imposed by this lock-up agreement, the undersigned may, without the prior written consent of the Representative: (a) exercise an option to purchase shares of Common Stock granted under any stock incentive plan of the Company, which plan is described in the prospectus supplement related to the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shares of Common Stock shall continue to be subject to the restrictions on transfer set forth in this lock-up agreement and if the undersigned is required to file a report under Section 16 of the Exchange Act reporting a reduction in beneficial ownership of shares of Common Stock during the Lock-Up Period, the undersigned shall clearly indicate in the footnotes thereto the nature and conditions of such exercise or transfer and no other filing or public announcement shall be made voluntarily during the Lock-Up Period in connection with such exercise or transfer; (b) establish a trading plan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plan does not provide for any transfers of Common Stock during the Lock-Up Period; (c) transfer or dispose of shares of Common Stock purchased in the Offering from the underwriters or on the open market following the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the Exchange Act reporting a reduction in beneficial ownership of shares of Common Stock shall be voluntarily made during the Lock-Up Period; or (d) sell Lock-Up Securities for tax withholding purposes in connection with the vesting of equity awards that are subject to a taxable event upon vesting of the Company’s securities, it being understood that all shares of Common Stock received upon such vesting or transfer will remain subject to the restrictions of this lock-up agreement during the Lock-Up Period,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undersigned is required to file a report under the Exchange Act reporting a reduction in beneficial ownership of the undersigned’s Common Stock during the Lock-Up Period related to such disposition, the undersigned shall include a statement in such report to the effect that the filing relates to the satisfaction of tax withholding obligations of the undersigned in connection with such vesting event and no other filing or public announcement shall be made voluntarily during the Lock-Up Period in connection with such vesting or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the Offering only, the undersigned waives any registration rights relating to registration under the Securities Act of the offer and sale of any shares of Common Stock and/or any options or warrants or other rights to acquire Common Stock or any securities exchangeable or exercisable for or convertible into Common Stock, or to acquire other securities or rights ultimately exchangeable or exercisable for or convertible into Common Stock, owned either of record or beneficially by the undersigned, including any rights to receive notice of the Offering.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undersigned confirms that the undersigned has not, and has no knowledge that any immediate family member has, directly or indirectly, taken any action designed to or that might reasonably be expected to cause or result in the stabilization or manipulation of the price of any security of the Company to facilitate the sale of the Common Stock The undersigned will not, and will cause any immediate family member not to take, directly or indirectly, any such action.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used herein, “permitted transferee” shall mean (a) the members of the undersigned’s immediate family (for purposes of this lock-up agreement, “immediate family” shall mean the spouse, domestic partner, lineal descendant (including adopted and step-children) and his or her spouse, father, mother, the siblings of such person and his or her spouse, or any other person with whom the undersigned has a relationship by blood, marriage or adoption not more remote than first cousin), (b) if the undersigned is a corporation, limited liability company, partnership or other entity, its partners, shareholders, members of, or owners of similar equity interests in the undersigned by way of distribution upon the liquidation and dissolution of the undersigned or (c) any affiliate of the undersigned.</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represents and warrants that the undersigned has full power, capacity and authority to enter into this lock-up agreement. This lock-up agreement is irrevocable and will be binding on the undersigned and the successors, heirs, personal representatives and assigns of the undersigned.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lock-up agreement shall be governed by and construed in accordance with the laws of the State of New York.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Whether or not the Offering actually occurs depends on a number of factors, including market conditions. Any Offering will only be made pursuant to an Underwriting Agreement, the terms of which are subject to negotiation between the Company and the Representative.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lock-up agreement shall automatically terminate, and the undersigned shall be released from its obligations hereunder, upon the earliest to occur, if any, of (i) the Company advising the Representative in writing, prior to the execution of the Underwriting Agreement, that it has determined not to proceed with the Offering, (ii) the executed Underwriting Agreement being terminated prior to the closing of the Offering (other than the provisions thereof that survive termination), and (iii) October 31, 2025, in the event that the Underwriting Agreement has not been executed by such date.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ind w:left="45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of Securityholder/Director/Officer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Print exact name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If not signing in an individual capacity:</w:t>
      </w:r>
    </w:p>
    <w:p>
      <w:pPr>
        <w:spacing w:after="0" w:line="200" w:lineRule="exact"/>
        <w:rPr>
          <w:sz w:val="20"/>
          <w:szCs w:val="20"/>
          <w:color w:val="auto"/>
        </w:rPr>
      </w:pPr>
    </w:p>
    <w:p>
      <w:pPr>
        <w:spacing w:after="0" w:line="25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of Authorized Signatory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of Authorized Signatory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line="260" w:lineRule="auto"/>
        <w:rPr>
          <w:sz w:val="20"/>
          <w:szCs w:val="20"/>
          <w:color w:val="auto"/>
        </w:rPr>
      </w:pPr>
      <w:r>
        <w:rPr>
          <w:rFonts w:ascii="Times New Roman" w:cs="Times New Roman" w:eastAsia="Times New Roman" w:hAnsi="Times New Roman"/>
          <w:sz w:val="18"/>
          <w:szCs w:val="18"/>
          <w:color w:val="auto"/>
        </w:rPr>
        <w:t>(indicate capacity of person signing if signing as custodian, trustee or on behalf of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264160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20"/>
          </w:cols>
          <w:pgMar w:left="1440" w:top="688" w:right="7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u w:val="single" w:color="auto"/>
          <w:color w:val="auto"/>
        </w:rPr>
        <w:t>ANNEX A</w:t>
      </w:r>
    </w:p>
    <w:p>
      <w:pPr>
        <w:spacing w:after="0" w:line="22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Form of Pre-Funded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 TO PURCHASE COMMON STOCK</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Number of Shares: [●]</w:t>
      </w:r>
    </w:p>
    <w:p>
      <w:pPr>
        <w:spacing w:after="0" w:line="225"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7"/>
          <w:szCs w:val="17"/>
          <w:color w:val="auto"/>
        </w:rPr>
        <w:t>(subject to adjustment)</w:t>
      </w:r>
    </w:p>
    <w:p>
      <w:pPr>
        <w:spacing w:after="0" w:line="237" w:lineRule="exact"/>
        <w:rPr>
          <w:sz w:val="20"/>
          <w:szCs w:val="20"/>
          <w:color w:val="auto"/>
        </w:rPr>
      </w:pPr>
    </w:p>
    <w:p>
      <w:pPr>
        <w:spacing w:after="0"/>
        <w:tabs>
          <w:tab w:leader="none" w:pos="8480" w:val="left"/>
        </w:tabs>
        <w:rPr>
          <w:sz w:val="20"/>
          <w:szCs w:val="20"/>
          <w:color w:val="auto"/>
        </w:rPr>
      </w:pPr>
      <w:r>
        <w:rPr>
          <w:rFonts w:ascii="Times New Roman" w:cs="Times New Roman" w:eastAsia="Times New Roman" w:hAnsi="Times New Roman"/>
          <w:sz w:val="18"/>
          <w:szCs w:val="18"/>
          <w:color w:val="auto"/>
        </w:rPr>
        <w:t>Warrant No. [●]</w:t>
      </w:r>
      <w:r>
        <w:rPr>
          <w:sz w:val="20"/>
          <w:szCs w:val="20"/>
          <w:color w:val="auto"/>
        </w:rPr>
        <w:tab/>
      </w:r>
      <w:r>
        <w:rPr>
          <w:rFonts w:ascii="Times New Roman" w:cs="Times New Roman" w:eastAsia="Times New Roman" w:hAnsi="Times New Roman"/>
          <w:sz w:val="17"/>
          <w:szCs w:val="17"/>
          <w:color w:val="auto"/>
        </w:rPr>
        <w:t>Original Issue Date: October 17, 2025</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Energy Holdings Corp.,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certifies that, for good and valuable consideration, the receipt and sufficiency of which are hereby acknowledged, [●] or its registered assigns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is entitled, subject to the terms set forth below, to purchase from the Company up to a total of [●] shares of common stock, $0.0001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all such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xml:space="preserve">”) at an exercise price per share equal to $0.0001 per share (as adjusted from time to time as provided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herein,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upon surrender of this Pre-Funded Warrant to Purchase Common Stock (including any Pre-Funded Warrants to Purchase Common Stock issued in exchange, transfer or replacement hereof,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at any time and from time to time on or after the date hereof (the “</w:t>
      </w:r>
      <w:r>
        <w:rPr>
          <w:rFonts w:ascii="Times New Roman" w:cs="Times New Roman" w:eastAsia="Times New Roman" w:hAnsi="Times New Roman"/>
          <w:sz w:val="18"/>
          <w:szCs w:val="18"/>
          <w:b w:val="1"/>
          <w:bCs w:val="1"/>
          <w:color w:val="auto"/>
        </w:rPr>
        <w:t>Original Issue Date</w:t>
      </w:r>
      <w:r>
        <w:rPr>
          <w:rFonts w:ascii="Times New Roman" w:cs="Times New Roman" w:eastAsia="Times New Roman" w:hAnsi="Times New Roman"/>
          <w:sz w:val="18"/>
          <w:szCs w:val="18"/>
          <w:color w:val="auto"/>
        </w:rPr>
        <w:t>”), subject to the following terms and conditions:</w:t>
      </w:r>
    </w:p>
    <w:p>
      <w:pPr>
        <w:spacing w:after="0" w:line="185" w:lineRule="exact"/>
        <w:rPr>
          <w:sz w:val="20"/>
          <w:szCs w:val="20"/>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223" w:lineRule="exact"/>
        <w:rPr>
          <w:rFonts w:ascii="Times New Roman" w:cs="Times New Roman" w:eastAsia="Times New Roman" w:hAnsi="Times New Roman"/>
          <w:sz w:val="18"/>
          <w:szCs w:val="18"/>
          <w:color w:val="auto"/>
        </w:rPr>
      </w:pPr>
    </w:p>
    <w:p>
      <w:pPr>
        <w:ind w:firstLine="332"/>
        <w:spacing w:after="0" w:line="286" w:lineRule="auto"/>
        <w:tabs>
          <w:tab w:leader="none" w:pos="56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directly or indirectly controlled by, controlling or under common control with, a Holder, as such terms are used in and construed under Rule 405 under the Securities Act, but only for so long as such control shall continue.</w:t>
      </w:r>
    </w:p>
    <w:p>
      <w:pPr>
        <w:spacing w:after="0" w:line="154" w:lineRule="exact"/>
        <w:rPr>
          <w:rFonts w:ascii="Times New Roman" w:cs="Times New Roman" w:eastAsia="Times New Roman" w:hAnsi="Times New Roman"/>
          <w:sz w:val="18"/>
          <w:szCs w:val="18"/>
          <w:color w:val="auto"/>
        </w:rPr>
      </w:pPr>
    </w:p>
    <w:p>
      <w:pPr>
        <w:jc w:val="both"/>
        <w:ind w:firstLine="332"/>
        <w:spacing w:after="0" w:line="254" w:lineRule="auto"/>
        <w:tabs>
          <w:tab w:leader="none" w:pos="57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L.P., or, if such Principal Trading Market begins to operate on an extended hours basis and does not designate the last trade price, then the last trade price of such security prior to 4:00 P.M., New York City time, as reported by Bloomberg L.P., or if the security is not listed for trading on a national securities exchange or other trading market on the relevant date, the last quoted bid price for the security in the over-the-counter market on the relevant date as reported by OTC Markets Group Inc. (or a similar organization or agency succeeding to its functions of reporting prices).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Board of Directors’ determination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firstLine="332"/>
        <w:spacing w:after="0" w:line="286" w:lineRule="auto"/>
        <w:tabs>
          <w:tab w:leader="none" w:pos="57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and quoted for trading, which, as of the Original Issue Date, shall be The Nasdaq Capital Market.</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Company’s Registration Statement on Form S-3 (File No. 333-275559).</w:t>
      </w:r>
    </w:p>
    <w:p>
      <w:pPr>
        <w:spacing w:after="0" w:line="225"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jc w:val="both"/>
        <w:ind w:firstLine="332"/>
        <w:spacing w:after="0" w:line="268" w:lineRule="auto"/>
        <w:tabs>
          <w:tab w:leader="none" w:pos="57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weekday on which the Principal Trading Market is open for trading. If the Common Stock is not listed or admitted for trading, “Trading Day” means any day except any Saturday, any Sunday, any day which is a federal legal holiday in the United States or any day on which banking institutions in New York City are authorized or required by law or other governmental action to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ind w:left="-8" w:firstLine="332"/>
        <w:spacing w:after="0" w:line="286" w:lineRule="auto"/>
        <w:tabs>
          <w:tab w:leader="none" w:pos="58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Equiniti Trust Company, LLC, the Company’s transfer agent and registrar for the Common Stock, and any successor appointed in such capacity.</w:t>
      </w:r>
    </w:p>
    <w:p>
      <w:pPr>
        <w:spacing w:after="0" w:line="156"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1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Securities; Registration of Warrants</w:t>
      </w:r>
      <w:r>
        <w:rPr>
          <w:rFonts w:ascii="Times New Roman" w:cs="Times New Roman" w:eastAsia="Times New Roman" w:hAnsi="Times New Roman"/>
          <w:sz w:val="18"/>
          <w:szCs w:val="18"/>
          <w:color w:val="auto"/>
        </w:rPr>
        <w:t>. The Warrant, as initially issued by the Company, is offered and sold pursuant to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As of the Original Issue Date, the Warrant Shares are issuable under the Registration Statement. Accordingly, the Warrant and, assuming issuance pursuant to the Registration Statement or an exchange meeting the requirements of Section 3(a)(9) of the Securities Act, the Warrant Shares, are not “restricted securities” under Rule 144 promulgated under the Securities Act as of the Original Issue Date. The Company shall register ownership of this Warrant, upon records to be maintained by the Company for that purpose (the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4" w:lineRule="exact"/>
        <w:rPr>
          <w:rFonts w:ascii="Times New Roman" w:cs="Times New Roman" w:eastAsia="Times New Roman" w:hAnsi="Times New Roman"/>
          <w:sz w:val="18"/>
          <w:szCs w:val="18"/>
          <w:color w:val="auto"/>
        </w:rPr>
      </w:pPr>
    </w:p>
    <w:p>
      <w:pPr>
        <w:jc w:val="both"/>
        <w:ind w:left="-8" w:firstLine="8"/>
        <w:spacing w:after="0" w:line="254" w:lineRule="auto"/>
        <w:tabs>
          <w:tab w:leader="none" w:pos="1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of Transfers</w:t>
      </w:r>
      <w:r>
        <w:rPr>
          <w:rFonts w:ascii="Times New Roman" w:cs="Times New Roman" w:eastAsia="Times New Roman" w:hAnsi="Times New Roman"/>
          <w:sz w:val="18"/>
          <w:szCs w:val="18"/>
          <w:color w:val="auto"/>
        </w:rPr>
        <w:t>. Subject to compliance with all applicable securities laws and the rules of the Principal Trading Market, the Company shall,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cause its Transfer Agent to, register the transfer of all or any portion of this Warrant in the Warrant Register, upon surrender of this Warrant, and payment for all applicable transfer taxes (if any). Upon any such registration or transfer, a new warrant to purchase Common Stock in substantially the form of this Warrant (any such new warrant, a “</w:t>
      </w:r>
      <w:r>
        <w:rPr>
          <w:rFonts w:ascii="Times New Roman" w:cs="Times New Roman" w:eastAsia="Times New Roman" w:hAnsi="Times New Roman"/>
          <w:sz w:val="18"/>
          <w:szCs w:val="18"/>
          <w:b w:val="1"/>
          <w:bCs w:val="1"/>
          <w:color w:val="auto"/>
        </w:rPr>
        <w:t>New Warrant</w:t>
      </w:r>
      <w:r>
        <w:rPr>
          <w:rFonts w:ascii="Times New Roman" w:cs="Times New Roman" w:eastAsia="Times New Roman" w:hAnsi="Times New Roman"/>
          <w:sz w:val="18"/>
          <w:szCs w:val="18"/>
          <w:color w:val="auto"/>
        </w:rPr>
        <w:t xml:space="preserve">”)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its Transfer Agent to, prepare, issue and deliver at the Company’s own expense any New Warrant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Until due presentment for registration of transfer, the Company may treat the registered Holder hereof as the owner and holder for all purposes, and the Company shall not be affected by any notice to the contrary.</w:t>
      </w:r>
    </w:p>
    <w:p>
      <w:pPr>
        <w:spacing w:after="0" w:line="188"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and Duration of Warrants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8" w:firstLine="332"/>
        <w:spacing w:after="0" w:line="282" w:lineRule="auto"/>
        <w:tabs>
          <w:tab w:leader="none" w:pos="55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this Warrant shall be exercisable by the registered Holder in any manner permitted by this Warrant at any time and from time to time on or after the Original Issue Date.</w:t>
      </w:r>
    </w:p>
    <w:p>
      <w:pPr>
        <w:spacing w:after="0" w:line="157" w:lineRule="exact"/>
        <w:rPr>
          <w:rFonts w:ascii="Times New Roman" w:cs="Times New Roman" w:eastAsia="Times New Roman" w:hAnsi="Times New Roman"/>
          <w:sz w:val="18"/>
          <w:szCs w:val="18"/>
          <w:color w:val="auto"/>
        </w:rPr>
      </w:pPr>
    </w:p>
    <w:p>
      <w:pPr>
        <w:jc w:val="both"/>
        <w:ind w:left="-8" w:firstLine="332"/>
        <w:spacing w:after="0" w:line="253" w:lineRule="auto"/>
        <w:tabs>
          <w:tab w:leader="none" w:pos="5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may exercise this Warrant by delivering to the Company (i) an exercise notice, in the form attached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completed and duly signed, and (ii) payment of the Exercise Price for the number of Warrant Shares as to which this Warrant is being exercised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may take the form of a “cashless exercise” if so indicated in the Exercise Notice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The date on which such exercise notice is delivered to the Company (as determined in accordance with the notice provisions hereof) is an </w:t>
      </w:r>
      <w:r>
        <w:rPr>
          <w:rFonts w:ascii="Times New Roman" w:cs="Times New Roman" w:eastAsia="Times New Roman" w:hAnsi="Times New Roman"/>
          <w:sz w:val="18"/>
          <w:szCs w:val="18"/>
          <w:b w:val="1"/>
          <w:bCs w:val="1"/>
          <w:color w:val="auto"/>
        </w:rPr>
        <w:t>“Exercise Date</w:t>
      </w:r>
      <w:r>
        <w:rPr>
          <w:rFonts w:ascii="Times New Roman" w:cs="Times New Roman" w:eastAsia="Times New Roman" w:hAnsi="Times New Roman"/>
          <w:sz w:val="18"/>
          <w:szCs w:val="18"/>
          <w:color w:val="auto"/>
        </w:rPr>
        <w:t xml:space="preserve">.”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 The aggregate exercise price of this Warrant, except for the Exercise Price, was pre-funded to the Company on or before the Original Issue Date, and consequently no additional consideration (other than the Exercise Price) shall be required by to be paid by the Holder to effect any exercise of this Warrant. The Holder shall not be entitled to the return or refund of all, or any portion, of such pre-funded exercise price under any circumstance or for any reason whatsoever. </w:t>
      </w:r>
      <w:r>
        <w:rPr>
          <w:rFonts w:ascii="Times New Roman" w:cs="Times New Roman" w:eastAsia="Times New Roman" w:hAnsi="Times New Roman"/>
          <w:sz w:val="18"/>
          <w:szCs w:val="18"/>
          <w:b w:val="1"/>
          <w:bCs w:val="1"/>
          <w:color w:val="auto"/>
        </w:rPr>
        <w:t>The Holder and any assignee, by acceptance of this Warrant, acknowledge and agree that, by reason of the provisions of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48" w:name="page49"/>
    <w:bookmarkEnd w:id="48"/>
    <w:p>
      <w:pPr>
        <w:ind w:left="172" w:hanging="172"/>
        <w:spacing w:after="0"/>
        <w:tabs>
          <w:tab w:leader="none" w:pos="1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Warrant Shares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8" w:firstLine="332"/>
        <w:spacing w:after="0" w:line="253" w:lineRule="auto"/>
        <w:tabs>
          <w:tab w:leader="none" w:pos="57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this Warrant, the Company shall promptly (but in no event later than one (1) Trading Days after the Exercise Date), upon the request of the Holder, cause the Transfer Agent to credit such aggregate number of shares of Common Stock to which the Holder is entitled pursuant to such exercise to the Holder’s or its designee’s balance account with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through its Deposit Withdrawal Agent Commission system, or if the Transfer Agent is not participating in the Fast Automated Securities Transfer Program (the “</w:t>
      </w:r>
      <w:r>
        <w:rPr>
          <w:rFonts w:ascii="Times New Roman" w:cs="Times New Roman" w:eastAsia="Times New Roman" w:hAnsi="Times New Roman"/>
          <w:sz w:val="18"/>
          <w:szCs w:val="18"/>
          <w:b w:val="1"/>
          <w:bCs w:val="1"/>
          <w:color w:val="auto"/>
        </w:rPr>
        <w:t>FAST Program</w:t>
      </w:r>
      <w:r>
        <w:rPr>
          <w:rFonts w:ascii="Times New Roman" w:cs="Times New Roman" w:eastAsia="Times New Roman" w:hAnsi="Times New Roman"/>
          <w:sz w:val="18"/>
          <w:szCs w:val="18"/>
          <w:color w:val="auto"/>
        </w:rPr>
        <w:t>”) or if the certificates or book entry position are required to bear a legend regarding restriction on transferability, issue and dispatch by overnight courier to the address as specified in the Exercise Notice, a certificate or book entry position, registered in the Company’s share register in the name of the Holder or its designee, for the number of shares of Common Stock to which the Holder is entitled pursuant to such exercise. The Holder, or any natural person or legal entity (each, a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permissibly so designated by the Holder to receive Warrant Shares, shall be deemed to have become the holder of record of such Warrant Shares as of the Exercise Date, irrespective of the date such Warrant Shares are credited to the Holder’s DTC account or the date of delivery of the certificates or book entry position evidencing such Warrant Shares, as the case may be.</w:t>
      </w:r>
    </w:p>
    <w:p>
      <w:pPr>
        <w:spacing w:after="0" w:line="197" w:lineRule="exact"/>
        <w:rPr>
          <w:rFonts w:ascii="Times New Roman" w:cs="Times New Roman" w:eastAsia="Times New Roman" w:hAnsi="Times New Roman"/>
          <w:sz w:val="18"/>
          <w:szCs w:val="18"/>
          <w:color w:val="auto"/>
        </w:rPr>
      </w:pPr>
    </w:p>
    <w:p>
      <w:pPr>
        <w:jc w:val="both"/>
        <w:ind w:left="-8" w:firstLine="332"/>
        <w:spacing w:after="0" w:line="243" w:lineRule="auto"/>
        <w:tabs>
          <w:tab w:leader="none" w:pos="57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the close of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Trading Day after the Exercise Date, the Company fails to deliver to the Holder a certificate or book entry position representing the required number of Warrant Shares in the manner required pursuant to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or fails to cause the Transfer Agent to credit the Holder’s DTC account for such number of Warrant Shares to which the Holder is entitled, and if after such first (1st) Trading Day and prior to the receipt of such Warrant Shares, the Holder purchases (in an open market transaction or otherwise, provided such purchases shall be made in a commercially reasonable manner at prevailing market prices)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color w:val="auto"/>
        </w:rPr>
        <w:t>Buy-In</w:t>
      </w:r>
      <w:r>
        <w:rPr>
          <w:rFonts w:ascii="Times New Roman" w:cs="Times New Roman" w:eastAsia="Times New Roman" w:hAnsi="Times New Roman"/>
          <w:sz w:val="18"/>
          <w:szCs w:val="18"/>
          <w:color w:val="auto"/>
        </w:rPr>
        <w:t>”), then the Company shall, within three (3) Trading Days after the Holder’s written request (i) pay cash to the Holder in an amount equal to the excess (if any) of Holder’s total purchase price (including commercially reasonable brokerage commissions, if any) for the shares of Common Stock so purchased in the Buy-In (assuming such sale was executed on commercially reasonable terms at prevailing market prices) over the product of (A) the number of shares of Common Stock purchased in the Buy-In, times (B) the Closing Sale Price of a share of Common Stock on the Exercise Date and (ii) at the option of the Holder, either promptly deliver to the Holder a certificate or certificates representing such Warrant Shares or reinstate the portion of the Warrant and equivalent number of Warrant Shares for which such exercise was not honored (in which case such exercise shall be deemed rescinded).</w:t>
      </w:r>
    </w:p>
    <w:p>
      <w:pPr>
        <w:spacing w:after="0" w:line="201" w:lineRule="exact"/>
        <w:rPr>
          <w:rFonts w:ascii="Times New Roman" w:cs="Times New Roman" w:eastAsia="Times New Roman" w:hAnsi="Times New Roman"/>
          <w:sz w:val="18"/>
          <w:szCs w:val="18"/>
          <w:color w:val="auto"/>
        </w:rPr>
      </w:pPr>
    </w:p>
    <w:p>
      <w:pPr>
        <w:jc w:val="both"/>
        <w:ind w:left="-8" w:firstLine="332"/>
        <w:spacing w:after="0" w:line="254" w:lineRule="auto"/>
        <w:tabs>
          <w:tab w:leader="none" w:pos="57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and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the Company’s obligations to cause the Transfer Agent to issue and deliver Warrant Shares in accordance with and subject to the terms hereof (including the limitations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the Warrant as required pursuant to the terms hereof.</w:t>
      </w:r>
    </w:p>
    <w:p>
      <w:pPr>
        <w:spacing w:after="0" w:line="186" w:lineRule="exact"/>
        <w:rPr>
          <w:rFonts w:ascii="Times New Roman" w:cs="Times New Roman" w:eastAsia="Times New Roman" w:hAnsi="Times New Roman"/>
          <w:sz w:val="18"/>
          <w:szCs w:val="18"/>
          <w:color w:val="auto"/>
        </w:rPr>
      </w:pPr>
    </w:p>
    <w:p>
      <w:pPr>
        <w:jc w:val="both"/>
        <w:ind w:left="-8" w:firstLine="8"/>
        <w:spacing w:after="0" w:line="257" w:lineRule="auto"/>
        <w:tabs>
          <w:tab w:leader="none" w:pos="1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Charges, Taxes and Expenses</w:t>
      </w:r>
      <w:r>
        <w:rPr>
          <w:rFonts w:ascii="Times New Roman" w:cs="Times New Roman" w:eastAsia="Times New Roman" w:hAnsi="Times New Roman"/>
          <w:sz w:val="18"/>
          <w:szCs w:val="18"/>
          <w:color w:val="auto"/>
        </w:rPr>
        <w:t>. Issuance and delivery of certificates for shares of Common Stock, if any, upon exercise of this Warrant shall be made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without charge to the Holder for any issue or transfer tax, transfer agent fee or other incidental tax or expense (excluding any applicable stamp duties) in respect of the issuance of such certificates, all of which taxes and expenses shall be paid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pay any tax that may be payable in respect of any transfer involved in the registration of any certificates for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2"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19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and surety bond, if requested by the Company. Applicants for a New Warrant under such circumstances shall also comply with such other reasonable regulations and procedures and pay such other reasonable third-party costs as the Company may prescribe. If a New Warrant is requested as a result of a mutilation of this Warrant, then the Holder shall deliver such mutilated Warrant to the Company as a condition precedent to the Company’s obligation to issue the New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266065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6" w:right="339" w:bottom="1440" w:gutter="0" w:footer="0" w:header="0"/>
        </w:sectPr>
      </w:pPr>
    </w:p>
    <w:bookmarkStart w:id="49" w:name="page50"/>
    <w:bookmarkEnd w:id="49"/>
    <w:p>
      <w:pPr>
        <w:jc w:val="both"/>
        <w:ind w:left="-8" w:firstLine="8"/>
        <w:spacing w:after="0" w:line="254" w:lineRule="auto"/>
        <w:tabs>
          <w:tab w:leader="none" w:pos="1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 available out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aggregate of its authorized but unissued and otherwise unreserved Common Stock, solely for the purpose of enabling it to issue Warrant Shares upon exercise of this Warrant as herein provided, the number of Warrant Shares that are initially issuable and deliverable upon the exercise of this entire Warrant, free from preemptive rights or any other contingent purchase rights of persons other than the Holder (taking into account the adjustments and restrictions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such action as may be reasonably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w:t>
      </w:r>
    </w:p>
    <w:p>
      <w:pPr>
        <w:spacing w:after="0" w:line="185" w:lineRule="exact"/>
        <w:rPr>
          <w:rFonts w:ascii="Times New Roman" w:cs="Times New Roman" w:eastAsia="Times New Roman" w:hAnsi="Times New Roman"/>
          <w:sz w:val="18"/>
          <w:szCs w:val="18"/>
          <w:color w:val="auto"/>
        </w:rPr>
      </w:pPr>
    </w:p>
    <w:p>
      <w:pPr>
        <w:ind w:left="-8" w:right="20" w:firstLine="8"/>
        <w:spacing w:after="0" w:line="284" w:lineRule="auto"/>
        <w:tabs>
          <w:tab w:leader="none" w:pos="1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are subject to adjustment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as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left="-8" w:firstLine="332"/>
        <w:spacing w:after="0" w:line="253" w:lineRule="auto"/>
        <w:tabs>
          <w:tab w:leader="none" w:pos="57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as described in the Registration Statement,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w:t>
      </w:r>
    </w:p>
    <w:p>
      <w:pPr>
        <w:spacing w:after="0" w:line="189" w:lineRule="exact"/>
        <w:rPr>
          <w:rFonts w:ascii="Times New Roman" w:cs="Times New Roman" w:eastAsia="Times New Roman" w:hAnsi="Times New Roman"/>
          <w:sz w:val="18"/>
          <w:szCs w:val="18"/>
          <w:color w:val="auto"/>
        </w:rPr>
      </w:pPr>
    </w:p>
    <w:p>
      <w:pPr>
        <w:jc w:val="both"/>
        <w:ind w:left="-8" w:firstLine="332"/>
        <w:spacing w:after="0" w:line="253" w:lineRule="auto"/>
        <w:tabs>
          <w:tab w:leader="none" w:pos="59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If the Company, at any time while this Warrant is outstanding, distributes to all holders of Common Stock for no consideration (i) evidences of its indebtedness, (ii) any security (other than a distribution of Common Stock covered by the preceding paragraph) (iii) rights or warrants to subscribe for or purchase any security, or (iv) cash or any other asset (in each case, a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xml:space="preserve">”), other than a reclassification as to which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applies,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ownership limitation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hereof) immediately before the date of which a record is taken for such Distribution, or, if no such record is taken, the date as of which the record holders of Common Stock are to be determined for the participation in such Distribution, provided, however, to the extent that the Holder’s right to participate in any such Distribution would result in the Holder exceeding the ownership limitation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hereof, then the Holder shall not be entitled to participate in such Distribution to such extent (or in the beneficial ownership of any Common Stock as a result of such Distribution to such extent) and the portion of such Distribution shall be held in abeyance for the benefit of the Holder until the earlier of (i) such time, if ever, as the delivery to such Holder of such portion would not result in the Holder exceeding the ownership limitation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hereof and (ii) such time as the Holder has exercised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269240</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6" w:right="339" w:bottom="1440" w:gutter="0" w:footer="0" w:header="0"/>
        </w:sectPr>
      </w:pPr>
    </w:p>
    <w:bookmarkStart w:id="50" w:name="page51"/>
    <w:bookmarkEnd w:id="50"/>
    <w:p>
      <w:pPr>
        <w:jc w:val="both"/>
        <w:ind w:left="-332" w:firstLine="332"/>
        <w:spacing w:after="0" w:line="251" w:lineRule="auto"/>
        <w:tabs>
          <w:tab w:leader="none" w:pos="23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Transactions</w:t>
      </w:r>
      <w:r>
        <w:rPr>
          <w:rFonts w:ascii="Times New Roman" w:cs="Times New Roman" w:eastAsia="Times New Roman" w:hAnsi="Times New Roman"/>
          <w:sz w:val="18"/>
          <w:szCs w:val="18"/>
          <w:color w:val="auto"/>
        </w:rPr>
        <w:t xml:space="preserve">. If, at any time while this Warrant is outstanding (i) the Company effects any merger or consolidation of the Company with or into another Person, in which the Company is not the surviving entity and in which the stockholders of the Company immediately prior to such merger or consolidation do not own, directly or indirectly, at least 50% of the voting power of the surviving entity immediately after such merger or consolidation, (ii) the Company effects any sale, transfer or disposition to another Person of all or substantially all of its assets in one transaction or a series of related transactions (which, for the avoidance of doubt, shall exclude any such transactions undertaken by and amongst the Company and its subsidiaries for the purposes of a reorganization, recapitalization or similar scheme of arrangement),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w:t>
      </w:r>
      <w:r>
        <w:rPr>
          <w:rFonts w:ascii="Times New Roman" w:cs="Times New Roman" w:eastAsia="Times New Roman" w:hAnsi="Times New Roman"/>
          <w:sz w:val="18"/>
          <w:szCs w:val="18"/>
          <w:u w:val="single" w:color="auto"/>
          <w:color w:val="auto"/>
        </w:rPr>
        <w:t>Section 9(a)</w:t>
      </w:r>
      <w:r>
        <w:rPr>
          <w:rFonts w:ascii="Times New Roman" w:cs="Times New Roman" w:eastAsia="Times New Roman" w:hAnsi="Times New Roman"/>
          <w:sz w:val="18"/>
          <w:szCs w:val="18"/>
          <w:color w:val="auto"/>
        </w:rPr>
        <w:t xml:space="preserve"> above) (in any such case, a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xml:space="preserve">”).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below or (ii) 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(c) shall similarly apply to subsequent transactions analogous of a Fundamental Transaction type.</w:t>
      </w:r>
    </w:p>
    <w:p>
      <w:pPr>
        <w:spacing w:after="0" w:line="205" w:lineRule="exact"/>
        <w:rPr>
          <w:rFonts w:ascii="Times New Roman" w:cs="Times New Roman" w:eastAsia="Times New Roman" w:hAnsi="Times New Roman"/>
          <w:sz w:val="18"/>
          <w:szCs w:val="18"/>
          <w:color w:val="auto"/>
        </w:rPr>
      </w:pPr>
    </w:p>
    <w:p>
      <w:pPr>
        <w:jc w:val="both"/>
        <w:ind w:left="-332" w:firstLine="332"/>
        <w:spacing w:after="0" w:line="258" w:lineRule="auto"/>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xml:space="preserve">. Simultaneously with any adjustment to the Exercise Price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(including any adjustment to the Exercise Price that would have been effected but for the final sentence in this paragraph (d)),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 Notwithstanding the foregoing, in no event may the Exercise Price be adjusted below the par value of the Common Stock then in effect.</w:t>
      </w:r>
    </w:p>
    <w:p>
      <w:pPr>
        <w:spacing w:after="0" w:line="183"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be made to the nearest one-hundredth of one cent or the nearest share, as applicable.</w:t>
      </w:r>
    </w:p>
    <w:p>
      <w:pPr>
        <w:spacing w:after="0" w:line="225" w:lineRule="exact"/>
        <w:rPr>
          <w:rFonts w:ascii="Times New Roman" w:cs="Times New Roman" w:eastAsia="Times New Roman" w:hAnsi="Times New Roman"/>
          <w:sz w:val="18"/>
          <w:szCs w:val="18"/>
          <w:color w:val="auto"/>
        </w:rPr>
      </w:pPr>
    </w:p>
    <w:p>
      <w:pPr>
        <w:jc w:val="both"/>
        <w:ind w:left="-332" w:firstLine="332"/>
        <w:spacing w:after="0" w:line="258" w:lineRule="auto"/>
        <w:tabs>
          <w:tab w:leader="none" w:pos="21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xml:space="preserve">. Upon the occurrence of each adjustment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265430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51" w:name="page52"/>
    <w:bookmarkEnd w:id="51"/>
    <w:p>
      <w:pPr>
        <w:jc w:val="both"/>
        <w:ind w:firstLine="332"/>
        <w:spacing w:after="0" w:line="253" w:lineRule="auto"/>
        <w:tabs>
          <w:tab w:leader="none" w:pos="57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xml:space="preserve">.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except if such notice and the contents thereof shall be deemed to constitute material non-public information, the Company shall deliver to the Holder a notice of such transaction at least ten (10)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other than a Fundamental Transaction under clause (iii) of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then, except if such notice and the contents thereof shall be deemed to constitute material non-public information, the Company shall deliver to the Holder a notice of such Fundamental Transaction at least ten (10) days prior to the date such Fundamental Transaction is consummated.</w:t>
      </w:r>
    </w:p>
    <w:p>
      <w:pPr>
        <w:spacing w:after="0" w:line="187" w:lineRule="exact"/>
        <w:rPr>
          <w:rFonts w:ascii="Times New Roman" w:cs="Times New Roman" w:eastAsia="Times New Roman" w:hAnsi="Times New Roman"/>
          <w:sz w:val="18"/>
          <w:szCs w:val="18"/>
          <w:color w:val="auto"/>
        </w:rPr>
      </w:pPr>
    </w:p>
    <w:p>
      <w:pPr>
        <w:jc w:val="both"/>
        <w:ind w:firstLine="8"/>
        <w:spacing w:after="0" w:line="267" w:lineRule="auto"/>
        <w:tabs>
          <w:tab w:leader="none" w:pos="29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Cashless Exercise Price</w:t>
      </w:r>
      <w:r>
        <w:rPr>
          <w:rFonts w:ascii="Times New Roman" w:cs="Times New Roman" w:eastAsia="Times New Roman" w:hAnsi="Times New Roman"/>
          <w:sz w:val="18"/>
          <w:szCs w:val="18"/>
          <w:color w:val="auto"/>
        </w:rPr>
        <w:t>. Notwithstanding anything contained herein to the contrary, the Holder may, in its sole discretion, satisfy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to pay the Exercise Price through a “cashless exercise,” in which event the Company shall issue to the Holder the number of Warrant Shares in an exchange of securities effected pursuant to Section 3(a)(9) of the Securities Act as determined as follows: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equals the Closing Sale Price per share of Common Stock as of the Trading Day on the date immediately preceding the Exercise Date; 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equals the Exercise Price per Warrant Share then in effect on the Exercise Date.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Rule 144 promulgated under the Securities Act, it is intended, understood and acknowledged that the Warrant Shares issued in such a “cashless exercise” transaction shall be deemed to have been acquired by the Holder, and the holding period for the Warrant Shares shall be deemed to have commenced, on the Original Issue Date (provided that the Commission continues to take the position that such treatment is proper at the time of such exercise). In the event that the Registration Statement or another registration statement registering the issuance of Warrant Shares is, for any reason, not effective at the time of exercise of this Warrant, then this Warrant may only be exercised through a cashless exercise, as set forth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set forth herein, in no event will the exercise of this Warrant be settled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ind w:left="272" w:hanging="272"/>
        <w:spacing w:after="0"/>
        <w:tabs>
          <w:tab w:leader="none" w:pos="2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Limitations on Exercise</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8" w:firstLine="332"/>
        <w:spacing w:after="0" w:line="251" w:lineRule="auto"/>
        <w:tabs>
          <w:tab w:leader="none" w:pos="56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effect any exercise of this Warrant, and the Holder shall not be entitled to exercise this Warrant for a number of Warrant Shares in excess of that number of Warrant Shares which, upon giving effect or immediately prior to such exercise, would cause (i) the aggregate number of shares of Common Stock beneficially owned by the Holder, its Affiliates and any other Persons whose beneficial ownership of Common Stock would be aggregated with the Holder’s for purposes of Section 13(d)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to exceed [4.99%/9.99%] (the “</w:t>
      </w:r>
      <w:r>
        <w:rPr>
          <w:rFonts w:ascii="Times New Roman" w:cs="Times New Roman" w:eastAsia="Times New Roman" w:hAnsi="Times New Roman"/>
          <w:sz w:val="18"/>
          <w:szCs w:val="18"/>
          <w:b w:val="1"/>
          <w:bCs w:val="1"/>
          <w:color w:val="auto"/>
        </w:rPr>
        <w:t>Maximum Percentage</w:t>
      </w:r>
      <w:r>
        <w:rPr>
          <w:rFonts w:ascii="Times New Roman" w:cs="Times New Roman" w:eastAsia="Times New Roman" w:hAnsi="Times New Roman"/>
          <w:sz w:val="18"/>
          <w:szCs w:val="18"/>
          <w:color w:val="auto"/>
        </w:rPr>
        <w:t xml:space="preserve">”) of the total number of issued and outstanding shares of Common Stock of the Company following such exercise, or (ii) the combined voting power of the securities of the Company beneficially owned by the Holder and its Affiliates and any other Persons whose beneficial ownership of Common Stock would be aggregated with the Holder’s for purposes of Section 13(d) of the Exchange Act to exceed [4.99%/9.99%] % of the combined voting power of all of the securities of the Company then outstanding following such exercise. To the extent that the Maximum Percentage applies, the determination of whether this Warrant is exercisable (in relation to other securities owned by the Holder together with any Affiliates) and of which portion of this Warrant is exercisable shall be in the sole discretion of the Holder, and the submission of an Exercise Notice shall be deemed to be the Holder’s determination of whether this Warrant is exercisable (in relation to other securities owned by the Holder together with any Affiliates) and of which portion of this Warrant is exercisable, in each case subject to the Maximum Percentage, and the Company shall have no obligation to verify or confirm the accuracy of such determination. For purposes of this Warrant, in determining the number of outstanding shares of Common Stock, the Holder may rely on the number of outstanding shares of Common Stock as reflected in (x) the Company’s most recent Form 10-Q or Form 10-K, as the case may be, filed with the Commission prior to the Exercise Date, (y) a more recent public announcement by the Company or (z) any other notice by the Company or the Transfer Agent setting forth the number of shares of Common Stock outstanding. Upon the written request of the Holder, the Company shall within three (3) Trading Days confirm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since the date as of which such number of outstanding shares of Common Stock was reported. By written notice to the Company, the Holder may from time to time increase or decrease the Maximum Percentage to any other percentage not in excess of 9.99% specified in such notice; provided that any such increase or decrease will not be effective until the sixty-first (61st) day after such notice is delivered to the Company. For purposes of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the aggregate number of shares of Common Stock or voting securities beneficially owned by the Holder and its Affiliates and any other Persons whose beneficial ownership of Common Stock would be aggregated with the Holder’s for purposes of Section 13(d) of the Exchange Act shall include the shares of Common Stock issuable upon the exercise of this Warrant with respect to which such determination is being made, but shall exclude the number of shares of Common Stock which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 is subject to a limitation on conversion or exercise analogous to the limitation contained herein and is beneficially owned by the Holder or any of its Affiliates and other Persons whose beneficial ownership of Common Stock would be aggregated with the Holder’s for purposes of Section 13(d) of the Exchange Act.</w:t>
      </w:r>
    </w:p>
    <w:p>
      <w:pPr>
        <w:spacing w:after="0" w:line="200" w:lineRule="exact"/>
        <w:rPr>
          <w:rFonts w:ascii="Times New Roman" w:cs="Times New Roman" w:eastAsia="Times New Roman" w:hAnsi="Times New Roman"/>
          <w:sz w:val="18"/>
          <w:szCs w:val="18"/>
          <w:color w:val="auto"/>
        </w:rPr>
      </w:pPr>
    </w:p>
    <w:p>
      <w:pPr>
        <w:jc w:val="both"/>
        <w:ind w:left="-8" w:firstLine="332"/>
        <w:spacing w:after="0" w:line="266" w:lineRule="auto"/>
        <w:tabs>
          <w:tab w:leader="none" w:pos="56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restrict the number of shares of Common Stock which a Holder may receive or beneficially own in order to determine the amount of securities or other consideration that such Holder may receive in the event of a Fundamental Transaction as contemplated in </w:t>
      </w:r>
      <w:r>
        <w:rPr>
          <w:rFonts w:ascii="Times New Roman" w:cs="Times New Roman" w:eastAsia="Times New Roman" w:hAnsi="Times New Roman"/>
          <w:sz w:val="18"/>
          <w:szCs w:val="18"/>
          <w:u w:val="single" w:color="auto"/>
          <w:color w:val="auto"/>
        </w:rPr>
        <w:t>Section 9(c)</w:t>
      </w:r>
      <w:r>
        <w:rPr>
          <w:rFonts w:ascii="Times New Roman" w:cs="Times New Roman" w:eastAsia="Times New Roman" w:hAnsi="Times New Roman"/>
          <w:sz w:val="18"/>
          <w:szCs w:val="18"/>
          <w:color w:val="auto"/>
        </w:rPr>
        <w:t xml:space="preserve"> of this Warrant.</w:t>
      </w:r>
    </w:p>
    <w:p>
      <w:pPr>
        <w:spacing w:after="0" w:line="173" w:lineRule="exact"/>
        <w:rPr>
          <w:rFonts w:ascii="Times New Roman" w:cs="Times New Roman" w:eastAsia="Times New Roman" w:hAnsi="Times New Roman"/>
          <w:sz w:val="18"/>
          <w:szCs w:val="18"/>
          <w:color w:val="auto"/>
        </w:rPr>
      </w:pPr>
    </w:p>
    <w:p>
      <w:pPr>
        <w:jc w:val="both"/>
        <w:ind w:left="-8" w:right="20" w:firstLine="8"/>
        <w:spacing w:after="0" w:line="267" w:lineRule="auto"/>
        <w:tabs>
          <w:tab w:leader="none" w:pos="26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 shares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3" w:lineRule="exact"/>
        <w:rPr>
          <w:rFonts w:ascii="Times New Roman" w:cs="Times New Roman" w:eastAsia="Times New Roman" w:hAnsi="Times New Roman"/>
          <w:sz w:val="18"/>
          <w:szCs w:val="18"/>
          <w:color w:val="auto"/>
        </w:rPr>
      </w:pPr>
    </w:p>
    <w:p>
      <w:pPr>
        <w:jc w:val="both"/>
        <w:ind w:left="-8" w:firstLine="8"/>
        <w:spacing w:after="0" w:line="256" w:lineRule="auto"/>
        <w:tabs>
          <w:tab w:leader="none" w:pos="26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and all notices or other communications or deliveries hereunder (including, without limitation, any Exercise Notice) shall be in 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shall be deemed given and effective on the earliest of (i) the date of transmission, if such notice or communication is delivered via facsimile or confirmed e-mail prior to 5:30 P.M., New York City time, on a Trading Day, (ii) the next Trading Day after the date of transmission, if such notice or communication is delivered via facsimile or confirmed e-mail on a day that is not a Trading Day or later than 5:30 P.M., New York City time, on any Trading Day, (iii) the Trading Day following the date of mailing, if sent by nationally recognized overnight courier service specifying next business day delivery, or (iv) upon actual receipt by the Person to whom such notice is required to be given, if by hand delivery. The addresses, telephone numbers and e-mail addresses for such communications shall be:</w:t>
      </w:r>
    </w:p>
    <w:p>
      <w:pPr>
        <w:spacing w:after="0" w:line="185"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12915 Old Virginia Road</w:t>
      </w:r>
    </w:p>
    <w:p>
      <w:pPr>
        <w:spacing w:after="0" w:line="2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Telephone number: (775) 622-3448</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Attention: Denis Phares</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Email: denis@dragonflyenergy.com</w:t>
      </w:r>
    </w:p>
    <w:p>
      <w:pPr>
        <w:spacing w:after="0" w:line="20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If to the Holder, to its address, facsimile number or e-mail address set forth herein or on the books and records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86" w:right="339" w:bottom="1440" w:gutter="0" w:footer="0" w:header="0"/>
        </w:sectPr>
      </w:pPr>
    </w:p>
    <w:bookmarkStart w:id="53" w:name="page54"/>
    <w:bookmarkEnd w:id="53"/>
    <w:p>
      <w:pPr>
        <w:spacing w:after="0" w:line="282" w:lineRule="auto"/>
        <w:rPr>
          <w:sz w:val="20"/>
          <w:szCs w:val="20"/>
          <w:color w:val="auto"/>
        </w:rPr>
      </w:pPr>
      <w:r>
        <w:rPr>
          <w:rFonts w:ascii="Times New Roman" w:cs="Times New Roman" w:eastAsia="Times New Roman" w:hAnsi="Times New Roman"/>
          <w:sz w:val="18"/>
          <w:szCs w:val="18"/>
          <w:color w:val="auto"/>
        </w:rPr>
        <w:t>Or, in each of the above instances, to such other address, facsimile number or e-mail address as the recipient party has specified by written notice given to each other party at least five (5) days prior to the effectiveness of such change.</w:t>
      </w:r>
    </w:p>
    <w:p>
      <w:pPr>
        <w:spacing w:after="0" w:line="160" w:lineRule="exact"/>
        <w:rPr>
          <w:sz w:val="20"/>
          <w:szCs w:val="20"/>
          <w:color w:val="auto"/>
        </w:rPr>
      </w:pPr>
    </w:p>
    <w:p>
      <w:pPr>
        <w:jc w:val="both"/>
        <w:ind w:firstLine="8"/>
        <w:spacing w:after="0" w:line="257" w:lineRule="auto"/>
        <w:tabs>
          <w:tab w:leader="none" w:pos="2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Warrant Agent</w:t>
      </w:r>
      <w:r>
        <w:rPr>
          <w:rFonts w:ascii="Times New Roman" w:cs="Times New Roman" w:eastAsia="Times New Roman" w:hAnsi="Times New Roman"/>
          <w:sz w:val="18"/>
          <w:szCs w:val="18"/>
          <w:color w:val="auto"/>
        </w:rPr>
        <w:t>. The Company shall initially serve as warrant agent under this Warrant. Upon ten (10) days’ notice to the Holder, the Company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 a new warrant agent. Any corporation into which the Company or any new warrant agent may be merged or any corporation resulting from any consolidation to which the Company or any new warrant agent shall be a party or any corporation to which the Company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8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332"/>
        <w:spacing w:after="0" w:line="254" w:lineRule="auto"/>
        <w:tabs>
          <w:tab w:leader="none" w:pos="58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a Stockholder</w:t>
      </w:r>
      <w:r>
        <w:rPr>
          <w:rFonts w:ascii="Times New Roman" w:cs="Times New Roman" w:eastAsia="Times New Roman" w:hAnsi="Times New Roman"/>
          <w:sz w:val="18"/>
          <w:szCs w:val="18"/>
          <w:color w:val="auto"/>
        </w:rPr>
        <w: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91" w:lineRule="exact"/>
        <w:rPr>
          <w:rFonts w:ascii="Times New Roman" w:cs="Times New Roman" w:eastAsia="Times New Roman" w:hAnsi="Times New Roman"/>
          <w:sz w:val="18"/>
          <w:szCs w:val="18"/>
          <w:color w:val="auto"/>
        </w:rPr>
      </w:pPr>
    </w:p>
    <w:p>
      <w:pPr>
        <w:jc w:val="both"/>
        <w:ind w:firstLine="332"/>
        <w:spacing w:after="0" w:line="254" w:lineRule="auto"/>
        <w:tabs>
          <w:tab w:leader="none" w:pos="59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rFonts w:ascii="Times New Roman" w:cs="Times New Roman" w:eastAsia="Times New Roman" w:hAnsi="Times New Roman"/>
          <w:sz w:val="18"/>
          <w:szCs w:val="18"/>
          <w:color w:val="auto"/>
        </w:rPr>
      </w:pPr>
    </w:p>
    <w:p>
      <w:pPr>
        <w:jc w:val="both"/>
        <w:ind w:right="20" w:firstLine="332"/>
        <w:spacing w:after="0" w:line="258" w:lineRule="auto"/>
        <w:tabs>
          <w:tab w:leader="none" w:pos="56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or their successors and assigns.</w:t>
      </w:r>
    </w:p>
    <w:p>
      <w:pPr>
        <w:spacing w:after="0" w:line="183" w:lineRule="exact"/>
        <w:rPr>
          <w:rFonts w:ascii="Times New Roman" w:cs="Times New Roman" w:eastAsia="Times New Roman" w:hAnsi="Times New Roman"/>
          <w:sz w:val="18"/>
          <w:szCs w:val="18"/>
          <w:color w:val="auto"/>
        </w:rPr>
      </w:pPr>
    </w:p>
    <w:p>
      <w:pPr>
        <w:jc w:val="both"/>
        <w:ind w:firstLine="332"/>
        <w:spacing w:after="0" w:line="266" w:lineRule="auto"/>
        <w:tabs>
          <w:tab w:leader="none" w:pos="592"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ind w:left="580" w:hanging="248"/>
        <w:spacing w:after="0"/>
        <w:tabs>
          <w:tab w:leader="none" w:pos="5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225" w:lineRule="exact"/>
        <w:rPr>
          <w:rFonts w:ascii="Times New Roman" w:cs="Times New Roman" w:eastAsia="Times New Roman" w:hAnsi="Times New Roman"/>
          <w:sz w:val="18"/>
          <w:szCs w:val="18"/>
          <w:color w:val="auto"/>
        </w:rPr>
      </w:pPr>
    </w:p>
    <w:p>
      <w:pPr>
        <w:jc w:val="both"/>
        <w:ind w:firstLine="332"/>
        <w:spacing w:after="0" w:line="252" w:lineRule="auto"/>
        <w:tabs>
          <w:tab w:leader="none" w:pos="54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Each of the Company and the Holder hereby waives all rights to a trial by jury.</w:t>
      </w:r>
    </w:p>
    <w:p>
      <w:pPr>
        <w:spacing w:after="0" w:line="195" w:lineRule="exact"/>
        <w:rPr>
          <w:rFonts w:ascii="Times New Roman" w:cs="Times New Roman" w:eastAsia="Times New Roman" w:hAnsi="Times New Roman"/>
          <w:sz w:val="18"/>
          <w:szCs w:val="18"/>
          <w:color w:val="auto"/>
        </w:rPr>
      </w:pPr>
    </w:p>
    <w:p>
      <w:pPr>
        <w:ind w:firstLine="332"/>
        <w:spacing w:after="0" w:line="282" w:lineRule="auto"/>
        <w:tabs>
          <w:tab w:leader="none" w:pos="57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jc w:val="both"/>
        <w:ind w:firstLine="332"/>
        <w:spacing w:after="0" w:line="261" w:lineRule="auto"/>
        <w:tabs>
          <w:tab w:leader="none" w:pos="60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shall be invalid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7"/>
          <w:szCs w:val="17"/>
          <w:color w:val="auto"/>
        </w:rPr>
        <w:t>IN WITNESS WHEREOF, the Company has caused this Warrant to be duly executed by its authorized officer as of the date first indicated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Pre-Funded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688" w:right="4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EXERCISE NOTICE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Holder to purchase Warrant Shares under the Warrant]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firstLine="8"/>
        <w:spacing w:after="0" w:line="282" w:lineRule="auto"/>
        <w:tabs>
          <w:tab w:leader="none" w:pos="2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___ (the “Warrant”) issued by Dragonfly Energy Holdings Corp., a Nevada corporation (the “Company”). Capitalized terms used herein and not otherwise defined herein have the respective meanings set forth in the Warrant.</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225" w:lineRule="exact"/>
        <w:rPr>
          <w:rFonts w:ascii="Times New Roman" w:cs="Times New Roman" w:eastAsia="Times New Roman" w:hAnsi="Times New Roman"/>
          <w:sz w:val="18"/>
          <w:szCs w:val="18"/>
          <w:color w:val="auto"/>
        </w:rPr>
      </w:pPr>
    </w:p>
    <w:p>
      <w:pPr>
        <w:ind w:left="1300" w:hanging="968"/>
        <w:spacing w:after="0"/>
        <w:tabs>
          <w:tab w:leader="none" w:pos="1300" w:val="left"/>
        </w:tabs>
        <w:numPr>
          <w:ilvl w:val="1"/>
          <w:numId w:val="5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225" w:lineRule="exact"/>
        <w:rPr>
          <w:rFonts w:ascii="MS PGothic" w:cs="MS PGothic" w:eastAsia="MS PGothic" w:hAnsi="MS PGothic"/>
          <w:sz w:val="18"/>
          <w:szCs w:val="18"/>
          <w:color w:val="auto"/>
        </w:rPr>
      </w:pPr>
    </w:p>
    <w:p>
      <w:pPr>
        <w:ind w:left="1300" w:hanging="968"/>
        <w:spacing w:after="0"/>
        <w:tabs>
          <w:tab w:leader="none" w:pos="1300" w:val="left"/>
        </w:tabs>
        <w:numPr>
          <w:ilvl w:val="1"/>
          <w:numId w:val="5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 under Section 10 of the Warrant</w:t>
      </w:r>
    </w:p>
    <w:p>
      <w:pPr>
        <w:spacing w:after="0" w:line="225" w:lineRule="exact"/>
        <w:rPr>
          <w:rFonts w:ascii="MS PGothic" w:cs="MS PGothic" w:eastAsia="MS PGothic" w:hAnsi="MS PGothic"/>
          <w:sz w:val="18"/>
          <w:szCs w:val="18"/>
          <w:color w:val="auto"/>
        </w:rPr>
      </w:pPr>
    </w:p>
    <w:p>
      <w:pPr>
        <w:ind w:firstLine="8"/>
        <w:spacing w:after="0" w:line="282" w:lineRule="auto"/>
        <w:tabs>
          <w:tab w:leader="none" w:pos="25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 __________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this Exercise Notice, the Company shall deliver to the Holder Warrant Shares determined in accordance with the terms of the Warrant. The Warrant Shares shall be delivered to the following DWAC Account Number: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jc w:val="both"/>
        <w:ind w:firstLine="8"/>
        <w:spacing w:after="0" w:line="261" w:lineRule="auto"/>
        <w:tabs>
          <w:tab w:leader="none" w:pos="26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the undersigned represents and warrants to the Company that in giving effect to the exercise evidenced hereby the Holder, its Affiliates and any other Person whose beneficial ownership of Common Stock would be aggregated with the Holder’s for purposes of Section 13(d) of the Exchange Act will not beneficially own in excess of the number of shares of Common Stock (as determined in accordance with Section 13(d) of the Securities Exchange Act of 1934, as amended) permitted to be owned under Section 11(a) of the Warrant to which this notice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3566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16,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12915 Old Virginia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NV 89521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Dragonfly Energy Holdings Corp. – Prospectus Supplement to Registration Statement on Form S-3</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special Nevada counsel to Dragonfly Energy Holdings Corp.,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(i) the Registration Statement on Form S-3 (Registration No. 333-275559), which was declared effective on November 24, 2023,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(as so filed,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the related prospectus contained in the Registration Statement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and (ii) the prospectus supplement to the Registration Statement, dated October 16, 2025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relating to the issuance and sale by the Company of 36,000,000 shares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u w:val="single" w:color="auto"/>
          <w:color w:val="auto"/>
        </w:rPr>
        <w:t>Firm Shares</w:t>
      </w:r>
      <w:r>
        <w:rPr>
          <w:rFonts w:ascii="Times New Roman" w:cs="Times New Roman" w:eastAsia="Times New Roman" w:hAnsi="Times New Roman"/>
          <w:sz w:val="18"/>
          <w:szCs w:val="18"/>
          <w:color w:val="auto"/>
        </w:rPr>
        <w:t>”), Pre-Funded Warrants (the “</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to purchase up to an aggregate of 5,000,000 shares of Common Stock (the “</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and at the election of the underwriter under that certain Underwriting Agreement (defined below), up to 6,150,000 additional shares of Common Stock (the “</w:t>
      </w:r>
      <w:r>
        <w:rPr>
          <w:rFonts w:ascii="Times New Roman" w:cs="Times New Roman" w:eastAsia="Times New Roman" w:hAnsi="Times New Roman"/>
          <w:sz w:val="18"/>
          <w:szCs w:val="18"/>
          <w:u w:val="single" w:color="auto"/>
          <w:color w:val="auto"/>
        </w:rPr>
        <w:t>Optional Shares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Firm Shares, Pre-Funded Warrants, and Optional Shares are to be sold pursuant to an Underwriting Agreement, dated October 16, 2025, by and between the Company and Canaccord Genuity LLC, as representative of the several underwriters named therein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We have been requested by the Company to render this opinion in connection with the filing of the Form 8-K with respect to the sale and issuance by the Company of the Firm Shares, Pre-Funded Warrants, Pre-Funded Warrant Shares, and Optional Shares (the “</w:t>
      </w:r>
      <w:r>
        <w:rPr>
          <w:rFonts w:ascii="Times New Roman" w:cs="Times New Roman" w:eastAsia="Times New Roman" w:hAnsi="Times New Roman"/>
          <w:sz w:val="18"/>
          <w:szCs w:val="18"/>
          <w:u w:val="single" w:color="auto"/>
          <w:color w:val="auto"/>
        </w:rPr>
        <w:t>Form 8-K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counsel to the Company, we have examined such matters of fact and questions of law as we have considered appropriate for purposes of rendering this opinion letter. With your consent, we have relied upon certificates and other assurances of officers of the Company and others as to factual matters without having independently verified such factual matters. In rendering the opinions in this opinion letter, we have assumed that the issuance of the Firm Shares, Pre-Funded Warrant Shares and Optional Shares will not exceed the number of authorized shares. In rendering the opinions expressed below, we have assumed without verification the genuineness of all signatures, the legal capacity of natural persons, the authenticity of all documents submitted to us as originals, the conformity to the originals of all documents submitted to us as copies and the authenticity of the originals of such copies. We are opining herein as to the Nevada Revised Statutes, and we express no opinion with respect to the applicability thereto, or the effect thereon, of the laws of any other jurisdiction or, in the case of Nevada, any other laws, or as to any matters of municipal law or the laws of any local agencies within any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16,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upon such examination, and subject to the qualifications, assumptions and limitations stated herein, it is our opinion that the Firm Shares, Pre-Funded Warrants, Pre-Funded Warrant Shares, and Optional Shares have been duly authorized by all requisite corporate action on the part of the Company and, upon their issuance, delivery and payment therefor in the manner contemplated by the Registration Statement, Base Prospectus and Prospectus Supplement, and pursuant to the terms of the Underwriting Agreement and the Pre-Funded Warrants, as applicable, the Firm Shares, Pre-Funded Warrant Shares, and Optional Shares will be validly issued, fully paid and non-assessable.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 opinion is expressed herein as to any matter pertaining to the contents of the Registration Statement. In connection with the opinions in this opinion letter, we have examined and relied on the representations and warranties as to factual matters contained in the Registration Statement, and we have relied on oral or written statements and representations of officers or other representatives of the Company and others.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opinions in this opinion letter are given as of the date hereof. We assume no obligation to advise you of changes that may hereafter be brought to our attention.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inclusion of this opinion letter as Exhibit 5. 1 to the Form 8-K and further consent to all references to us under the caption “Legal Matters” in the Prospectus Supplement. In giving this consent, we do not admit that we are in the category of persons whose consent is required under Section 7 of the Securities Act, or the rules and regulations of the Commission.</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PARSONS BEHLE &amp; LATIMER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851660" cy="5657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516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16,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12915 Old Virginia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NV 89521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counsel to Dragonfly Energy Holdings Corp.,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of (i) the Registration Statement on Form S-3 (Registration No. 333-275559), which was declared effective on November 24, 2023,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(as so filed,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the related prospectus contained in the Registration Statement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and (ii) the prospectus supplement to the Registration Statement, dated October 16, 2025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relating to the issuance and sale by the Company of 42,150,000 shares of the Company’s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such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(including 6,150,000 shares of Common Stock issuable by the Company upon exercise of an option to purchase additional shares granted by the Company to the underwriters) and Pre-Funded Warrants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to purchase up to an aggregate of 5,000,000 shares of Common Stock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and Warrants are to be sold pursuant to an Underwriting Agreement, dated October 16, 2025, by and between the Company and Canaccord Genuity LLC, as representative of the several underwriters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We have been requested by the Company to render this opinion in connection with the filing of the Form 8-K with respect to the sale and issuance by the Company of the Warrants (the “</w:t>
      </w:r>
      <w:r>
        <w:rPr>
          <w:rFonts w:ascii="Times New Roman" w:cs="Times New Roman" w:eastAsia="Times New Roman" w:hAnsi="Times New Roman"/>
          <w:sz w:val="18"/>
          <w:szCs w:val="18"/>
          <w:u w:val="single" w:color="auto"/>
          <w:color w:val="auto"/>
        </w:rPr>
        <w:t>Form 8-K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counsel to the Company in connection with the issuance and sale of the above-referenced Shares, Warrants and Warrant Shares, we have reviewed the Registration Statement, Base Prospectus, Prospectus Supplement and the respective exhibits thereto, the Underwriting Agreement and the Form of Pre-Funded Warrant. We have also reviewed such corporate documents and records of the Company, such certificates of public officials and officers of the Company and such other matters as we have deemed necessary or appropriate for purposes of this opinion. In our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that, as set forth in a separate opinion delivered to the Company on the date hereof by Parsons Behle &amp; Latimer, special Nevada counsel to the Company, the Warrants have been duly authorized; and (v) the legal capacity for all purposes relevant hereto of all natural persons and, with respect to all parties to agreements or instruments relevant hereto other than the Company, that such parties had the requisite power and authority (corporate or otherwise) to execute, deliver and perform such agreements or instruments, that such agreements or instruments have been duly authorized by all requisite action (corporate or otherwise), executed and delivered by such parties and that such agreements or instruments are the valid, binding and enforceable obligations of such parties. As to any facts material to the opinions expressed herein that were not independently established or verified, we have relied upon oral or written statements and representations of officers and other representatives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0" w:name="page61"/>
    <w:bookmarkEnd w:id="6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the foregoing, and subject to the assumptions, limitations and qualifications set forth herein, we are of the opinion that when the Warrants are duly executed and delivered by the Company and paid for by the Underwriter pursuant to the Underwriting Agreement, such Warrants will constitute the legal, valid and binding obligation of the Company, enforceable against the Company in accordance with their terms, subject to bankruptcy, insolvency or other similar laws affecting creditors’ rights and to general equitable principles.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opinion set forth above is subject to the following exceptions, limitations and qualifications: (i) the effect of bankruptcy, insolvency, reorganization, fraudulent conveyance, moratorium or other similar laws now or hereafter in effect relating to or affecting the rights and remedies of creditors; (ii) the effect of general principles of equity, including without limitation, concepts of materiality, reasonableness, good faith and fair dealing and the possible unavailability of specific performance or injunctive relief, regardless of whether enforcement is considered in a proceeding in equity or at law, and the discretion of the court before which any proceeding therefor may be brought; and (iii) the unenforceability under certain circumstances under law or court decisions of provisions providing for the indemnification of, or contribution to, a party with respect to liability where such indemnification or contribution is contrary to public policy. We express no opinion concerning the enforceability of any waiver of rights or defenses with respect to stay, extension or usury laws.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opinion is limited to the laws of New York. We express no opinion as to the effect of the law of any other jurisdiction. Our opinion is rendered as of the date hereof, and we assume no obligation to advise you of changes in law or fact (or the effect thereof on the opinions expressed herein) that hereafter may come to our attention. We advise you that matters of Nevada law are covered in the opinion of Parsons Behle &amp; Latimer, special Nevada counsel for the Company, in Exhibit 5.1 to the Form 8-K.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5.2 to the Form 8-K and to the references to our firm in the Prospectus Supplement under the caption “Legal Matters.” In giving our consent, we do not admit that we are in the category of persons whose consent is required under Section 7 of the Securities Act or the rules and regulations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Lowenstein Sandler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51660" cy="5657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516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Announces Proposed Public Offering of Common Stock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RENO, Nev. (October 15, 2025) — </w:t>
      </w:r>
      <w:r>
        <w:rPr>
          <w:rFonts w:ascii="Times New Roman" w:cs="Times New Roman" w:eastAsia="Times New Roman" w:hAnsi="Times New Roman"/>
          <w:sz w:val="18"/>
          <w:szCs w:val="18"/>
          <w:color w:val="auto"/>
        </w:rPr>
        <w:t>Dragonfly Energy Holdings Corp. (“Dragonfly Energy” or the “Company”) (Nasdaq: DFLI), an industry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storage and battery technology, today announced that it has commenced an underwritten public offering of shares of its common stock and, in lieu of common stock to investors who so choose, pre-funded warrants to purchase shares of its common stock. In addition, Dragonfly Energy expects to grant the underwriter a 30-day option to purchase up to an additional 15% of the securities to be sold in the proposed offering at the public offering price for the common stock, less underwriting discounts and commissions. All shares of common stock and pre-funded warrants are being offered by Dragonfly Energy. The proposed offering is subject to market and other conditions, and there can be no assurance as to whether or when the offering may be completed, or the actual size or terms of the proposed offering.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is acting as the sole bookrunner for the proposed offering.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Dragonfly Energy intends to use the net proceeds from the proposed offering for working capital and other general corporate purposes, including the prepayment of $45 million of outstanding indebtedness under its term loan agreement in connection with a proposed restructuring of the Company’s outstanding indebtedness, continued investments in initiatives intended to drive near term revenue, and continued strategic investment in next generation battery technologies, including scaling the dry electrode process and its application to solid-state batteries.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proposed offering is being made pursuant to a shelf registration statement on Form S-3 (File No. 333-275559) that was declared effective by the Securities and Exchange Commission (“SEC”) on November 24, 2023. A preliminary prospectus supplement and accompanying prospectus relating to the proposed offering will be filed with the SEC and will be available for free on the SEC’s website, located at www.sec.gov. Copies of the preliminary prospectus supplement and the accompanying prospectus relating to the proposed offering may be obtained, when available, from Canaccord Genuity LLC, Attention: Syndication Department, One Post Office Square, Suite 3000, Boston, Massachusetts 02109, or by telephone at (617) 371-3900, or by email at prospectus@cgf.com.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that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About Dragonfly Energy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Energy Holdings Corp.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Dragonfly Energy and its commitment to clean energy advancements, visit </w:t>
      </w:r>
      <w:r>
        <w:rPr>
          <w:rFonts w:ascii="Times New Roman" w:cs="Times New Roman" w:eastAsia="Times New Roman" w:hAnsi="Times New Roman"/>
          <w:sz w:val="18"/>
          <w:szCs w:val="18"/>
          <w:u w:val="single" w:color="auto"/>
          <w:color w:val="auto"/>
        </w:rPr>
        <w:t>investors.dragonflyenergy.com.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about the Company’s expectations regarding the completion, timing and size of its public offering and the anticipated use of proceeds therefrom.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Words such as “believe,” “anticipate,” “plan,” “expect,” “intend,” “may,” “goal,” “potential” and similar expressions are intended to identify forward-looking statements, though not all forward-looking statements necessarily contain these identifying words. Among the factors that could cause actual results to differ materially from those indicated in the forward-looking statements are risks and uncertainties associated with market conditions, the proposed restructuring of the Company’s outstanding indebtedness and the satisfaction of customary closing conditions related to the proposed offering, as well as risks and uncertainties associated with the Company’s business and finances in general, including the risks and uncertainties in the section captioned “Risk Factors” in the preliminary prospectus supplement related to the proposed offering that will be filed with the SEC, the Company’s most recently filed Annual Report on Form 10-K and subsequently filed Quarterly Reports on Form 10-Q. There can be no assurances that we will be able to complete the proposed offering on the anticipated terms, or at all. You are cautioned not to place undue reliance on these forward-looking statements, which speak only as of the date of this press release. All forward-looking statements are qualified in their entirety by this cautionary statement, and the Company undertakes no obligation to revise or update any forward-looking statements to reflect events or circumstances after the date of this press release.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Prouty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Szymon Serowiecki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AdvisIRy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DragonflyIR@advisiry.com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Announces Pricing of $55.4 Million Public Offering of Common Stock and Pre-Funded Warrants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RENO, Nev. (October 16, 2025) — </w:t>
      </w:r>
      <w:r>
        <w:rPr>
          <w:rFonts w:ascii="Times New Roman" w:cs="Times New Roman" w:eastAsia="Times New Roman" w:hAnsi="Times New Roman"/>
          <w:sz w:val="18"/>
          <w:szCs w:val="18"/>
          <w:color w:val="auto"/>
        </w:rPr>
        <w:t>Dragonfly Energy Holdings Corp. (“Dragonfly Energy” or the “Company”) (Nasdaq: DFLI), an industry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storage and battery technology, today announced the pricing of an underwritten public offering of 36,000,000 shares of common stock at a price to the public of $1.35 per share and, in lieu of common stock to investors who so choose, pre-funded warrants to purchase up to 5,000,000 shares of common stock at a price to the public of $1.3499 per pre-funded warrant, which represents the per share public offering price for the shares of common stock less the $0.0001 per share exercise price for each pre-funded warrant, for gross proceeds of approximately $55.4 million, before deducting underwriting discounts and commissions and other estimated offering expenses. In addition, Dragonfly Energy has granted the underwriters a 30-day option to purchase up to an additional 6,150,000 shares of its common stock at the public offering price for the common stock, less underwriting discounts and commissions. All shares of common stock and pre-funded warrants are being offered by Dragonfly Energy. The offering is expected to close on or about October 17, 2025, subject to the satisfaction of customary closing conditions.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is acting as the sole bookrunner for the offering. Roth Capital Partners is acting as co-manager for the offering.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Dragonfly Energy intends to use the net proceeds from the offering for working capital and other general corporate purposes, including the prepayment of $45 million of outstanding indebtedness under its term loan agreement in connection with a proposed restructuring of the Company’s outstanding indebtedness, continued investments in initiatives intended to drive near term revenue, and continued strategic investment in next generation battery technologies, including scaling the dry electrode process and its application to solid-state batteries.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offering is being made pursuant to a shelf registration statement on Form S-3 (File No. 333-275559) that was declared effective by the Securities and Exchange Commission (“SEC”) on November 24, 2023. A preliminary prospectus supplement and accompanying prospectus relating to the offering has been filed with the SEC and a final prospectus supplement with the final terms of the offering will be filed with the SEC and will be available for free on the SEC’s website, located at www.sec.gov. Copies of the final prospectus supplement and the accompanying prospectus relating to the offering may be obtained, when available, from Canaccord Genuity LLC, Attention: Syndication Department, One Post Office Square, Suite 3000, Boston, Massachusetts 02109, or by telephone at (617) 371-3900, or by email at prospectus@cgf.com.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that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About Dragonfly Energy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Energy Holdings Corp.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Dragonfly Energy and its commitment to clean energy advancements, visit </w:t>
      </w:r>
      <w:r>
        <w:rPr>
          <w:rFonts w:ascii="Times New Roman" w:cs="Times New Roman" w:eastAsia="Times New Roman" w:hAnsi="Times New Roman"/>
          <w:sz w:val="18"/>
          <w:szCs w:val="18"/>
          <w:u w:val="single" w:color="auto"/>
          <w:color w:val="auto"/>
        </w:rPr>
        <w:t>investors.dragonflyenergy.com.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about the Company’s expectations regarding the satisfaction of customary closing conditions related to the offering and the anticipated use of proceeds therefrom.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Words such as “believe,” “anticipate,” “plan,” “expect,” “intend,” “may,” “goal,” “potential” and similar expressions are intended to identify forward-looking statements, though not all forward-looking statements necessarily contain these identifying words. Among the factors that could cause actual results to differ materially from those indicated in the forward-looking statements are risks and uncertainties associated with market conditions, the proposed restructuring of the Company’s outstanding indebtedness and the satisfaction of customary closing conditions related to the offering, as well as risks and uncertainties associated with the Company’s business and finances in general, including the risks and uncertainties in the section captioned “Risk Factors” in the preliminary prospectus supplement related to the offering that was filed with the SEC, the Company’s most recently filed Annual Report on Form 10-K and subsequently filed Quarterly Reports on Form 10-Q. There can be no assurances that we will be able to complete the offering on the anticipated terms, or at all. You are cautioned not to place undue reliance on these forward-looking statements, which speak only as of the date of this press release. All forward-looking statements are qualified in their entirety by this cautionary statement, and the Company undertakes no obligation to revise or update any forward-looking statements to reflect events or circumstances after the date of this press release.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Prouty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Szymon Serowiecki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AdvisIRy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DragonflyIR@advisiry.com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lowerLetter"/>
      <w:start w:val="1"/>
    </w:lvl>
  </w:abstractNum>
  <w:abstractNum w:abstractNumId="3">
    <w:nsid w:val="836C40E"/>
    <w:multiLevelType w:val="hybridMultilevel"/>
    <w:lvl w:ilvl="0">
      <w:lvlJc w:val="left"/>
      <w:lvlText w:val="(%1)"/>
      <w:numFmt w:val="lowerLetter"/>
      <w:start w:val="2"/>
    </w:lvl>
  </w:abstractNum>
  <w:abstractNum w:abstractNumId="4">
    <w:nsid w:val="2901D82"/>
    <w:multiLevelType w:val="hybridMultilevel"/>
    <w:lvl w:ilvl="0">
      <w:lvlJc w:val="left"/>
      <w:lvlText w:val="(%1)"/>
      <w:numFmt w:val="lowerLetter"/>
      <w:start w:val="5"/>
    </w:lvl>
  </w:abstractNum>
  <w:abstractNum w:abstractNumId="5">
    <w:nsid w:val="3A95F874"/>
    <w:multiLevelType w:val="hybridMultilevel"/>
    <w:lvl w:ilvl="0">
      <w:lvlJc w:val="left"/>
      <w:lvlText w:val="(%1)"/>
      <w:numFmt w:val="lowerLetter"/>
      <w:start w:val="11"/>
    </w:lvl>
  </w:abstractNum>
  <w:abstractNum w:abstractNumId="6">
    <w:nsid w:val="8138641"/>
    <w:multiLevelType w:val="hybridMultilevel"/>
    <w:lvl w:ilvl="0">
      <w:lvlJc w:val="left"/>
      <w:lvlText w:val="(%1)"/>
      <w:numFmt w:val="lowerLetter"/>
      <w:start w:val="15"/>
    </w:lvl>
  </w:abstractNum>
  <w:abstractNum w:abstractNumId="7">
    <w:nsid w:val="1E7FF521"/>
    <w:multiLevelType w:val="hybridMultilevel"/>
    <w:lvl w:ilvl="0">
      <w:lvlJc w:val="left"/>
      <w:lvlText w:val="(%1)"/>
      <w:numFmt w:val="lowerLetter"/>
      <w:start w:val="19"/>
    </w:lvl>
  </w:abstractNum>
  <w:abstractNum w:abstractNumId="8">
    <w:nsid w:val="7C3DBD3D"/>
    <w:multiLevelType w:val="hybridMultilevel"/>
    <w:lvl w:ilvl="0">
      <w:lvlJc w:val="left"/>
      <w:lvlText w:val="(%1)"/>
      <w:numFmt w:val="lowerLetter"/>
      <w:start w:val="23"/>
    </w:lvl>
  </w:abstractNum>
  <w:abstractNum w:abstractNumId="9">
    <w:nsid w:val="737B8DDC"/>
    <w:multiLevelType w:val="hybridMultilevel"/>
    <w:lvl w:ilvl="0">
      <w:lvlJc w:val="left"/>
      <w:lvlText w:val="(%1)"/>
      <w:numFmt w:val="lowerLetter"/>
      <w:start w:val="27"/>
    </w:lvl>
  </w:abstractNum>
  <w:abstractNum w:abstractNumId="10">
    <w:nsid w:val="6CEAF087"/>
    <w:multiLevelType w:val="hybridMultilevel"/>
    <w:lvl w:ilvl="0">
      <w:lvlJc w:val="left"/>
      <w:lvlText w:val="(%1)"/>
      <w:numFmt w:val="lowerLetter"/>
      <w:start w:val="29"/>
    </w:lvl>
  </w:abstractNum>
  <w:abstractNum w:abstractNumId="11">
    <w:nsid w:val="22221A70"/>
    <w:multiLevelType w:val="hybridMultilevel"/>
    <w:lvl w:ilvl="0">
      <w:lvlJc w:val="left"/>
      <w:lvlText w:val="%1"/>
      <w:numFmt w:val="lowerLetter"/>
      <w:start w:val="1"/>
    </w:lvl>
    <w:lvl w:ilvl="1">
      <w:lvlJc w:val="left"/>
      <w:lvlText w:val="(%2)"/>
      <w:numFmt w:val="lowerLetter"/>
      <w:start w:val="34"/>
    </w:lvl>
  </w:abstractNum>
  <w:abstractNum w:abstractNumId="12">
    <w:nsid w:val="4516DDE9"/>
    <w:multiLevelType w:val="hybridMultilevel"/>
    <w:lvl w:ilvl="0">
      <w:lvlJc w:val="left"/>
      <w:lvlText w:val="(%1)"/>
      <w:numFmt w:val="lowerLetter"/>
      <w:start w:val="61"/>
    </w:lvl>
    <w:lvl w:ilvl="1">
      <w:lvlJc w:val="left"/>
      <w:lvlText w:val="(%2)"/>
      <w:numFmt w:val="lowerLetter"/>
      <w:start w:val="36"/>
    </w:lvl>
  </w:abstractNum>
  <w:abstractNum w:abstractNumId="13">
    <w:nsid w:val="3006C83E"/>
    <w:multiLevelType w:val="hybridMultilevel"/>
    <w:lvl w:ilvl="0">
      <w:lvlJc w:val="left"/>
      <w:lvlText w:val="(%1)"/>
      <w:numFmt w:val="lowerLetter"/>
      <w:start w:val="38"/>
    </w:lvl>
  </w:abstractNum>
  <w:abstractNum w:abstractNumId="14">
    <w:nsid w:val="614FD4A1"/>
    <w:multiLevelType w:val="hybridMultilevel"/>
    <w:lvl w:ilvl="0">
      <w:lvlJc w:val="left"/>
      <w:lvlText w:val="(%1)"/>
      <w:numFmt w:val="lowerLetter"/>
      <w:start w:val="40"/>
    </w:lvl>
  </w:abstractNum>
  <w:abstractNum w:abstractNumId="15">
    <w:nsid w:val="419AC241"/>
    <w:multiLevelType w:val="hybridMultilevel"/>
    <w:lvl w:ilvl="0">
      <w:lvlJc w:val="left"/>
      <w:lvlText w:val="%1"/>
      <w:numFmt w:val="lowerLetter"/>
      <w:start w:val="1"/>
    </w:lvl>
    <w:lvl w:ilvl="1">
      <w:lvlJc w:val="left"/>
      <w:lvlText w:val="(%2)"/>
      <w:numFmt w:val="lowerLetter"/>
      <w:start w:val="42"/>
    </w:lvl>
  </w:abstractNum>
  <w:abstractNum w:abstractNumId="16">
    <w:nsid w:val="5577F8E1"/>
    <w:multiLevelType w:val="hybridMultilevel"/>
    <w:lvl w:ilvl="0">
      <w:lvlJc w:val="left"/>
      <w:lvlText w:val="(%1)"/>
      <w:numFmt w:val="lowerLetter"/>
      <w:start w:val="35"/>
    </w:lvl>
    <w:lvl w:ilvl="1">
      <w:lvlJc w:val="left"/>
      <w:lvlText w:val="(%2)"/>
      <w:numFmt w:val="lowerLetter"/>
      <w:start w:val="43"/>
    </w:lvl>
  </w:abstractNum>
  <w:abstractNum w:abstractNumId="17">
    <w:nsid w:val="440BADFC"/>
    <w:multiLevelType w:val="hybridMultilevel"/>
    <w:lvl w:ilvl="0">
      <w:lvlJc w:val="left"/>
      <w:lvlText w:val="(%1)"/>
      <w:numFmt w:val="lowerLetter"/>
      <w:start w:val="45"/>
    </w:lvl>
  </w:abstractNum>
  <w:abstractNum w:abstractNumId="18">
    <w:nsid w:val="5072367"/>
    <w:multiLevelType w:val="hybridMultilevel"/>
    <w:lvl w:ilvl="0">
      <w:lvlJc w:val="left"/>
      <w:lvlText w:val="%1."/>
      <w:numFmt w:val="decimal"/>
      <w:start w:val="2"/>
    </w:lvl>
  </w:abstractNum>
  <w:abstractNum w:abstractNumId="19">
    <w:nsid w:val="3804823E"/>
    <w:multiLevelType w:val="hybridMultilevel"/>
    <w:lvl w:ilvl="0">
      <w:lvlJc w:val="left"/>
      <w:lvlText w:val="%1."/>
      <w:numFmt w:val="decimal"/>
      <w:start w:val="3"/>
    </w:lvl>
  </w:abstractNum>
  <w:abstractNum w:abstractNumId="20">
    <w:nsid w:val="77465F01"/>
    <w:multiLevelType w:val="hybridMultilevel"/>
    <w:lvl w:ilvl="0">
      <w:lvlJc w:val="left"/>
      <w:lvlText w:val="%1."/>
      <w:numFmt w:val="decimal"/>
      <w:start w:val="4"/>
    </w:lvl>
    <w:lvl w:ilvl="1">
      <w:lvlJc w:val="left"/>
      <w:lvlText w:val="(%2)"/>
      <w:numFmt w:val="lowerLetter"/>
      <w:start w:val="1"/>
    </w:lvl>
  </w:abstractNum>
  <w:abstractNum w:abstractNumId="21">
    <w:nsid w:val="7724C67E"/>
    <w:multiLevelType w:val="hybridMultilevel"/>
    <w:lvl w:ilvl="0">
      <w:lvlJc w:val="left"/>
      <w:lvlText w:val="(%1)"/>
      <w:numFmt w:val="lowerLetter"/>
      <w:start w:val="3"/>
    </w:lvl>
  </w:abstractNum>
  <w:abstractNum w:abstractNumId="22">
    <w:nsid w:val="5C482A97"/>
    <w:multiLevelType w:val="hybridMultilevel"/>
    <w:lvl w:ilvl="0">
      <w:lvlJc w:val="left"/>
      <w:lvlText w:val="(%1)"/>
      <w:numFmt w:val="lowerLetter"/>
      <w:start w:val="7"/>
    </w:lvl>
  </w:abstractNum>
  <w:abstractNum w:abstractNumId="23">
    <w:nsid w:val="2463B9EA"/>
    <w:multiLevelType w:val="hybridMultilevel"/>
    <w:lvl w:ilvl="0">
      <w:lvlJc w:val="left"/>
      <w:lvlText w:val="%1"/>
      <w:numFmt w:val="lowerRoman"/>
      <w:start w:val="1"/>
    </w:lvl>
    <w:lvl w:ilvl="1">
      <w:lvlJc w:val="left"/>
      <w:lvlText w:val="(%2)"/>
      <w:numFmt w:val="lowerLetter"/>
      <w:start w:val="11"/>
    </w:lvl>
  </w:abstractNum>
  <w:abstractNum w:abstractNumId="24">
    <w:nsid w:val="5E884ADC"/>
    <w:multiLevelType w:val="hybridMultilevel"/>
    <w:lvl w:ilvl="0">
      <w:lvlJc w:val="left"/>
      <w:lvlText w:val="(%1)"/>
      <w:numFmt w:val="lowerRoman"/>
      <w:start w:val="12"/>
    </w:lvl>
    <w:lvl w:ilvl="1">
      <w:lvlJc w:val="left"/>
      <w:lvlText w:val="(%2)"/>
      <w:numFmt w:val="lowerLetter"/>
      <w:start w:val="12"/>
    </w:lvl>
  </w:abstractNum>
  <w:abstractNum w:abstractNumId="25">
    <w:nsid w:val="51EAD36B"/>
    <w:multiLevelType w:val="hybridMultilevel"/>
    <w:lvl w:ilvl="0">
      <w:lvlJc w:val="left"/>
      <w:lvlText w:val="%1"/>
      <w:numFmt w:val="decimal"/>
      <w:start w:val="1"/>
    </w:lvl>
    <w:lvl w:ilvl="1">
      <w:lvlJc w:val="left"/>
      <w:lvlText w:val="(%2)"/>
      <w:numFmt w:val="lowerLetter"/>
      <w:start w:val="14"/>
    </w:lvl>
  </w:abstractNum>
  <w:abstractNum w:abstractNumId="26">
    <w:nsid w:val="2D517796"/>
    <w:multiLevelType w:val="hybridMultilevel"/>
    <w:lvl w:ilvl="0">
      <w:lvlJc w:val="left"/>
      <w:lvlText w:val="%1."/>
      <w:numFmt w:val="decimal"/>
      <w:start w:val="6"/>
    </w:lvl>
    <w:lvl w:ilvl="1">
      <w:lvlJc w:val="left"/>
      <w:lvlText w:val="(%2)"/>
      <w:numFmt w:val="lowerLetter"/>
      <w:start w:val="1"/>
    </w:lvl>
  </w:abstractNum>
  <w:abstractNum w:abstractNumId="27">
    <w:nsid w:val="580BD78F"/>
    <w:multiLevelType w:val="hybridMultilevel"/>
    <w:lvl w:ilvl="0">
      <w:lvlJc w:val="left"/>
      <w:lvlText w:val="(%1)"/>
      <w:numFmt w:val="lowerLetter"/>
      <w:start w:val="3"/>
    </w:lvl>
    <w:lvl w:ilvl="1">
      <w:lvlJc w:val="left"/>
      <w:lvlText w:val="(%2)"/>
      <w:numFmt w:val="lowerRoman"/>
      <w:start w:val="1"/>
    </w:lvl>
  </w:abstractNum>
  <w:abstractNum w:abstractNumId="28">
    <w:nsid w:val="153EA438"/>
    <w:multiLevelType w:val="hybridMultilevel"/>
    <w:lvl w:ilvl="0">
      <w:lvlJc w:val="left"/>
      <w:lvlText w:val="(%1)"/>
      <w:numFmt w:val="lowerLetter"/>
      <w:start w:val="9"/>
    </w:lvl>
  </w:abstractNum>
  <w:abstractNum w:abstractNumId="29">
    <w:nsid w:val="3855585C"/>
    <w:multiLevelType w:val="hybridMultilevel"/>
    <w:lvl w:ilvl="0">
      <w:lvlJc w:val="left"/>
      <w:lvlText w:val="%1."/>
      <w:numFmt w:val="decimal"/>
      <w:start w:val="7"/>
    </w:lvl>
  </w:abstractNum>
  <w:abstractNum w:abstractNumId="30">
    <w:nsid w:val="70A64E2A"/>
    <w:multiLevelType w:val="hybridMultilevel"/>
    <w:lvl w:ilvl="0">
      <w:lvlJc w:val="left"/>
      <w:lvlText w:val="%1."/>
      <w:numFmt w:val="decimal"/>
      <w:start w:val="8"/>
    </w:lvl>
    <w:lvl w:ilvl="1">
      <w:lvlJc w:val="left"/>
      <w:lvlText w:val="(%2)"/>
      <w:numFmt w:val="lowerLetter"/>
      <w:start w:val="1"/>
    </w:lvl>
  </w:abstractNum>
  <w:abstractNum w:abstractNumId="31">
    <w:nsid w:val="6A2342EC"/>
    <w:multiLevelType w:val="hybridMultilevel"/>
    <w:lvl w:ilvl="0">
      <w:lvlJc w:val="left"/>
      <w:lvlText w:val="%1"/>
      <w:numFmt w:val="lowerLetter"/>
      <w:start w:val="1"/>
    </w:lvl>
    <w:lvl w:ilvl="1">
      <w:lvlJc w:val="left"/>
      <w:lvlText w:val="(%2)"/>
      <w:numFmt w:val="lowerLetter"/>
      <w:start w:val="3"/>
    </w:lvl>
  </w:abstractNum>
  <w:abstractNum w:abstractNumId="32">
    <w:nsid w:val="2A487CB0"/>
    <w:multiLevelType w:val="hybridMultilevel"/>
    <w:lvl w:ilvl="0">
      <w:lvlJc w:val="left"/>
      <w:lvlText w:val="(%1)"/>
      <w:numFmt w:val="lowerLetter"/>
      <w:start w:val="35"/>
    </w:lvl>
    <w:lvl w:ilvl="1">
      <w:lvlJc w:val="left"/>
      <w:lvlText w:val="%2"/>
      <w:numFmt w:val="lowerLetter"/>
      <w:start w:val="1"/>
    </w:lvl>
  </w:abstractNum>
  <w:abstractNum w:abstractNumId="33">
    <w:nsid w:val="1D4ED43B"/>
    <w:multiLevelType w:val="hybridMultilevel"/>
    <w:lvl w:ilvl="0">
      <w:lvlJc w:val="left"/>
      <w:lvlText w:val="%1"/>
      <w:numFmt w:val="decimal"/>
      <w:start w:val="1"/>
    </w:lvl>
    <w:lvl w:ilvl="1">
      <w:lvlJc w:val="left"/>
      <w:lvlText w:val="(%2)"/>
      <w:numFmt w:val="lowerLetter"/>
      <w:start w:val="4"/>
    </w:lvl>
  </w:abstractNum>
  <w:abstractNum w:abstractNumId="34">
    <w:nsid w:val="725A06FB"/>
    <w:multiLevelType w:val="hybridMultilevel"/>
    <w:lvl w:ilvl="0">
      <w:lvlJc w:val="left"/>
      <w:lvlText w:val="%1."/>
      <w:numFmt w:val="decimal"/>
      <w:start w:val="9"/>
    </w:lvl>
    <w:lvl w:ilvl="1">
      <w:lvlJc w:val="left"/>
      <w:lvlText w:val="%2"/>
      <w:numFmt w:val="lowerLetter"/>
      <w:start w:val="1"/>
    </w:lvl>
  </w:abstractNum>
  <w:abstractNum w:abstractNumId="35">
    <w:nsid w:val="2CD89A32"/>
    <w:multiLevelType w:val="hybridMultilevel"/>
    <w:lvl w:ilvl="0">
      <w:lvlJc w:val="left"/>
      <w:lvlText w:val="%1"/>
      <w:numFmt w:val="lowerLetter"/>
      <w:start w:val="1"/>
    </w:lvl>
    <w:lvl w:ilvl="1">
      <w:lvlJc w:val="left"/>
      <w:lvlText w:val="%2."/>
      <w:numFmt w:val="decimal"/>
      <w:start w:val="10"/>
    </w:lvl>
  </w:abstractNum>
  <w:abstractNum w:abstractNumId="36">
    <w:nsid w:val="57E4CCAF"/>
    <w:multiLevelType w:val="hybridMultilevel"/>
    <w:lvl w:ilvl="0">
      <w:lvlJc w:val="left"/>
      <w:lvlText w:val="(%1)"/>
      <w:numFmt w:val="lowerLetter"/>
      <w:start w:val="2"/>
    </w:lvl>
    <w:lvl w:ilvl="1">
      <w:lvlJc w:val="left"/>
      <w:lvlText w:val="%2"/>
      <w:numFmt w:val="decimal"/>
      <w:start w:val="1"/>
    </w:lvl>
  </w:abstractNum>
  <w:abstractNum w:abstractNumId="37">
    <w:nsid w:val="7A6D8D3C"/>
    <w:multiLevelType w:val="hybridMultilevel"/>
    <w:lvl w:ilvl="0">
      <w:lvlJc w:val="left"/>
      <w:lvlText w:val="%1."/>
      <w:numFmt w:val="decimal"/>
      <w:start w:val="15"/>
    </w:lvl>
    <w:lvl w:ilvl="1">
      <w:lvlJc w:val="left"/>
      <w:lvlText w:val="(%2)"/>
      <w:numFmt w:val="lowerLetter"/>
      <w:start w:val="1"/>
    </w:lvl>
  </w:abstractNum>
  <w:abstractNum w:abstractNumId="38">
    <w:nsid w:val="4B588F54"/>
    <w:multiLevelType w:val="hybridMultilevel"/>
    <w:lvl w:ilvl="0">
      <w:lvlJc w:val="left"/>
      <w:lvlText w:val="%1."/>
      <w:numFmt w:val="decimal"/>
      <w:start w:val="16"/>
    </w:lvl>
  </w:abstractNum>
  <w:abstractNum w:abstractNumId="39">
    <w:nsid w:val="542289EC"/>
    <w:multiLevelType w:val="hybridMultilevel"/>
    <w:lvl w:ilvl="0">
      <w:lvlJc w:val="left"/>
      <w:lvlText w:val="%1."/>
      <w:numFmt w:val="decimal"/>
      <w:start w:val="20"/>
    </w:lvl>
  </w:abstractNum>
  <w:abstractNum w:abstractNumId="40">
    <w:nsid w:val="6DE91B18"/>
    <w:multiLevelType w:val="hybridMultilevel"/>
    <w:lvl w:ilvl="0">
      <w:lvlJc w:val="left"/>
      <w:lvlText w:val="(%1)"/>
      <w:numFmt w:val="lowerRoman"/>
      <w:start w:val="1"/>
    </w:lvl>
  </w:abstractNum>
  <w:abstractNum w:abstractNumId="41">
    <w:nsid w:val="38437FDB"/>
    <w:multiLevelType w:val="hybridMultilevel"/>
    <w:lvl w:ilvl="0">
      <w:lvlJc w:val="left"/>
      <w:lvlText w:val="%1."/>
      <w:numFmt w:val="decimal"/>
      <w:start w:val="1"/>
    </w:lvl>
    <w:lvl w:ilvl="1">
      <w:lvlJc w:val="left"/>
      <w:lvlText w:val="(%2)"/>
      <w:numFmt w:val="lowerLetter"/>
      <w:start w:val="1"/>
    </w:lvl>
  </w:abstractNum>
  <w:abstractNum w:abstractNumId="42">
    <w:nsid w:val="7644A45C"/>
    <w:multiLevelType w:val="hybridMultilevel"/>
    <w:lvl w:ilvl="0">
      <w:lvlJc w:val="left"/>
      <w:lvlText w:val="%1"/>
      <w:numFmt w:val="decimal"/>
      <w:start w:val="1"/>
    </w:lvl>
    <w:lvl w:ilvl="1">
      <w:lvlJc w:val="left"/>
      <w:lvlText w:val="(%2)"/>
      <w:numFmt w:val="lowerLetter"/>
      <w:start w:val="8"/>
    </w:lvl>
  </w:abstractNum>
  <w:abstractNum w:abstractNumId="43">
    <w:nsid w:val="32FFF902"/>
    <w:multiLevelType w:val="hybridMultilevel"/>
    <w:lvl w:ilvl="0">
      <w:lvlJc w:val="left"/>
      <w:lvlText w:val="%1."/>
      <w:numFmt w:val="decimal"/>
      <w:start w:val="2"/>
    </w:lvl>
    <w:lvl w:ilvl="1">
      <w:lvlJc w:val="left"/>
      <w:lvlText w:val="(%2)"/>
      <w:numFmt w:val="lowerLetter"/>
      <w:start w:val="1"/>
    </w:lvl>
  </w:abstractNum>
  <w:abstractNum w:abstractNumId="44">
    <w:nsid w:val="684A481A"/>
    <w:multiLevelType w:val="hybridMultilevel"/>
    <w:lvl w:ilvl="0">
      <w:lvlJc w:val="left"/>
      <w:lvlText w:val="%1."/>
      <w:numFmt w:val="decimal"/>
      <w:start w:val="5"/>
    </w:lvl>
    <w:lvl w:ilvl="1">
      <w:lvlJc w:val="left"/>
      <w:lvlText w:val="(%2)"/>
      <w:numFmt w:val="lowerLetter"/>
      <w:start w:val="1"/>
    </w:lvl>
  </w:abstractNum>
  <w:abstractNum w:abstractNumId="45">
    <w:nsid w:val="579478FE"/>
    <w:multiLevelType w:val="hybridMultilevel"/>
    <w:lvl w:ilvl="0">
      <w:lvlJc w:val="left"/>
      <w:lvlText w:val="%1."/>
      <w:numFmt w:val="decimal"/>
      <w:start w:val="8"/>
    </w:lvl>
    <w:lvl w:ilvl="1">
      <w:lvlJc w:val="left"/>
      <w:lvlText w:val="(%2)"/>
      <w:numFmt w:val="lowerLetter"/>
      <w:start w:val="1"/>
    </w:lvl>
  </w:abstractNum>
  <w:abstractNum w:abstractNumId="46">
    <w:nsid w:val="749ABB43"/>
    <w:multiLevelType w:val="hybridMultilevel"/>
    <w:lvl w:ilvl="0">
      <w:lvlJc w:val="left"/>
      <w:lvlText w:val="(%1)"/>
      <w:numFmt w:val="lowerLetter"/>
      <w:start w:val="3"/>
    </w:lvl>
  </w:abstractNum>
  <w:abstractNum w:abstractNumId="47">
    <w:nsid w:val="3DC240FB"/>
    <w:multiLevelType w:val="hybridMultilevel"/>
    <w:lvl w:ilvl="0">
      <w:lvlJc w:val="left"/>
      <w:lvlText w:val="%1"/>
      <w:numFmt w:val="decimal"/>
      <w:start w:val="1"/>
    </w:lvl>
    <w:lvl w:ilvl="1">
      <w:lvlJc w:val="left"/>
      <w:lvlText w:val="(%2)"/>
      <w:numFmt w:val="lowerLetter"/>
      <w:start w:val="7"/>
    </w:lvl>
  </w:abstractNum>
  <w:abstractNum w:abstractNumId="48">
    <w:nsid w:val="1BA026FA"/>
    <w:multiLevelType w:val="hybridMultilevel"/>
    <w:lvl w:ilvl="0">
      <w:lvlJc w:val="left"/>
      <w:lvlText w:val="%1."/>
      <w:numFmt w:val="decimal"/>
      <w:start w:val="10"/>
    </w:lvl>
    <w:lvl w:ilvl="1">
      <w:lvlJc w:val="left"/>
      <w:lvlText w:val="%2"/>
      <w:numFmt w:val="lowerLetter"/>
      <w:start w:val="1"/>
    </w:lvl>
  </w:abstractNum>
  <w:abstractNum w:abstractNumId="49">
    <w:nsid w:val="79A1DEAA"/>
    <w:multiLevelType w:val="hybridMultilevel"/>
    <w:lvl w:ilvl="0">
      <w:lvlJc w:val="left"/>
      <w:lvlText w:val="%1."/>
      <w:numFmt w:val="decimal"/>
      <w:start w:val="11"/>
    </w:lvl>
    <w:lvl w:ilvl="1">
      <w:lvlJc w:val="left"/>
      <w:lvlText w:val="(%2)"/>
      <w:numFmt w:val="lowerLetter"/>
      <w:start w:val="1"/>
    </w:lvl>
  </w:abstractNum>
  <w:abstractNum w:abstractNumId="50">
    <w:nsid w:val="75C6C33A"/>
    <w:multiLevelType w:val="hybridMultilevel"/>
    <w:lvl w:ilvl="0">
      <w:lvlJc w:val="left"/>
      <w:lvlText w:val="%1."/>
      <w:numFmt w:val="decimal"/>
      <w:start w:val="14"/>
    </w:lvl>
    <w:lvl w:ilvl="1">
      <w:lvlJc w:val="left"/>
      <w:lvlText w:val="(%2)"/>
      <w:numFmt w:val="lowerLetter"/>
      <w:start w:val="1"/>
    </w:lvl>
  </w:abstractNum>
  <w:abstractNum w:abstractNumId="51">
    <w:nsid w:val="12E685FB"/>
    <w:multiLevelType w:val="hybridMultilevel"/>
    <w:lvl w:ilvl="0">
      <w:lvlJc w:val="left"/>
      <w:lvlText w:val="(%1)"/>
      <w:numFmt w:val="lowerLetter"/>
      <w:start w:val="5"/>
    </w:lvl>
  </w:abstractNum>
  <w:abstractNum w:abstractNumId="52">
    <w:nsid w:val="70C6A529"/>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2025-10-16T16:26:22Z</dcterms:created>
  <dcterms:modified xsi:type="dcterms:W3CDTF">2025-10-16T16:26:22Z</dcterms:modified>
</cp:coreProperties>
</file>