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357505</wp:posOffset>
            </wp:positionV>
            <wp:extent cx="649795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97955" cy="3429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426085</wp:posOffset>
            </wp:positionV>
            <wp:extent cx="64979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9795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3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UNITED STATES</w:t>
      </w:r>
    </w:p>
    <w:p>
      <w:pPr>
        <w:jc w:val="center"/>
        <w:spacing w:after="0" w:line="226" w:lineRule="auto"/>
        <w:rPr>
          <w:sz w:val="20"/>
          <w:szCs w:val="20"/>
          <w:color w:val="auto"/>
        </w:rPr>
      </w:pPr>
      <w:r>
        <w:rPr>
          <w:rFonts w:ascii="Arial" w:cs="Arial" w:eastAsia="Arial" w:hAnsi="Arial"/>
          <w:sz w:val="14"/>
          <w:szCs w:val="14"/>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4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FORM 10-Q</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(Mark One)</w:t>
      </w:r>
    </w:p>
    <w:p>
      <w:pPr>
        <w:spacing w:after="0" w:line="82" w:lineRule="exact"/>
        <w:rPr>
          <w:sz w:val="24"/>
          <w:szCs w:val="24"/>
          <w:color w:val="auto"/>
        </w:rPr>
      </w:pPr>
    </w:p>
    <w:p>
      <w:pPr>
        <w:jc w:val="center"/>
        <w:ind w:left="3720" w:right="1640" w:hanging="2101"/>
        <w:spacing w:after="0" w:line="465" w:lineRule="auto"/>
        <w:tabs>
          <w:tab w:leader="none" w:pos="1797" w:val="left"/>
        </w:tabs>
        <w:numPr>
          <w:ilvl w:val="1"/>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UNDER SECTION 13 OR 15(d) OF THE SECURITIES EXCHANGE ACT OF 1934 For the quarterly period ended June 30, 2021</w:t>
      </w:r>
    </w:p>
    <w:p>
      <w:pPr>
        <w:spacing w:after="0" w:line="24" w:lineRule="exact"/>
        <w:rPr>
          <w:rFonts w:ascii="MS PGothic" w:cs="MS PGothic" w:eastAsia="MS PGothic" w:hAnsi="MS PGothic"/>
          <w:sz w:val="14"/>
          <w:szCs w:val="14"/>
          <w:color w:val="auto"/>
        </w:rPr>
      </w:pPr>
    </w:p>
    <w:p>
      <w:pPr>
        <w:ind w:left="1520" w:hanging="163"/>
        <w:spacing w:after="0"/>
        <w:tabs>
          <w:tab w:leader="none" w:pos="1520" w:val="left"/>
        </w:tabs>
        <w:numPr>
          <w:ilvl w:val="0"/>
          <w:numId w:val="1"/>
        </w:numPr>
        <w:rPr>
          <w:rFonts w:ascii="MS PGothic" w:cs="MS PGothic" w:eastAsia="MS PGothic" w:hAnsi="MS PGothic"/>
          <w:sz w:val="14"/>
          <w:szCs w:val="14"/>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163" w:lineRule="exact"/>
        <w:rPr>
          <w:sz w:val="24"/>
          <w:szCs w:val="24"/>
          <w:color w:val="auto"/>
        </w:rPr>
      </w:pPr>
    </w:p>
    <w:p>
      <w:pPr>
        <w:ind w:left="3420"/>
        <w:spacing w:after="0"/>
        <w:tabs>
          <w:tab w:leader="none" w:pos="59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3370580</wp:posOffset>
            </wp:positionH>
            <wp:positionV relativeFrom="paragraph">
              <wp:posOffset>-1270</wp:posOffset>
            </wp:positionV>
            <wp:extent cx="94361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43610" cy="8255"/>
                    </a:xfrm>
                    <a:prstGeom prst="rect">
                      <a:avLst/>
                    </a:prstGeom>
                    <a:noFill/>
                  </pic:spPr>
                </pic:pic>
              </a:graphicData>
            </a:graphic>
          </wp:anchor>
        </w:drawing>
      </w:r>
    </w:p>
    <w:p>
      <w:pPr>
        <w:spacing w:after="0" w:line="13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001-40730</w:t>
      </w:r>
    </w:p>
    <w:p>
      <w:pPr>
        <w:spacing w:after="0" w:line="16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CHARDAN NEXTECH ACQUISITION 2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13970</wp:posOffset>
            </wp:positionV>
            <wp:extent cx="648906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89065" cy="8255"/>
                    </a:xfrm>
                    <a:prstGeom prst="rect">
                      <a:avLst/>
                    </a:prstGeom>
                    <a:noFill/>
                  </pic:spPr>
                </pic:pic>
              </a:graphicData>
            </a:graphic>
          </wp:anchor>
        </w:drawing>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82"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3460" w:type="dxa"/>
            <w:vAlign w:val="bottom"/>
          </w:tcPr>
          <w:p>
            <w:pPr>
              <w:jc w:val="center"/>
              <w:ind w:left="1448"/>
              <w:spacing w:after="0"/>
              <w:rPr>
                <w:sz w:val="20"/>
                <w:szCs w:val="20"/>
                <w:color w:val="auto"/>
              </w:rPr>
            </w:pPr>
            <w:r>
              <w:rPr>
                <w:rFonts w:ascii="Arial" w:cs="Arial" w:eastAsia="Arial" w:hAnsi="Arial"/>
                <w:sz w:val="14"/>
                <w:szCs w:val="14"/>
                <w:b w:val="1"/>
                <w:bCs w:val="1"/>
                <w:color w:val="auto"/>
                <w:w w:val="94"/>
              </w:rPr>
              <w:t>Delaware</w:t>
            </w:r>
          </w:p>
        </w:tc>
        <w:tc>
          <w:tcPr>
            <w:tcW w:w="6760" w:type="dxa"/>
            <w:vAlign w:val="bottom"/>
            <w:gridSpan w:val="3"/>
          </w:tcPr>
          <w:p>
            <w:pPr>
              <w:jc w:val="right"/>
              <w:ind w:right="2088"/>
              <w:spacing w:after="0"/>
              <w:rPr>
                <w:sz w:val="20"/>
                <w:szCs w:val="20"/>
                <w:color w:val="auto"/>
              </w:rPr>
            </w:pPr>
            <w:r>
              <w:rPr>
                <w:rFonts w:ascii="Arial" w:cs="Arial" w:eastAsia="Arial" w:hAnsi="Arial"/>
                <w:sz w:val="14"/>
                <w:szCs w:val="14"/>
                <w:b w:val="1"/>
                <w:bCs w:val="1"/>
                <w:color w:val="auto"/>
              </w:rPr>
              <w:t>85-1873463</w:t>
            </w:r>
          </w:p>
        </w:tc>
      </w:tr>
      <w:tr>
        <w:trPr>
          <w:trHeight w:val="123"/>
        </w:trPr>
        <w:tc>
          <w:tcPr>
            <w:tcW w:w="3460" w:type="dxa"/>
            <w:vAlign w:val="bottom"/>
            <w:tcBorders>
              <w:top w:val="single" w:sz="8" w:color="auto"/>
            </w:tcBorders>
          </w:tcPr>
          <w:p>
            <w:pPr>
              <w:jc w:val="center"/>
              <w:ind w:left="1448"/>
              <w:spacing w:after="0" w:line="123" w:lineRule="exact"/>
              <w:rPr>
                <w:sz w:val="20"/>
                <w:szCs w:val="20"/>
                <w:color w:val="auto"/>
              </w:rPr>
            </w:pPr>
            <w:r>
              <w:rPr>
                <w:rFonts w:ascii="Arial" w:cs="Arial" w:eastAsia="Arial" w:hAnsi="Arial"/>
                <w:sz w:val="14"/>
                <w:szCs w:val="14"/>
                <w:color w:val="auto"/>
                <w:w w:val="94"/>
              </w:rPr>
              <w:t>(State or other jurisdiction of</w:t>
            </w:r>
          </w:p>
        </w:tc>
        <w:tc>
          <w:tcPr>
            <w:tcW w:w="15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50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4"/>
              </w:rPr>
              <w:t>(IRS Employer</w:t>
            </w:r>
          </w:p>
        </w:tc>
      </w:tr>
      <w:tr>
        <w:trPr>
          <w:trHeight w:val="182"/>
        </w:trPr>
        <w:tc>
          <w:tcPr>
            <w:tcW w:w="3460" w:type="dxa"/>
            <w:vAlign w:val="bottom"/>
          </w:tcPr>
          <w:p>
            <w:pPr>
              <w:jc w:val="center"/>
              <w:ind w:left="1448"/>
              <w:spacing w:after="0"/>
              <w:rPr>
                <w:sz w:val="20"/>
                <w:szCs w:val="20"/>
                <w:color w:val="auto"/>
              </w:rPr>
            </w:pPr>
            <w:r>
              <w:rPr>
                <w:rFonts w:ascii="Arial" w:cs="Arial" w:eastAsia="Arial" w:hAnsi="Arial"/>
                <w:sz w:val="14"/>
                <w:szCs w:val="14"/>
                <w:color w:val="auto"/>
                <w:w w:val="95"/>
              </w:rPr>
              <w:t>incorporation or organization)</w:t>
            </w:r>
          </w:p>
        </w:tc>
        <w:tc>
          <w:tcPr>
            <w:tcW w:w="1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0" w:type="dxa"/>
            <w:vAlign w:val="bottom"/>
          </w:tcPr>
          <w:p>
            <w:pPr>
              <w:ind w:left="1940"/>
              <w:spacing w:after="0"/>
              <w:rPr>
                <w:sz w:val="20"/>
                <w:szCs w:val="20"/>
                <w:color w:val="auto"/>
              </w:rPr>
            </w:pPr>
            <w:r>
              <w:rPr>
                <w:rFonts w:ascii="Arial" w:cs="Arial" w:eastAsia="Arial" w:hAnsi="Arial"/>
                <w:sz w:val="14"/>
                <w:szCs w:val="14"/>
                <w:color w:val="auto"/>
              </w:rPr>
              <w:t>Identification No.)</w:t>
            </w:r>
          </w:p>
        </w:tc>
      </w:tr>
      <w:tr>
        <w:trPr>
          <w:trHeight w:val="223"/>
        </w:trPr>
        <w:tc>
          <w:tcPr>
            <w:tcW w:w="3460" w:type="dxa"/>
            <w:vAlign w:val="bottom"/>
          </w:tcPr>
          <w:p>
            <w:pPr>
              <w:spacing w:after="0"/>
              <w:rPr>
                <w:sz w:val="19"/>
                <w:szCs w:val="19"/>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1"/>
              </w:rPr>
              <w:t>17 State Street, 21st Floor</w:t>
            </w:r>
          </w:p>
        </w:tc>
      </w:tr>
      <w:tr>
        <w:trPr>
          <w:trHeight w:val="216"/>
        </w:trPr>
        <w:tc>
          <w:tcPr>
            <w:tcW w:w="3460" w:type="dxa"/>
            <w:vAlign w:val="bottom"/>
          </w:tcPr>
          <w:p>
            <w:pPr>
              <w:spacing w:after="0"/>
              <w:rPr>
                <w:sz w:val="18"/>
                <w:szCs w:val="18"/>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7"/>
              </w:rPr>
              <w:t xml:space="preserve">New York, NY </w:t>
            </w:r>
            <w:r>
              <w:rPr>
                <w:rFonts w:ascii="Arial" w:cs="Arial" w:eastAsia="Arial" w:hAnsi="Arial"/>
                <w:sz w:val="17"/>
                <w:szCs w:val="17"/>
                <w:b w:val="1"/>
                <w:bCs w:val="1"/>
                <w:color w:val="auto"/>
                <w:w w:val="97"/>
              </w:rPr>
              <w:t>10004</w:t>
            </w:r>
          </w:p>
        </w:tc>
      </w:tr>
      <w:tr>
        <w:trPr>
          <w:trHeight w:val="182"/>
        </w:trPr>
        <w:tc>
          <w:tcPr>
            <w:tcW w:w="3460" w:type="dxa"/>
            <w:vAlign w:val="bottom"/>
          </w:tcPr>
          <w:p>
            <w:pPr>
              <w:spacing w:after="0"/>
              <w:rPr>
                <w:sz w:val="15"/>
                <w:szCs w:val="15"/>
                <w:color w:val="auto"/>
              </w:rPr>
            </w:pPr>
          </w:p>
        </w:tc>
        <w:tc>
          <w:tcPr>
            <w:tcW w:w="6760" w:type="dxa"/>
            <w:vAlign w:val="bottom"/>
            <w:gridSpan w:val="3"/>
          </w:tcPr>
          <w:p>
            <w:pPr>
              <w:jc w:val="center"/>
              <w:ind w:right="3408"/>
              <w:spacing w:after="0"/>
              <w:rPr>
                <w:sz w:val="20"/>
                <w:szCs w:val="20"/>
                <w:color w:val="auto"/>
              </w:rPr>
            </w:pPr>
            <w:r>
              <w:rPr>
                <w:rFonts w:ascii="Arial" w:cs="Arial" w:eastAsia="Arial" w:hAnsi="Arial"/>
                <w:sz w:val="14"/>
                <w:szCs w:val="14"/>
                <w:color w:val="auto"/>
                <w:w w:val="94"/>
              </w:rPr>
              <w:t>(Address of principal executive offices and zip code)</w:t>
            </w:r>
          </w:p>
        </w:tc>
      </w:tr>
      <w:tr>
        <w:trPr>
          <w:trHeight w:val="223"/>
        </w:trPr>
        <w:tc>
          <w:tcPr>
            <w:tcW w:w="3460" w:type="dxa"/>
            <w:vAlign w:val="bottom"/>
          </w:tcPr>
          <w:p>
            <w:pPr>
              <w:spacing w:after="0"/>
              <w:rPr>
                <w:sz w:val="19"/>
                <w:szCs w:val="19"/>
                <w:color w:val="auto"/>
              </w:rPr>
            </w:pPr>
          </w:p>
        </w:tc>
        <w:tc>
          <w:tcPr>
            <w:tcW w:w="6760" w:type="dxa"/>
            <w:vAlign w:val="bottom"/>
            <w:gridSpan w:val="3"/>
          </w:tcPr>
          <w:p>
            <w:pPr>
              <w:jc w:val="center"/>
              <w:ind w:right="3388"/>
              <w:spacing w:after="0"/>
              <w:rPr>
                <w:sz w:val="20"/>
                <w:szCs w:val="20"/>
                <w:color w:val="auto"/>
              </w:rPr>
            </w:pPr>
            <w:r>
              <w:rPr>
                <w:rFonts w:ascii="Arial" w:cs="Arial" w:eastAsia="Arial" w:hAnsi="Arial"/>
                <w:sz w:val="14"/>
                <w:szCs w:val="14"/>
                <w:b w:val="1"/>
                <w:bCs w:val="1"/>
                <w:color w:val="auto"/>
                <w:w w:val="93"/>
              </w:rPr>
              <w:t>(646) 465-9000</w:t>
            </w:r>
          </w:p>
        </w:tc>
      </w:tr>
      <w:tr>
        <w:trPr>
          <w:trHeight w:val="182"/>
        </w:trPr>
        <w:tc>
          <w:tcPr>
            <w:tcW w:w="3460" w:type="dxa"/>
            <w:vAlign w:val="bottom"/>
          </w:tcPr>
          <w:p>
            <w:pPr>
              <w:spacing w:after="0"/>
              <w:rPr>
                <w:sz w:val="15"/>
                <w:szCs w:val="15"/>
                <w:color w:val="auto"/>
              </w:rPr>
            </w:pPr>
          </w:p>
        </w:tc>
        <w:tc>
          <w:tcPr>
            <w:tcW w:w="6760" w:type="dxa"/>
            <w:vAlign w:val="bottom"/>
            <w:gridSpan w:val="3"/>
          </w:tcPr>
          <w:p>
            <w:pPr>
              <w:jc w:val="center"/>
              <w:ind w:right="3408"/>
              <w:spacing w:after="0"/>
              <w:rPr>
                <w:sz w:val="20"/>
                <w:szCs w:val="20"/>
                <w:color w:val="auto"/>
              </w:rPr>
            </w:pPr>
            <w:r>
              <w:rPr>
                <w:rFonts w:ascii="Arial" w:cs="Arial" w:eastAsia="Arial" w:hAnsi="Arial"/>
                <w:sz w:val="14"/>
                <w:szCs w:val="14"/>
                <w:color w:val="auto"/>
                <w:w w:val="92"/>
              </w:rPr>
              <w:t>(Registrant’s telephone number, including area code)</w:t>
            </w:r>
          </w:p>
        </w:tc>
      </w:tr>
    </w:tbl>
    <w:p>
      <w:pPr>
        <w:spacing w:after="0" w:line="57"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ind w:left="2740"/>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43" w:lineRule="exact"/>
        <w:rPr>
          <w:sz w:val="24"/>
          <w:szCs w:val="24"/>
          <w:color w:val="auto"/>
        </w:rPr>
      </w:pPr>
    </w:p>
    <w:p>
      <w:pPr>
        <w:spacing w:after="0"/>
        <w:rPr>
          <w:sz w:val="20"/>
          <w:szCs w:val="20"/>
          <w:color w:val="auto"/>
        </w:rPr>
      </w:pPr>
      <w:r>
        <w:rPr>
          <w:rFonts w:ascii="Arial" w:cs="Arial" w:eastAsia="Arial" w:hAnsi="Arial"/>
          <w:sz w:val="14"/>
          <w:szCs w:val="14"/>
          <w:color w:val="auto"/>
        </w:rPr>
        <w:t>Securities registered pursuant to Section 12(b) of the Act:</w:t>
      </w:r>
    </w:p>
    <w:p>
      <w:pPr>
        <w:spacing w:after="0" w:line="105"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Title of each class</w:t>
            </w:r>
          </w:p>
        </w:tc>
        <w:tc>
          <w:tcPr>
            <w:tcW w:w="2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Trading Symbol(s)</w:t>
            </w:r>
          </w:p>
        </w:tc>
        <w:tc>
          <w:tcPr>
            <w:tcW w:w="360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123"/>
        </w:trPr>
        <w:tc>
          <w:tcPr>
            <w:tcW w:w="20" w:type="dxa"/>
            <w:vAlign w:val="bottom"/>
          </w:tcPr>
          <w:p>
            <w:pPr>
              <w:spacing w:after="0"/>
              <w:rPr>
                <w:sz w:val="10"/>
                <w:szCs w:val="10"/>
                <w:color w:val="auto"/>
              </w:rPr>
            </w:pPr>
          </w:p>
        </w:tc>
        <w:tc>
          <w:tcPr>
            <w:tcW w:w="414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3"/>
              </w:rPr>
              <w:t>Units, consisting of one share of Common Stock, par value $0.0001 per</w:t>
            </w:r>
          </w:p>
        </w:tc>
        <w:tc>
          <w:tcPr>
            <w:tcW w:w="280" w:type="dxa"/>
            <w:vAlign w:val="bottom"/>
          </w:tcPr>
          <w:p>
            <w:pPr>
              <w:spacing w:after="0"/>
              <w:rPr>
                <w:sz w:val="10"/>
                <w:szCs w:val="10"/>
                <w:color w:val="auto"/>
              </w:rPr>
            </w:pPr>
          </w:p>
        </w:tc>
        <w:tc>
          <w:tcPr>
            <w:tcW w:w="19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CNTQU</w:t>
            </w:r>
          </w:p>
        </w:tc>
        <w:tc>
          <w:tcPr>
            <w:tcW w:w="280" w:type="dxa"/>
            <w:vAlign w:val="bottom"/>
          </w:tcPr>
          <w:p>
            <w:pPr>
              <w:spacing w:after="0"/>
              <w:rPr>
                <w:sz w:val="10"/>
                <w:szCs w:val="10"/>
                <w:color w:val="auto"/>
              </w:rPr>
            </w:pPr>
          </w:p>
        </w:tc>
        <w:tc>
          <w:tcPr>
            <w:tcW w:w="360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5"/>
              </w:rPr>
              <w:t>The Nasdaq Stock Market LLC</w:t>
            </w:r>
          </w:p>
        </w:tc>
      </w:tr>
      <w:tr>
        <w:trPr>
          <w:trHeight w:val="148"/>
        </w:trPr>
        <w:tc>
          <w:tcPr>
            <w:tcW w:w="20" w:type="dxa"/>
            <w:vAlign w:val="bottom"/>
          </w:tcPr>
          <w:p>
            <w:pPr>
              <w:spacing w:after="0"/>
              <w:rPr>
                <w:sz w:val="12"/>
                <w:szCs w:val="12"/>
                <w:color w:val="auto"/>
              </w:rPr>
            </w:pPr>
          </w:p>
        </w:tc>
        <w:tc>
          <w:tcPr>
            <w:tcW w:w="4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0"/>
              </w:rPr>
              <w:t>share, and three-quarters of one Redeemable Warrant</w:t>
            </w: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48"/>
        </w:trPr>
        <w:tc>
          <w:tcPr>
            <w:tcW w:w="20" w:type="dxa"/>
            <w:vAlign w:val="bottom"/>
          </w:tcPr>
          <w:p>
            <w:pPr>
              <w:spacing w:after="0"/>
              <w:rPr>
                <w:sz w:val="12"/>
                <w:szCs w:val="12"/>
                <w:color w:val="auto"/>
              </w:rPr>
            </w:pPr>
          </w:p>
        </w:tc>
        <w:tc>
          <w:tcPr>
            <w:tcW w:w="442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2"/>
              </w:rPr>
              <w:t>Common Stock, par value $0.0001 per share, included as part of the</w:t>
            </w: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rPr>
              <w:t>CNTQ</w:t>
            </w:r>
          </w:p>
        </w:tc>
        <w:tc>
          <w:tcPr>
            <w:tcW w:w="360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Nasdaq Stock Market LLC</w:t>
            </w:r>
          </w:p>
        </w:tc>
      </w:tr>
      <w:tr>
        <w:trPr>
          <w:trHeight w:val="149"/>
        </w:trPr>
        <w:tc>
          <w:tcPr>
            <w:tcW w:w="20" w:type="dxa"/>
            <w:vAlign w:val="bottom"/>
          </w:tcPr>
          <w:p>
            <w:pPr>
              <w:spacing w:after="0"/>
              <w:rPr>
                <w:sz w:val="12"/>
                <w:szCs w:val="12"/>
                <w:color w:val="auto"/>
              </w:rPr>
            </w:pPr>
          </w:p>
        </w:tc>
        <w:tc>
          <w:tcPr>
            <w:tcW w:w="4420" w:type="dxa"/>
            <w:vAlign w:val="bottom"/>
            <w:gridSpan w:val="2"/>
          </w:tcPr>
          <w:p>
            <w:pPr>
              <w:jc w:val="center"/>
              <w:ind w:right="320"/>
              <w:spacing w:after="0" w:line="149" w:lineRule="exact"/>
              <w:rPr>
                <w:sz w:val="20"/>
                <w:szCs w:val="20"/>
                <w:color w:val="auto"/>
              </w:rPr>
            </w:pPr>
            <w:r>
              <w:rPr>
                <w:rFonts w:ascii="Arial" w:cs="Arial" w:eastAsia="Arial" w:hAnsi="Arial"/>
                <w:sz w:val="14"/>
                <w:szCs w:val="14"/>
                <w:color w:val="auto"/>
                <w:w w:val="93"/>
              </w:rPr>
              <w:t>Units</w:t>
            </w:r>
          </w:p>
        </w:tc>
        <w:tc>
          <w:tcPr>
            <w:tcW w:w="19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600" w:type="dxa"/>
            <w:vAlign w:val="bottom"/>
          </w:tcPr>
          <w:p>
            <w:pPr>
              <w:spacing w:after="0"/>
              <w:rPr>
                <w:sz w:val="12"/>
                <w:szCs w:val="12"/>
                <w:color w:val="auto"/>
              </w:rPr>
            </w:pPr>
          </w:p>
        </w:tc>
      </w:tr>
      <w:tr>
        <w:trPr>
          <w:trHeight w:val="148"/>
        </w:trPr>
        <w:tc>
          <w:tcPr>
            <w:tcW w:w="4440" w:type="dxa"/>
            <w:vAlign w:val="bottom"/>
            <w:gridSpan w:val="3"/>
          </w:tcPr>
          <w:p>
            <w:pPr>
              <w:jc w:val="center"/>
              <w:ind w:right="300"/>
              <w:spacing w:after="0" w:line="149" w:lineRule="exact"/>
              <w:rPr>
                <w:sz w:val="20"/>
                <w:szCs w:val="20"/>
                <w:color w:val="auto"/>
              </w:rPr>
            </w:pPr>
            <w:r>
              <w:rPr>
                <w:rFonts w:ascii="Arial" w:cs="Arial" w:eastAsia="Arial" w:hAnsi="Arial"/>
                <w:sz w:val="14"/>
                <w:szCs w:val="14"/>
                <w:color w:val="auto"/>
                <w:w w:val="91"/>
              </w:rPr>
              <w:t>Redeemable Warrants included as part of the Units, each exercisable for</w:t>
            </w:r>
          </w:p>
        </w:tc>
        <w:tc>
          <w:tcPr>
            <w:tcW w:w="218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8"/>
              </w:rPr>
              <w:t>CNTQW</w:t>
            </w:r>
          </w:p>
        </w:tc>
        <w:tc>
          <w:tcPr>
            <w:tcW w:w="3600" w:type="dxa"/>
            <w:vAlign w:val="bottom"/>
          </w:tcPr>
          <w:p>
            <w:pPr>
              <w:jc w:val="center"/>
              <w:spacing w:after="0" w:line="149" w:lineRule="exact"/>
              <w:rPr>
                <w:sz w:val="20"/>
                <w:szCs w:val="20"/>
                <w:color w:val="auto"/>
              </w:rPr>
            </w:pPr>
            <w:r>
              <w:rPr>
                <w:rFonts w:ascii="Arial" w:cs="Arial" w:eastAsia="Arial" w:hAnsi="Arial"/>
                <w:sz w:val="14"/>
                <w:szCs w:val="14"/>
                <w:color w:val="auto"/>
                <w:w w:val="95"/>
              </w:rPr>
              <w:t>The Nasdaq Stock Market LLC</w:t>
            </w:r>
          </w:p>
        </w:tc>
      </w:tr>
      <w:tr>
        <w:trPr>
          <w:trHeight w:val="182"/>
        </w:trPr>
        <w:tc>
          <w:tcPr>
            <w:tcW w:w="20" w:type="dxa"/>
            <w:vAlign w:val="bottom"/>
          </w:tcPr>
          <w:p>
            <w:pPr>
              <w:spacing w:after="0"/>
              <w:rPr>
                <w:sz w:val="15"/>
                <w:szCs w:val="15"/>
                <w:color w:val="auto"/>
              </w:rPr>
            </w:pPr>
          </w:p>
        </w:tc>
        <w:tc>
          <w:tcPr>
            <w:tcW w:w="4420" w:type="dxa"/>
            <w:vAlign w:val="bottom"/>
            <w:gridSpan w:val="2"/>
          </w:tcPr>
          <w:p>
            <w:pPr>
              <w:jc w:val="center"/>
              <w:ind w:right="320"/>
              <w:spacing w:after="0"/>
              <w:rPr>
                <w:sz w:val="20"/>
                <w:szCs w:val="20"/>
                <w:color w:val="auto"/>
              </w:rPr>
            </w:pPr>
            <w:r>
              <w:rPr>
                <w:rFonts w:ascii="Arial" w:cs="Arial" w:eastAsia="Arial" w:hAnsi="Arial"/>
                <w:sz w:val="14"/>
                <w:szCs w:val="14"/>
                <w:color w:val="auto"/>
                <w:w w:val="91"/>
              </w:rPr>
              <w:t>one share of Common Stock for $11.50 per share</w:t>
            </w:r>
          </w:p>
        </w:tc>
        <w:tc>
          <w:tcPr>
            <w:tcW w:w="19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600" w:type="dxa"/>
            <w:vAlign w:val="bottom"/>
          </w:tcPr>
          <w:p>
            <w:pPr>
              <w:spacing w:after="0"/>
              <w:rPr>
                <w:sz w:val="15"/>
                <w:szCs w:val="15"/>
                <w:color w:val="auto"/>
              </w:rPr>
            </w:pPr>
          </w:p>
        </w:tc>
      </w:tr>
    </w:tbl>
    <w:p>
      <w:pPr>
        <w:spacing w:after="0" w:line="47" w:lineRule="exact"/>
        <w:rPr>
          <w:sz w:val="24"/>
          <w:szCs w:val="24"/>
          <w:color w:val="auto"/>
        </w:rPr>
      </w:pPr>
    </w:p>
    <w:p>
      <w:pPr>
        <w:jc w:val="both"/>
        <w:spacing w:after="0" w:line="18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45" w:lineRule="exact"/>
        <w:rPr>
          <w:sz w:val="24"/>
          <w:szCs w:val="24"/>
          <w:color w:val="auto"/>
        </w:rPr>
      </w:pPr>
    </w:p>
    <w:p>
      <w:pPr>
        <w:jc w:val="both"/>
        <w:spacing w:after="0" w:line="18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(Section 232.405 of this chapter) during the preceding 12 months (or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45" w:lineRule="exact"/>
        <w:rPr>
          <w:sz w:val="24"/>
          <w:szCs w:val="24"/>
          <w:color w:val="auto"/>
        </w:rPr>
      </w:pPr>
    </w:p>
    <w:p>
      <w:pPr>
        <w:jc w:val="both"/>
        <w:spacing w:after="0" w:line="290"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220"/>
          </w:cols>
          <w:pgMar w:left="840" w:top="665" w:right="839" w:bottom="1440" w:gutter="0" w:footer="0" w:header="0"/>
        </w:sectPr>
      </w:pPr>
    </w:p>
    <w:p>
      <w:pPr>
        <w:spacing w:after="0" w:line="16"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4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76"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5"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pacing w:after="0" w:line="82" w:lineRule="exact"/>
        <w:rPr>
          <w:sz w:val="24"/>
          <w:szCs w:val="24"/>
          <w:color w:val="auto"/>
        </w:rPr>
      </w:pPr>
    </w:p>
    <w:p>
      <w:pPr>
        <w:sectPr>
          <w:pgSz w:w="11900" w:h="16838" w:orient="portrait"/>
          <w:cols w:equalWidth="0" w:num="2">
            <w:col w:w="3900" w:space="720"/>
            <w:col w:w="5600"/>
          </w:cols>
          <w:pgMar w:left="840" w:top="665" w:right="839" w:bottom="1440" w:gutter="0" w:footer="0" w:header="0"/>
          <w:type w:val="continuous"/>
        </w:sectPr>
      </w:pPr>
    </w:p>
    <w:p>
      <w:pPr>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As of September 22, 2021, there were 15,812,500 shares of the registrant’s common stock, par value $0.0001 per share, issued and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483870</wp:posOffset>
            </wp:positionV>
            <wp:extent cx="649795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97955" cy="25400"/>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55245</wp:posOffset>
            </wp:positionV>
            <wp:extent cx="64979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98425</wp:posOffset>
            </wp:positionV>
            <wp:extent cx="649795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97955" cy="34290"/>
                    </a:xfrm>
                    <a:prstGeom prst="rect">
                      <a:avLst/>
                    </a:prstGeom>
                    <a:noFill/>
                  </pic:spPr>
                </pic:pic>
              </a:graphicData>
            </a:graphic>
          </wp:anchor>
        </w:drawing>
      </w:r>
    </w:p>
    <w:p>
      <w:pPr>
        <w:sectPr>
          <w:pgSz w:w="11900" w:h="16838" w:orient="portrait"/>
          <w:cols w:equalWidth="0" w:num="1">
            <w:col w:w="10220"/>
          </w:cols>
          <w:pgMar w:left="840" w:top="665" w:right="839" w:bottom="1440" w:gutter="0" w:footer="0" w:header="0"/>
          <w:type w:val="continuous"/>
        </w:sectPr>
      </w:pPr>
    </w:p>
    <w:bookmarkStart w:id="1" w:name="page2"/>
    <w:bookmarkEnd w:id="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100" w:type="dxa"/>
            <w:vAlign w:val="bottom"/>
            <w:gridSpan w:val="21"/>
          </w:tcPr>
          <w:p>
            <w:pPr>
              <w:jc w:val="center"/>
              <w:ind w:right="1220"/>
              <w:spacing w:after="0"/>
              <w:rPr>
                <w:sz w:val="20"/>
                <w:szCs w:val="20"/>
                <w:color w:val="auto"/>
              </w:rPr>
            </w:pPr>
            <w:r>
              <w:rPr>
                <w:rFonts w:ascii="Arial" w:cs="Arial" w:eastAsia="Arial" w:hAnsi="Arial"/>
                <w:sz w:val="18"/>
                <w:szCs w:val="18"/>
                <w:b w:val="1"/>
                <w:bCs w:val="1"/>
                <w:color w:val="auto"/>
              </w:rPr>
              <w:t>CHARDAN NEXTECH ACQUISITION 2 CORP.</w:t>
            </w: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740" w:type="dxa"/>
            <w:vAlign w:val="bottom"/>
            <w:gridSpan w:val="13"/>
          </w:tcPr>
          <w:p>
            <w:pPr>
              <w:jc w:val="center"/>
              <w:ind w:right="2580"/>
              <w:spacing w:after="0"/>
              <w:rPr>
                <w:sz w:val="20"/>
                <w:szCs w:val="20"/>
                <w:color w:val="auto"/>
              </w:rPr>
            </w:pPr>
            <w:r>
              <w:rPr>
                <w:rFonts w:ascii="Arial" w:cs="Arial" w:eastAsia="Arial" w:hAnsi="Arial"/>
                <w:sz w:val="18"/>
                <w:szCs w:val="18"/>
                <w:b w:val="1"/>
                <w:bCs w:val="1"/>
                <w:color w:val="auto"/>
                <w:w w:val="98"/>
              </w:rPr>
              <w:t>TABLE OF CONTENTS</w:t>
            </w: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8100" w:type="dxa"/>
            <w:vAlign w:val="bottom"/>
            <w:gridSpan w:val="29"/>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1 - FINANCIAL INFORMATION</w:t>
              </w:r>
            </w:hyperlink>
          </w:p>
        </w:tc>
        <w:tc>
          <w:tcPr>
            <w:tcW w:w="80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169"/>
        </w:trPr>
        <w:tc>
          <w:tcPr>
            <w:tcW w:w="8100" w:type="dxa"/>
            <w:vAlign w:val="bottom"/>
            <w:gridSpan w:val="29"/>
            <w:vMerge w:val="continue"/>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760" w:type="dxa"/>
            <w:vAlign w:val="bottom"/>
            <w:tcBorders>
              <w:top w:val="single" w:sz="8" w:color="0000EE"/>
            </w:tcBorders>
            <w:gridSpan w:val="4"/>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Item 1.</w:t>
              </w:r>
            </w:hyperlink>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4960" w:type="dxa"/>
            <w:vAlign w:val="bottom"/>
            <w:gridSpan w:val="15"/>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Balance Sheets as of June 30, 2021 (unaudited) and December 31, 2020</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color w:val="0000EE"/>
                <w:w w:val="91"/>
              </w:rPr>
            </w:pPr>
            <w:hyperlink w:anchor="page4">
              <w:r>
                <w:rPr>
                  <w:rFonts w:ascii="Arial" w:cs="Arial" w:eastAsia="Arial" w:hAnsi="Arial"/>
                  <w:sz w:val="18"/>
                  <w:szCs w:val="18"/>
                  <w:color w:val="0000EE"/>
                  <w:w w:val="91"/>
                </w:rPr>
                <w:t>Unaudited Condensed Statements of Operations for the Three and Six Months ended June 30, 2021</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14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4">
              <w:r>
                <w:rPr>
                  <w:rFonts w:ascii="Arial" w:cs="Arial" w:eastAsia="Arial" w:hAnsi="Arial"/>
                  <w:sz w:val="18"/>
                  <w:szCs w:val="18"/>
                  <w:color w:val="0000EE"/>
                </w:rPr>
                <w:t>and for the period from June 23, 2020 (inception) through June 30, 2020</w:t>
              </w:r>
            </w:hyperlink>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Unaudited Condensed Statements of Changes in Stockholder’s Equity for the Three and Six</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340" w:type="dxa"/>
            <w:vAlign w:val="bottom"/>
            <w:gridSpan w:val="25"/>
          </w:tcPr>
          <w:p>
            <w:pPr>
              <w:spacing w:after="0" w:line="196"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Months ended June 30, 2021 and for the period from June 23, 2020 (inception) through June 30,</w:t>
              </w:r>
            </w:hyperlink>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4"/>
              </w:rPr>
            </w:pPr>
            <w:hyperlink w:anchor="page5">
              <w:r>
                <w:rPr>
                  <w:rFonts w:ascii="Arial" w:cs="Arial" w:eastAsia="Arial" w:hAnsi="Arial"/>
                  <w:sz w:val="18"/>
                  <w:szCs w:val="18"/>
                  <w:color w:val="0000EE"/>
                  <w:w w:val="84"/>
                </w:rPr>
                <w:t>2020</w:t>
              </w:r>
            </w:hyperlink>
          </w:p>
        </w:tc>
        <w:tc>
          <w:tcPr>
            <w:tcW w:w="4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62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58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860" w:type="dxa"/>
            <w:vAlign w:val="bottom"/>
            <w:tcBorders>
              <w:top w:val="single" w:sz="8" w:color="0000EE"/>
            </w:tcBorders>
          </w:tcPr>
          <w:p>
            <w:pPr>
              <w:spacing w:after="0"/>
              <w:rPr>
                <w:sz w:val="17"/>
                <w:szCs w:val="17"/>
                <w:color w:val="auto"/>
              </w:rPr>
            </w:pPr>
          </w:p>
        </w:tc>
        <w:tc>
          <w:tcPr>
            <w:tcW w:w="560" w:type="dxa"/>
            <w:vAlign w:val="bottom"/>
            <w:tcBorders>
              <w:top w:val="single" w:sz="8" w:color="0000EE"/>
            </w:tcBorders>
          </w:tcPr>
          <w:p>
            <w:pPr>
              <w:spacing w:after="0"/>
              <w:rPr>
                <w:sz w:val="17"/>
                <w:szCs w:val="17"/>
                <w:color w:val="auto"/>
              </w:rPr>
            </w:pPr>
          </w:p>
        </w:tc>
        <w:tc>
          <w:tcPr>
            <w:tcW w:w="80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340" w:type="dxa"/>
            <w:vAlign w:val="bottom"/>
            <w:gridSpan w:val="25"/>
          </w:tcPr>
          <w:p>
            <w:pPr>
              <w:spacing w:after="0"/>
              <w:rPr>
                <w:rFonts w:ascii="Arial" w:cs="Arial" w:eastAsia="Arial" w:hAnsi="Arial"/>
                <w:sz w:val="18"/>
                <w:szCs w:val="18"/>
                <w:color w:val="0000EE"/>
                <w:w w:val="93"/>
              </w:rPr>
            </w:pPr>
            <w:hyperlink w:anchor="page6">
              <w:r>
                <w:rPr>
                  <w:rFonts w:ascii="Arial" w:cs="Arial" w:eastAsia="Arial" w:hAnsi="Arial"/>
                  <w:sz w:val="18"/>
                  <w:szCs w:val="18"/>
                  <w:color w:val="0000EE"/>
                  <w:w w:val="93"/>
                </w:rPr>
                <w:t>Unaudited Condensed Statements of Cash Flows for the Six Months ended June 30, 2021 and for</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980" w:type="dxa"/>
            <w:vAlign w:val="bottom"/>
            <w:tcBorders>
              <w:top w:val="single" w:sz="8" w:color="0000EE"/>
            </w:tcBorders>
            <w:gridSpan w:val="23"/>
          </w:tcPr>
          <w:p>
            <w:pPr>
              <w:spacing w:after="0" w:line="196" w:lineRule="exact"/>
              <w:rPr>
                <w:rFonts w:ascii="Arial" w:cs="Arial" w:eastAsia="Arial" w:hAnsi="Arial"/>
                <w:sz w:val="18"/>
                <w:szCs w:val="18"/>
                <w:color w:val="0000EE"/>
              </w:rPr>
            </w:pPr>
            <w:hyperlink w:anchor="page6">
              <w:r>
                <w:rPr>
                  <w:rFonts w:ascii="Arial" w:cs="Arial" w:eastAsia="Arial" w:hAnsi="Arial"/>
                  <w:sz w:val="18"/>
                  <w:szCs w:val="18"/>
                  <w:color w:val="0000EE"/>
                </w:rPr>
                <w:t>the period from June 23, 2020 (inception) through June 30, 2020</w:t>
              </w:r>
            </w:hyperlink>
          </w:p>
        </w:tc>
        <w:tc>
          <w:tcPr>
            <w:tcW w:w="360" w:type="dxa"/>
            <w:vAlign w:val="bottom"/>
            <w:gridSpan w:val="2"/>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412"/>
        </w:trPr>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40" w:type="dxa"/>
            <w:vAlign w:val="bottom"/>
            <w:tcBorders>
              <w:top w:val="single" w:sz="8" w:color="0000EE"/>
            </w:tcBorders>
            <w:gridSpan w:val="15"/>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Financial Statements</w:t>
              </w:r>
            </w:hyperlink>
          </w:p>
        </w:tc>
        <w:tc>
          <w:tcPr>
            <w:tcW w:w="2700" w:type="dxa"/>
            <w:vAlign w:val="bottom"/>
            <w:gridSpan w:val="10"/>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28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Item 2.</w:t>
              </w:r>
            </w:hyperlink>
          </w:p>
        </w:tc>
        <w:tc>
          <w:tcPr>
            <w:tcW w:w="7340" w:type="dxa"/>
            <w:vAlign w:val="bottom"/>
            <w:gridSpan w:val="25"/>
          </w:tcPr>
          <w:p>
            <w:pPr>
              <w:spacing w:after="0"/>
              <w:rPr>
                <w:rFonts w:ascii="Arial" w:cs="Arial" w:eastAsia="Arial" w:hAnsi="Arial"/>
                <w:sz w:val="18"/>
                <w:szCs w:val="18"/>
                <w:color w:val="0000EE"/>
              </w:rPr>
            </w:pPr>
            <w:hyperlink w:anchor="page19">
              <w:r>
                <w:rPr>
                  <w:rFonts w:ascii="Arial" w:cs="Arial" w:eastAsia="Arial" w:hAnsi="Arial"/>
                  <w:sz w:val="18"/>
                  <w:szCs w:val="18"/>
                  <w:color w:val="0000EE"/>
                </w:rPr>
                <w:t>MANAGEMENT’S DISCUSSION AND ANALYSIS OF FINANCIAL CONDITION AND</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1"/>
              </w:rPr>
            </w:pPr>
            <w:hyperlink w:anchor="page19">
              <w:r>
                <w:rPr>
                  <w:rFonts w:ascii="Arial" w:cs="Arial" w:eastAsia="Arial" w:hAnsi="Arial"/>
                  <w:sz w:val="18"/>
                  <w:szCs w:val="18"/>
                  <w:color w:val="0000EE"/>
                  <w:w w:val="91"/>
                </w:rPr>
                <w:t>RESULTS OF OPERATIONS</w:t>
              </w:r>
            </w:hyperlink>
          </w:p>
        </w:tc>
        <w:tc>
          <w:tcPr>
            <w:tcW w:w="4500" w:type="dxa"/>
            <w:vAlign w:val="bottom"/>
            <w:tcBorders>
              <w:top w:val="single" w:sz="8" w:color="0000EE"/>
            </w:tcBorders>
            <w:gridSpan w:val="12"/>
          </w:tcPr>
          <w:p>
            <w:pPr>
              <w:spacing w:after="0"/>
              <w:rPr>
                <w:sz w:val="17"/>
                <w:szCs w:val="17"/>
                <w:color w:val="auto"/>
              </w:rPr>
            </w:pPr>
          </w:p>
        </w:tc>
        <w:tc>
          <w:tcPr>
            <w:tcW w:w="660" w:type="dxa"/>
            <w:vAlign w:val="bottom"/>
            <w:gridSpan w:val="4"/>
          </w:tcPr>
          <w:p>
            <w:pPr>
              <w:spacing w:after="0"/>
              <w:rPr>
                <w:sz w:val="17"/>
                <w:szCs w:val="17"/>
                <w:color w:val="auto"/>
              </w:rPr>
            </w:pPr>
          </w:p>
        </w:tc>
        <w:tc>
          <w:tcPr>
            <w:tcW w:w="800" w:type="dxa"/>
            <w:vAlign w:val="bottom"/>
          </w:tcPr>
          <w:p>
            <w:pPr>
              <w:jc w:val="center"/>
              <w:spacing w:after="0" w:line="196" w:lineRule="exact"/>
              <w:rPr>
                <w:sz w:val="20"/>
                <w:szCs w:val="20"/>
                <w:color w:val="auto"/>
              </w:rPr>
            </w:pPr>
            <w:r>
              <w:rPr>
                <w:rFonts w:ascii="Arial" w:cs="Arial" w:eastAsia="Arial" w:hAnsi="Arial"/>
                <w:sz w:val="18"/>
                <w:szCs w:val="18"/>
                <w:color w:val="auto"/>
                <w:w w:val="89"/>
              </w:rPr>
              <w:t>17</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2">
              <w:r>
                <w:rPr>
                  <w:rFonts w:ascii="Arial" w:cs="Arial" w:eastAsia="Arial" w:hAnsi="Arial"/>
                  <w:sz w:val="18"/>
                  <w:szCs w:val="18"/>
                  <w:color w:val="0000EE"/>
                  <w:w w:val="90"/>
                </w:rPr>
                <w:t>Item 3.</w:t>
              </w:r>
            </w:hyperlink>
          </w:p>
        </w:tc>
        <w:tc>
          <w:tcPr>
            <w:tcW w:w="240" w:type="dxa"/>
            <w:vAlign w:val="bottom"/>
            <w:gridSpan w:val="2"/>
          </w:tcPr>
          <w:p>
            <w:pPr>
              <w:spacing w:after="0"/>
              <w:rPr>
                <w:sz w:val="24"/>
                <w:szCs w:val="24"/>
                <w:color w:val="auto"/>
              </w:rPr>
            </w:pPr>
          </w:p>
        </w:tc>
        <w:tc>
          <w:tcPr>
            <w:tcW w:w="6140" w:type="dxa"/>
            <w:vAlign w:val="bottom"/>
            <w:tcBorders>
              <w:bottom w:val="single" w:sz="8" w:color="0000EE"/>
            </w:tcBorders>
            <w:gridSpan w:val="19"/>
          </w:tcPr>
          <w:p>
            <w:pPr>
              <w:spacing w:after="0"/>
              <w:rPr>
                <w:rFonts w:ascii="Arial" w:cs="Arial" w:eastAsia="Arial" w:hAnsi="Arial"/>
                <w:sz w:val="18"/>
                <w:szCs w:val="18"/>
                <w:color w:val="0000EE"/>
                <w:w w:val="98"/>
              </w:rPr>
            </w:pPr>
            <w:hyperlink w:anchor="page22">
              <w:r>
                <w:rPr>
                  <w:rFonts w:ascii="Arial" w:cs="Arial" w:eastAsia="Arial" w:hAnsi="Arial"/>
                  <w:sz w:val="18"/>
                  <w:szCs w:val="18"/>
                  <w:color w:val="0000EE"/>
                  <w:w w:val="98"/>
                </w:rPr>
                <w:t>QUANTITATIVE AND QUALITATIVE DISCLOSURES ABOUT MARKET RISK</w:t>
              </w:r>
            </w:hyperlink>
          </w:p>
        </w:tc>
        <w:tc>
          <w:tcPr>
            <w:tcW w:w="1200" w:type="dxa"/>
            <w:vAlign w:val="bottom"/>
            <w:gridSpan w:val="6"/>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412"/>
        </w:trPr>
        <w:tc>
          <w:tcPr>
            <w:tcW w:w="760" w:type="dxa"/>
            <w:vAlign w:val="bottom"/>
            <w:gridSpan w:val="4"/>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Item 4.</w:t>
              </w:r>
            </w:hyperlink>
          </w:p>
        </w:tc>
        <w:tc>
          <w:tcPr>
            <w:tcW w:w="7340" w:type="dxa"/>
            <w:vAlign w:val="bottom"/>
            <w:gridSpan w:val="25"/>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CONTROLS AND PROCEDURES</w:t>
              </w:r>
            </w:hyperlink>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100" w:type="dxa"/>
            <w:vAlign w:val="bottom"/>
            <w:gridSpan w:val="29"/>
          </w:tcPr>
          <w:p>
            <w:pPr>
              <w:spacing w:after="0"/>
              <w:rPr>
                <w:rFonts w:ascii="Arial" w:cs="Arial" w:eastAsia="Arial" w:hAnsi="Arial"/>
                <w:sz w:val="18"/>
                <w:szCs w:val="18"/>
                <w:b w:val="1"/>
                <w:bCs w:val="1"/>
                <w:color w:val="0000EE"/>
              </w:rPr>
            </w:pPr>
            <w:hyperlink w:anchor="page23">
              <w:r>
                <w:rPr>
                  <w:rFonts w:ascii="Arial" w:cs="Arial" w:eastAsia="Arial" w:hAnsi="Arial"/>
                  <w:sz w:val="18"/>
                  <w:szCs w:val="18"/>
                  <w:b w:val="1"/>
                  <w:bCs w:val="1"/>
                  <w:color w:val="0000EE"/>
                </w:rPr>
                <w:t>PART II - OTHER INFORMATION</w:t>
              </w:r>
            </w:hyperlink>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1.</w:t>
              </w:r>
            </w:hyperlink>
          </w:p>
        </w:tc>
        <w:tc>
          <w:tcPr>
            <w:tcW w:w="240" w:type="dxa"/>
            <w:vAlign w:val="bottom"/>
            <w:tcBorders>
              <w:top w:val="single" w:sz="8" w:color="0000EE"/>
            </w:tcBorders>
            <w:gridSpan w:val="2"/>
          </w:tcPr>
          <w:p>
            <w:pPr>
              <w:spacing w:after="0"/>
              <w:rPr>
                <w:sz w:val="24"/>
                <w:szCs w:val="24"/>
                <w:color w:val="auto"/>
              </w:rPr>
            </w:pPr>
          </w:p>
        </w:tc>
        <w:tc>
          <w:tcPr>
            <w:tcW w:w="206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280" w:type="dxa"/>
            <w:vAlign w:val="bottom"/>
            <w:gridSpan w:val="18"/>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5"/>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1280" w:type="dxa"/>
            <w:vAlign w:val="bottom"/>
            <w:gridSpan w:val="7"/>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rFonts w:ascii="Arial" w:cs="Arial" w:eastAsia="Arial" w:hAnsi="Arial"/>
                <w:sz w:val="18"/>
                <w:szCs w:val="18"/>
                <w:color w:val="0000EE"/>
                <w:w w:val="92"/>
              </w:rPr>
            </w:pPr>
            <w:hyperlink w:anchor="page23">
              <w:r>
                <w:rPr>
                  <w:rFonts w:ascii="Arial" w:cs="Arial" w:eastAsia="Arial" w:hAnsi="Arial"/>
                  <w:sz w:val="18"/>
                  <w:szCs w:val="18"/>
                  <w:color w:val="0000EE"/>
                  <w:w w:val="92"/>
                </w:rPr>
                <w:t>Item 1A.</w:t>
              </w:r>
            </w:hyperlink>
          </w:p>
        </w:tc>
        <w:tc>
          <w:tcPr>
            <w:tcW w:w="120" w:type="dxa"/>
            <w:vAlign w:val="bottom"/>
          </w:tcPr>
          <w:p>
            <w:pPr>
              <w:spacing w:after="0"/>
              <w:rPr>
                <w:sz w:val="24"/>
                <w:szCs w:val="24"/>
                <w:color w:val="auto"/>
              </w:rPr>
            </w:pPr>
          </w:p>
        </w:tc>
        <w:tc>
          <w:tcPr>
            <w:tcW w:w="1240" w:type="dxa"/>
            <w:vAlign w:val="bottom"/>
            <w:tcBorders>
              <w:bottom w:val="single" w:sz="8" w:color="0000EE"/>
            </w:tcBorders>
            <w:gridSpan w:val="4"/>
          </w:tcPr>
          <w:p>
            <w:pPr>
              <w:spacing w:after="0"/>
              <w:rPr>
                <w:rFonts w:ascii="Arial" w:cs="Arial" w:eastAsia="Arial" w:hAnsi="Arial"/>
                <w:sz w:val="18"/>
                <w:szCs w:val="18"/>
                <w:color w:val="0000EE"/>
                <w:w w:val="91"/>
              </w:rPr>
            </w:pPr>
            <w:hyperlink w:anchor="page23">
              <w:r>
                <w:rPr>
                  <w:rFonts w:ascii="Arial" w:cs="Arial" w:eastAsia="Arial" w:hAnsi="Arial"/>
                  <w:sz w:val="18"/>
                  <w:szCs w:val="18"/>
                  <w:color w:val="0000EE"/>
                  <w:w w:val="91"/>
                </w:rPr>
                <w:t>RISK FACTORS</w:t>
              </w:r>
            </w:hyperlink>
          </w:p>
        </w:tc>
        <w:tc>
          <w:tcPr>
            <w:tcW w:w="6100" w:type="dxa"/>
            <w:vAlign w:val="bottom"/>
            <w:gridSpan w:val="21"/>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2.</w:t>
              </w:r>
            </w:hyperlink>
          </w:p>
        </w:tc>
        <w:tc>
          <w:tcPr>
            <w:tcW w:w="240" w:type="dxa"/>
            <w:vAlign w:val="bottom"/>
            <w:gridSpan w:val="2"/>
          </w:tcPr>
          <w:p>
            <w:pPr>
              <w:spacing w:after="0"/>
              <w:rPr>
                <w:sz w:val="24"/>
                <w:szCs w:val="24"/>
                <w:color w:val="auto"/>
              </w:rPr>
            </w:pPr>
          </w:p>
        </w:tc>
        <w:tc>
          <w:tcPr>
            <w:tcW w:w="6060" w:type="dxa"/>
            <w:vAlign w:val="bottom"/>
            <w:tcBorders>
              <w:bottom w:val="single" w:sz="8" w:color="0000EE"/>
            </w:tcBorders>
            <w:gridSpan w:val="18"/>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UNREGISTERED SALES OF EQUITY SECURITIES AND USE OF PROCEEDS</w:t>
              </w:r>
            </w:hyperlink>
          </w:p>
        </w:tc>
        <w:tc>
          <w:tcPr>
            <w:tcW w:w="1280" w:type="dxa"/>
            <w:vAlign w:val="bottom"/>
            <w:gridSpan w:val="7"/>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3.</w:t>
              </w:r>
            </w:hyperlink>
          </w:p>
        </w:tc>
        <w:tc>
          <w:tcPr>
            <w:tcW w:w="240" w:type="dxa"/>
            <w:vAlign w:val="bottom"/>
            <w:gridSpan w:val="2"/>
          </w:tcPr>
          <w:p>
            <w:pPr>
              <w:spacing w:after="0"/>
              <w:rPr>
                <w:sz w:val="24"/>
                <w:szCs w:val="24"/>
                <w:color w:val="auto"/>
              </w:rPr>
            </w:pPr>
          </w:p>
        </w:tc>
        <w:tc>
          <w:tcPr>
            <w:tcW w:w="3180" w:type="dxa"/>
            <w:vAlign w:val="bottom"/>
            <w:tcBorders>
              <w:bottom w:val="single" w:sz="8" w:color="0000EE"/>
            </w:tcBorders>
            <w:gridSpan w:val="13"/>
          </w:tcPr>
          <w:p>
            <w:pPr>
              <w:spacing w:after="0"/>
              <w:rPr>
                <w:rFonts w:ascii="Arial" w:cs="Arial" w:eastAsia="Arial" w:hAnsi="Arial"/>
                <w:sz w:val="18"/>
                <w:szCs w:val="18"/>
                <w:color w:val="0000EE"/>
                <w:w w:val="93"/>
              </w:rPr>
            </w:pPr>
            <w:hyperlink w:anchor="page23">
              <w:r>
                <w:rPr>
                  <w:rFonts w:ascii="Arial" w:cs="Arial" w:eastAsia="Arial" w:hAnsi="Arial"/>
                  <w:sz w:val="18"/>
                  <w:szCs w:val="18"/>
                  <w:color w:val="0000EE"/>
                  <w:w w:val="93"/>
                </w:rPr>
                <w:t>DEFAULTS UPON SENIOR SECURITIES</w:t>
              </w:r>
            </w:hyperlink>
          </w:p>
        </w:tc>
        <w:tc>
          <w:tcPr>
            <w:tcW w:w="4160" w:type="dxa"/>
            <w:vAlign w:val="bottom"/>
            <w:gridSpan w:val="1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4.</w:t>
              </w:r>
            </w:hyperlink>
          </w:p>
        </w:tc>
        <w:tc>
          <w:tcPr>
            <w:tcW w:w="240" w:type="dxa"/>
            <w:vAlign w:val="bottom"/>
            <w:gridSpan w:val="2"/>
          </w:tcPr>
          <w:p>
            <w:pPr>
              <w:spacing w:after="0"/>
              <w:rPr>
                <w:sz w:val="24"/>
                <w:szCs w:val="24"/>
                <w:color w:val="auto"/>
              </w:rPr>
            </w:pPr>
          </w:p>
        </w:tc>
        <w:tc>
          <w:tcPr>
            <w:tcW w:w="2440" w:type="dxa"/>
            <w:vAlign w:val="bottom"/>
            <w:tcBorders>
              <w:bottom w:val="single" w:sz="8" w:color="0000EE"/>
            </w:tcBorders>
            <w:gridSpan w:val="11"/>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MINE SAFETY DISCLOSURES</w:t>
              </w:r>
            </w:hyperlink>
          </w:p>
        </w:tc>
        <w:tc>
          <w:tcPr>
            <w:tcW w:w="4900" w:type="dxa"/>
            <w:vAlign w:val="bottom"/>
            <w:gridSpan w:val="14"/>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3">
              <w:r>
                <w:rPr>
                  <w:rFonts w:ascii="Arial" w:cs="Arial" w:eastAsia="Arial" w:hAnsi="Arial"/>
                  <w:sz w:val="18"/>
                  <w:szCs w:val="18"/>
                  <w:color w:val="0000EE"/>
                  <w:w w:val="90"/>
                </w:rPr>
                <w:t>Item 5.</w:t>
              </w:r>
            </w:hyperlink>
          </w:p>
        </w:tc>
        <w:tc>
          <w:tcPr>
            <w:tcW w:w="240" w:type="dxa"/>
            <w:vAlign w:val="bottom"/>
            <w:gridSpan w:val="2"/>
          </w:tcPr>
          <w:p>
            <w:pPr>
              <w:spacing w:after="0"/>
              <w:rPr>
                <w:sz w:val="24"/>
                <w:szCs w:val="24"/>
                <w:color w:val="auto"/>
              </w:rPr>
            </w:pPr>
          </w:p>
        </w:tc>
        <w:tc>
          <w:tcPr>
            <w:tcW w:w="18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23">
              <w:r>
                <w:rPr>
                  <w:rFonts w:ascii="Arial" w:cs="Arial" w:eastAsia="Arial" w:hAnsi="Arial"/>
                  <w:sz w:val="18"/>
                  <w:szCs w:val="18"/>
                  <w:color w:val="0000EE"/>
                  <w:w w:val="95"/>
                </w:rPr>
                <w:t>OTHER INFORMATION</w:t>
              </w:r>
            </w:hyperlink>
          </w:p>
        </w:tc>
        <w:tc>
          <w:tcPr>
            <w:tcW w:w="5460" w:type="dxa"/>
            <w:vAlign w:val="bottom"/>
            <w:gridSpan w:val="19"/>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412"/>
        </w:trPr>
        <w:tc>
          <w:tcPr>
            <w:tcW w:w="520" w:type="dxa"/>
            <w:vAlign w:val="bottom"/>
            <w:tcBorders>
              <w:bottom w:val="single" w:sz="8" w:color="0000EE"/>
            </w:tcBorders>
            <w:gridSpan w:val="2"/>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Item 6.</w:t>
              </w:r>
            </w:hyperlink>
          </w:p>
        </w:tc>
        <w:tc>
          <w:tcPr>
            <w:tcW w:w="240" w:type="dxa"/>
            <w:vAlign w:val="bottom"/>
            <w:gridSpan w:val="2"/>
          </w:tcPr>
          <w:p>
            <w:pPr>
              <w:spacing w:after="0"/>
              <w:rPr>
                <w:sz w:val="24"/>
                <w:szCs w:val="24"/>
                <w:color w:val="auto"/>
              </w:rPr>
            </w:pPr>
          </w:p>
        </w:tc>
        <w:tc>
          <w:tcPr>
            <w:tcW w:w="820" w:type="dxa"/>
            <w:vAlign w:val="bottom"/>
            <w:tcBorders>
              <w:bottom w:val="single" w:sz="8" w:color="0000EE"/>
            </w:tcBorders>
            <w:gridSpan w:val="3"/>
          </w:tcPr>
          <w:p>
            <w:pPr>
              <w:spacing w:after="0"/>
              <w:rPr>
                <w:rFonts w:ascii="Arial" w:cs="Arial" w:eastAsia="Arial" w:hAnsi="Arial"/>
                <w:sz w:val="18"/>
                <w:szCs w:val="18"/>
                <w:color w:val="0000EE"/>
                <w:w w:val="97"/>
              </w:rPr>
            </w:pPr>
            <w:hyperlink w:anchor="page24">
              <w:r>
                <w:rPr>
                  <w:rFonts w:ascii="Arial" w:cs="Arial" w:eastAsia="Arial" w:hAnsi="Arial"/>
                  <w:sz w:val="18"/>
                  <w:szCs w:val="18"/>
                  <w:color w:val="0000EE"/>
                  <w:w w:val="97"/>
                </w:rPr>
                <w:t>EXHIBITS</w:t>
              </w:r>
            </w:hyperlink>
          </w:p>
        </w:tc>
        <w:tc>
          <w:tcPr>
            <w:tcW w:w="6520" w:type="dxa"/>
            <w:vAlign w:val="bottom"/>
            <w:gridSpan w:val="22"/>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412"/>
        </w:trPr>
        <w:tc>
          <w:tcPr>
            <w:tcW w:w="1160" w:type="dxa"/>
            <w:vAlign w:val="bottom"/>
            <w:tcBorders>
              <w:bottom w:val="single" w:sz="8" w:color="0000EE"/>
            </w:tcBorders>
            <w:gridSpan w:val="6"/>
          </w:tcPr>
          <w:p>
            <w:pPr>
              <w:spacing w:after="0"/>
              <w:rPr>
                <w:rFonts w:ascii="Arial" w:cs="Arial" w:eastAsia="Arial" w:hAnsi="Arial"/>
                <w:sz w:val="18"/>
                <w:szCs w:val="18"/>
                <w:b w:val="1"/>
                <w:bCs w:val="1"/>
                <w:color w:val="0000EE"/>
                <w:w w:val="96"/>
              </w:rPr>
            </w:pPr>
            <w:hyperlink w:anchor="page25">
              <w:r>
                <w:rPr>
                  <w:rFonts w:ascii="Arial" w:cs="Arial" w:eastAsia="Arial" w:hAnsi="Arial"/>
                  <w:sz w:val="18"/>
                  <w:szCs w:val="18"/>
                  <w:b w:val="1"/>
                  <w:bCs w:val="1"/>
                  <w:color w:val="0000EE"/>
                  <w:w w:val="96"/>
                </w:rPr>
                <w:t>SIGNATURES</w:t>
              </w:r>
            </w:hyperlink>
          </w:p>
        </w:tc>
        <w:tc>
          <w:tcPr>
            <w:tcW w:w="6940" w:type="dxa"/>
            <w:vAlign w:val="bottom"/>
            <w:gridSpan w:val="23"/>
          </w:tcPr>
          <w:p>
            <w:pPr>
              <w:spacing w:after="0"/>
              <w:rPr>
                <w:sz w:val="24"/>
                <w:szCs w:val="24"/>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 w:name="page3"/>
    <w:bookmarkEnd w:id="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1 – FINANCIAL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June 30, 2021</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53"/>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0" w:type="dxa"/>
            <w:vAlign w:val="bottom"/>
          </w:tcPr>
          <w:p>
            <w:pPr>
              <w:jc w:val="right"/>
              <w:ind w:right="3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73"/>
              <w:spacing w:after="0" w:line="142" w:lineRule="exact"/>
              <w:rPr>
                <w:sz w:val="20"/>
                <w:szCs w:val="20"/>
                <w:color w:val="auto"/>
              </w:rPr>
            </w:pPr>
            <w:r>
              <w:rPr>
                <w:rFonts w:ascii="Arial" w:cs="Arial" w:eastAsia="Arial" w:hAnsi="Arial"/>
                <w:sz w:val="14"/>
                <w:szCs w:val="14"/>
                <w:b w:val="1"/>
                <w:bCs w:val="1"/>
                <w:color w:val="auto"/>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Current asset - cash</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16,927</w:t>
            </w:r>
          </w:p>
        </w:tc>
        <w:tc>
          <w:tcPr>
            <w:tcW w:w="2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Deferred offering costs</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174,166</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80"/>
              <w:spacing w:after="0"/>
              <w:rPr>
                <w:sz w:val="20"/>
                <w:szCs w:val="20"/>
                <w:color w:val="auto"/>
              </w:rPr>
            </w:pPr>
            <w:r>
              <w:rPr>
                <w:rFonts w:ascii="Arial" w:cs="Arial" w:eastAsia="Arial" w:hAnsi="Arial"/>
                <w:sz w:val="18"/>
                <w:szCs w:val="18"/>
                <w:color w:val="auto"/>
              </w:rPr>
              <w:t>Accrued expenses</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8"/>
                <w:szCs w:val="18"/>
                <w:color w:val="auto"/>
              </w:rPr>
            </w:pPr>
          </w:p>
        </w:tc>
        <w:tc>
          <w:tcPr>
            <w:tcW w:w="8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Promissory note - related party</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Liabilities</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151,000</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b w:val="1"/>
                <w:bCs w:val="1"/>
                <w:color w:val="auto"/>
              </w:rPr>
              <w:t>Stockholder’s Equity</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420" w:type="dxa"/>
            <w:vAlign w:val="bottom"/>
            <w:shd w:val="clear" w:color="auto" w:fill="CCEEFF"/>
          </w:tcPr>
          <w:p>
            <w:pPr>
              <w:ind w:left="80"/>
              <w:spacing w:after="0" w:line="201" w:lineRule="exact"/>
              <w:rPr>
                <w:sz w:val="20"/>
                <w:szCs w:val="20"/>
                <w:color w:val="auto"/>
              </w:rPr>
            </w:pPr>
            <w:r>
              <w:rPr>
                <w:rFonts w:ascii="Arial" w:cs="Arial" w:eastAsia="Arial" w:hAnsi="Arial"/>
                <w:sz w:val="18"/>
                <w:szCs w:val="18"/>
                <w:color w:val="auto"/>
                <w:w w:val="98"/>
              </w:rPr>
              <w:t>Preferred stock, $0.0001 par value; 1,000,000 shares authorized; none issued or</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outstanding</w:t>
            </w: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20" w:type="dxa"/>
            <w:vAlign w:val="bottom"/>
          </w:tcPr>
          <w:p>
            <w:pPr>
              <w:ind w:left="80"/>
              <w:spacing w:after="0" w:line="192" w:lineRule="exact"/>
              <w:rPr>
                <w:sz w:val="20"/>
                <w:szCs w:val="20"/>
                <w:color w:val="auto"/>
              </w:rPr>
            </w:pPr>
            <w:r>
              <w:rPr>
                <w:rFonts w:ascii="Arial" w:cs="Arial" w:eastAsia="Arial" w:hAnsi="Arial"/>
                <w:sz w:val="18"/>
                <w:szCs w:val="18"/>
                <w:color w:val="auto"/>
                <w:w w:val="91"/>
              </w:rPr>
              <w:t>Common stock, $0.0001 par value; 5,000,000 shares authorized; 3,162,500 issued and</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6420" w:type="dxa"/>
            <w:vAlign w:val="bottom"/>
          </w:tcPr>
          <w:p>
            <w:pPr>
              <w:ind w:left="220"/>
              <w:spacing w:after="0" w:line="240" w:lineRule="exact"/>
              <w:rPr>
                <w:sz w:val="20"/>
                <w:szCs w:val="20"/>
                <w:color w:val="auto"/>
              </w:rPr>
            </w:pPr>
            <w:r>
              <w:rPr>
                <w:rFonts w:ascii="Arial" w:cs="Arial" w:eastAsia="Arial" w:hAnsi="Arial"/>
                <w:sz w:val="18"/>
                <w:szCs w:val="18"/>
                <w:color w:val="auto"/>
              </w:rPr>
              <w:t>outstanding</w:t>
            </w:r>
            <w:r>
              <w:rPr>
                <w:rFonts w:ascii="Arial" w:cs="Arial" w:eastAsia="Arial" w:hAnsi="Arial"/>
                <w:sz w:val="26"/>
                <w:szCs w:val="26"/>
                <w:color w:val="auto"/>
                <w:vertAlign w:val="superscript"/>
              </w:rPr>
              <w:t>(1)(2)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8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(1,834)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23,166</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24,000</w:t>
            </w:r>
          </w:p>
        </w:tc>
        <w:tc>
          <w:tcPr>
            <w:tcW w:w="0" w:type="dxa"/>
            <w:vAlign w:val="bottom"/>
          </w:tcPr>
          <w:p>
            <w:pPr>
              <w:spacing w:after="0"/>
              <w:rPr>
                <w:sz w:val="1"/>
                <w:szCs w:val="1"/>
                <w:color w:val="auto"/>
              </w:rPr>
            </w:pPr>
          </w:p>
        </w:tc>
      </w:tr>
      <w:tr>
        <w:trPr>
          <w:trHeight w:val="210"/>
        </w:trPr>
        <w:tc>
          <w:tcPr>
            <w:tcW w:w="64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4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174,166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hanging="10"/>
        <w:spacing w:after="0" w:line="219" w:lineRule="auto"/>
        <w:tabs>
          <w:tab w:leader="none" w:pos="276"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Includes up to 412,500 shares of common stock subject to forfeiture if the over-allotment option was not exercised in full or in part by the underwriters (see Note 5). On August 18, 2021, the underwriters’ exercised the over-allotment option in full, thus these shares are no longer subject to forfeiture (see Note 6).</w:t>
      </w:r>
    </w:p>
    <w:p>
      <w:pPr>
        <w:spacing w:after="0" w:line="202" w:lineRule="exact"/>
        <w:rPr>
          <w:rFonts w:ascii="Arial" w:cs="Arial" w:eastAsia="Arial" w:hAnsi="Arial"/>
          <w:sz w:val="27"/>
          <w:szCs w:val="27"/>
          <w:color w:val="auto"/>
          <w:vertAlign w:val="superscript"/>
        </w:rPr>
      </w:pPr>
    </w:p>
    <w:p>
      <w:pPr>
        <w:jc w:val="both"/>
        <w:ind w:left="60" w:right="59" w:hanging="10"/>
        <w:spacing w:after="0" w:line="226" w:lineRule="auto"/>
        <w:tabs>
          <w:tab w:leader="none" w:pos="289" w:val="left"/>
        </w:tabs>
        <w:numPr>
          <w:ilvl w:val="0"/>
          <w:numId w:val="2"/>
        </w:numPr>
        <w:rPr>
          <w:rFonts w:ascii="Arial" w:cs="Arial" w:eastAsia="Arial" w:hAnsi="Arial"/>
          <w:sz w:val="27"/>
          <w:szCs w:val="27"/>
          <w:color w:val="auto"/>
          <w:vertAlign w:val="superscript"/>
        </w:rPr>
      </w:pPr>
      <w:r>
        <w:rPr>
          <w:rFonts w:ascii="Arial" w:cs="Arial" w:eastAsia="Arial" w:hAnsi="Arial"/>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3" w:name="page4"/>
    <w:bookmarkEnd w:id="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center"/>
              <w:ind w:right="22"/>
              <w:spacing w:after="0"/>
              <w:rPr>
                <w:sz w:val="20"/>
                <w:szCs w:val="20"/>
                <w:color w:val="auto"/>
              </w:rPr>
            </w:pPr>
            <w:r>
              <w:rPr>
                <w:rFonts w:ascii="Arial" w:cs="Arial" w:eastAsia="Arial" w:hAnsi="Arial"/>
                <w:sz w:val="14"/>
                <w:szCs w:val="14"/>
                <w:b w:val="1"/>
                <w:bCs w:val="1"/>
                <w:color w:val="auto"/>
                <w:w w:val="96"/>
              </w:rPr>
              <w:t>For the</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4"/>
              </w:rPr>
              <w:t>Period from</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June 23,</w:t>
            </w:r>
          </w:p>
        </w:tc>
        <w:tc>
          <w:tcPr>
            <w:tcW w:w="0" w:type="dxa"/>
            <w:vAlign w:val="bottom"/>
          </w:tcPr>
          <w:p>
            <w:pPr>
              <w:spacing w:after="0"/>
              <w:rPr>
                <w:sz w:val="1"/>
                <w:szCs w:val="1"/>
                <w:color w:val="auto"/>
              </w:rPr>
            </w:pPr>
          </w:p>
        </w:tc>
      </w:tr>
      <w:tr>
        <w:trPr>
          <w:trHeight w:val="149"/>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Three Months Ended</w:t>
            </w:r>
          </w:p>
        </w:tc>
        <w:tc>
          <w:tcPr>
            <w:tcW w:w="1420" w:type="dxa"/>
            <w:vAlign w:val="bottom"/>
            <w:gridSpan w:val="4"/>
            <w:vMerge w:val="restart"/>
          </w:tcPr>
          <w:p>
            <w:pPr>
              <w:ind w:left="140"/>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42"/>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22"/>
              <w:spacing w:after="0" w:line="149" w:lineRule="exact"/>
              <w:rPr>
                <w:sz w:val="20"/>
                <w:szCs w:val="20"/>
                <w:color w:val="auto"/>
              </w:rPr>
            </w:pPr>
            <w:r>
              <w:rPr>
                <w:rFonts w:ascii="Arial" w:cs="Arial" w:eastAsia="Arial" w:hAnsi="Arial"/>
                <w:sz w:val="14"/>
                <w:szCs w:val="14"/>
                <w:b w:val="1"/>
                <w:bCs w:val="1"/>
                <w:color w:val="auto"/>
                <w:w w:val="95"/>
              </w:rPr>
              <w:t>Through</w:t>
            </w:r>
          </w:p>
        </w:tc>
        <w:tc>
          <w:tcPr>
            <w:tcW w:w="0" w:type="dxa"/>
            <w:vAlign w:val="bottom"/>
          </w:tcPr>
          <w:p>
            <w:pPr>
              <w:spacing w:after="0"/>
              <w:rPr>
                <w:sz w:val="1"/>
                <w:szCs w:val="1"/>
                <w:color w:val="auto"/>
              </w:rPr>
            </w:pPr>
          </w:p>
        </w:tc>
      </w:tr>
      <w:tr>
        <w:trPr>
          <w:trHeight w:val="148"/>
        </w:trPr>
        <w:tc>
          <w:tcPr>
            <w:tcW w:w="47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356"/>
              <w:spacing w:after="0" w:line="149" w:lineRule="exact"/>
              <w:rPr>
                <w:sz w:val="20"/>
                <w:szCs w:val="20"/>
                <w:color w:val="auto"/>
              </w:rPr>
            </w:pPr>
            <w:r>
              <w:rPr>
                <w:rFonts w:ascii="Arial" w:cs="Arial" w:eastAsia="Arial" w:hAnsi="Arial"/>
                <w:sz w:val="14"/>
                <w:szCs w:val="14"/>
                <w:b w:val="1"/>
                <w:bCs w:val="1"/>
                <w:color w:val="auto"/>
              </w:rPr>
              <w:t>June 30,</w:t>
            </w:r>
          </w:p>
        </w:tc>
        <w:tc>
          <w:tcPr>
            <w:tcW w:w="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tcPr>
          <w:p>
            <w:pPr>
              <w:jc w:val="center"/>
              <w:ind w:right="62"/>
              <w:spacing w:after="0" w:line="149" w:lineRule="exact"/>
              <w:rPr>
                <w:sz w:val="20"/>
                <w:szCs w:val="20"/>
                <w:color w:val="auto"/>
              </w:rPr>
            </w:pPr>
            <w:r>
              <w:rPr>
                <w:rFonts w:ascii="Arial" w:cs="Arial" w:eastAsia="Arial" w:hAnsi="Arial"/>
                <w:sz w:val="14"/>
                <w:szCs w:val="14"/>
                <w:b w:val="1"/>
                <w:bCs w:val="1"/>
                <w:color w:val="auto"/>
                <w:w w:val="89"/>
              </w:rPr>
              <w:t>June 30,</w:t>
            </w:r>
          </w:p>
        </w:tc>
        <w:tc>
          <w:tcPr>
            <w:tcW w:w="0" w:type="dxa"/>
            <w:vAlign w:val="bottom"/>
          </w:tcPr>
          <w:p>
            <w:pPr>
              <w:spacing w:after="0"/>
              <w:rPr>
                <w:sz w:val="1"/>
                <w:szCs w:val="1"/>
                <w:color w:val="auto"/>
              </w:rPr>
            </w:pPr>
          </w:p>
        </w:tc>
      </w:tr>
      <w:tr>
        <w:trPr>
          <w:trHeight w:val="171"/>
        </w:trPr>
        <w:tc>
          <w:tcPr>
            <w:tcW w:w="4740" w:type="dxa"/>
            <w:vAlign w:val="bottom"/>
            <w:tcBorders>
              <w:bottom w:val="single" w:sz="8" w:color="CCEEFF"/>
            </w:tcBorders>
          </w:tcPr>
          <w:p>
            <w:pPr>
              <w:spacing w:after="0"/>
              <w:rPr>
                <w:sz w:val="14"/>
                <w:szCs w:val="14"/>
                <w:color w:val="auto"/>
              </w:rPr>
            </w:pPr>
          </w:p>
        </w:tc>
        <w:tc>
          <w:tcPr>
            <w:tcW w:w="4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22"/>
              <w:spacing w:after="0"/>
              <w:rPr>
                <w:sz w:val="20"/>
                <w:szCs w:val="20"/>
                <w:color w:val="auto"/>
              </w:rPr>
            </w:pPr>
            <w:r>
              <w:rPr>
                <w:rFonts w:ascii="Arial" w:cs="Arial" w:eastAsia="Arial" w:hAnsi="Arial"/>
                <w:sz w:val="14"/>
                <w:szCs w:val="14"/>
                <w:b w:val="1"/>
                <w:bCs w:val="1"/>
                <w:color w:val="auto"/>
                <w:w w:val="96"/>
              </w:rPr>
              <w:t>2020</w:t>
            </w:r>
          </w:p>
        </w:tc>
        <w:tc>
          <w:tcPr>
            <w:tcW w:w="0" w:type="dxa"/>
            <w:vAlign w:val="bottom"/>
          </w:tcPr>
          <w:p>
            <w:pPr>
              <w:spacing w:after="0"/>
              <w:rPr>
                <w:sz w:val="1"/>
                <w:szCs w:val="1"/>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Formation and operating costs</w:t>
            </w:r>
          </w:p>
        </w:tc>
        <w:tc>
          <w:tcPr>
            <w:tcW w:w="4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9"/>
        </w:trPr>
        <w:tc>
          <w:tcPr>
            <w:tcW w:w="4740" w:type="dxa"/>
            <w:vAlign w:val="bottom"/>
            <w:tcBorders>
              <w:bottom w:val="single" w:sz="8" w:color="CCEEFF"/>
            </w:tcBorders>
          </w:tcPr>
          <w:p>
            <w:pPr>
              <w:ind w:left="100"/>
              <w:spacing w:after="0"/>
              <w:rPr>
                <w:sz w:val="20"/>
                <w:szCs w:val="20"/>
                <w:color w:val="auto"/>
              </w:rPr>
            </w:pPr>
            <w:r>
              <w:rPr>
                <w:rFonts w:ascii="Arial" w:cs="Arial" w:eastAsia="Arial" w:hAnsi="Arial"/>
                <w:sz w:val="18"/>
                <w:szCs w:val="18"/>
                <w:b w:val="1"/>
                <w:bCs w:val="1"/>
                <w:color w:val="auto"/>
              </w:rPr>
              <w:t>Net loss</w:t>
            </w:r>
          </w:p>
        </w:tc>
        <w:tc>
          <w:tcPr>
            <w:tcW w:w="4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(834)</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(1,000)</w:t>
            </w:r>
          </w:p>
        </w:tc>
        <w:tc>
          <w:tcPr>
            <w:tcW w:w="0" w:type="dxa"/>
            <w:vAlign w:val="bottom"/>
          </w:tcPr>
          <w:p>
            <w:pPr>
              <w:spacing w:after="0"/>
              <w:rPr>
                <w:sz w:val="1"/>
                <w:szCs w:val="1"/>
                <w:color w:val="auto"/>
              </w:rPr>
            </w:pPr>
          </w:p>
        </w:tc>
      </w:tr>
      <w:tr>
        <w:trPr>
          <w:trHeight w:val="197"/>
        </w:trPr>
        <w:tc>
          <w:tcPr>
            <w:tcW w:w="4740" w:type="dxa"/>
            <w:vAlign w:val="bottom"/>
            <w:tcBorders>
              <w:bottom w:val="single" w:sz="8" w:color="CCEEFF"/>
            </w:tcBorders>
            <w:shd w:val="clear" w:color="auto" w:fill="CCEEFF"/>
          </w:tcPr>
          <w:p>
            <w:pPr>
              <w:spacing w:after="0" w:line="197" w:lineRule="exact"/>
              <w:rPr>
                <w:sz w:val="20"/>
                <w:szCs w:val="20"/>
                <w:color w:val="auto"/>
              </w:rPr>
            </w:pPr>
            <w:r>
              <w:rPr>
                <w:rFonts w:ascii="Arial" w:cs="Arial" w:eastAsia="Arial" w:hAnsi="Arial"/>
                <w:sz w:val="16"/>
                <w:szCs w:val="16"/>
                <w:color w:val="auto"/>
              </w:rPr>
              <w:t>Weighted average shares outstanding, basic and diluted</w:t>
            </w:r>
            <w:r>
              <w:rPr>
                <w:rFonts w:ascii="Arial" w:cs="Arial" w:eastAsia="Arial" w:hAnsi="Arial"/>
                <w:sz w:val="22"/>
                <w:szCs w:val="22"/>
                <w:color w:val="auto"/>
                <w:vertAlign w:val="superscript"/>
              </w:rPr>
              <w:t>(1)(2)</w:t>
            </w:r>
          </w:p>
        </w:tc>
        <w:tc>
          <w:tcPr>
            <w:tcW w:w="4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2,750,000</w:t>
            </w:r>
          </w:p>
        </w:tc>
        <w:tc>
          <w:tcPr>
            <w:tcW w:w="1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2,750,000</w:t>
            </w:r>
          </w:p>
        </w:tc>
        <w:tc>
          <w:tcPr>
            <w:tcW w:w="1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4"/>
              </w:rPr>
              <w:t>2,750,000</w:t>
            </w: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common share</w:t>
            </w:r>
          </w:p>
        </w:tc>
        <w:tc>
          <w:tcPr>
            <w:tcW w:w="480" w:type="dxa"/>
            <w:vAlign w:val="bottom"/>
            <w:vMerge w:val="restart"/>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vMerge w:val="continue"/>
          </w:tcPr>
          <w:p>
            <w:pPr>
              <w:spacing w:after="0"/>
              <w:rPr>
                <w:sz w:val="17"/>
                <w:szCs w:val="17"/>
                <w:color w:val="auto"/>
              </w:rPr>
            </w:pPr>
          </w:p>
        </w:tc>
        <w:tc>
          <w:tcPr>
            <w:tcW w:w="18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b w:val="1"/>
                <w:bCs w:val="1"/>
                <w:color w:val="auto"/>
              </w:rPr>
              <w:t>$</w:t>
            </w:r>
          </w:p>
        </w:tc>
        <w:tc>
          <w:tcPr>
            <w:tcW w:w="9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140" w:type="dxa"/>
            <w:vAlign w:val="bottom"/>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b w:val="1"/>
                <w:bCs w:val="1"/>
                <w:color w:val="auto"/>
              </w:rPr>
              <w:t>(0.00)</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hanging="10"/>
        <w:spacing w:after="0" w:line="219" w:lineRule="auto"/>
        <w:tabs>
          <w:tab w:leader="none" w:pos="324"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Excludes up to 412,500 shares of common stock subject to forfeiture if the over-allotment option was not exercised in full or in part by the underwriters (see Note 5). On August 18, 2021, the underwriters’ exercised the over-allotment option in full, thus these shares are no longer subject to forfeiture (see Note 6).</w:t>
      </w:r>
    </w:p>
    <w:p>
      <w:pPr>
        <w:spacing w:after="0" w:line="202" w:lineRule="exact"/>
        <w:rPr>
          <w:rFonts w:ascii="Arial" w:cs="Arial" w:eastAsia="Arial" w:hAnsi="Arial"/>
          <w:sz w:val="27"/>
          <w:szCs w:val="27"/>
          <w:color w:val="auto"/>
          <w:vertAlign w:val="superscript"/>
        </w:rPr>
      </w:pPr>
    </w:p>
    <w:p>
      <w:pPr>
        <w:jc w:val="both"/>
        <w:ind w:left="60" w:right="59" w:hanging="10"/>
        <w:spacing w:after="0" w:line="226" w:lineRule="auto"/>
        <w:tabs>
          <w:tab w:leader="none" w:pos="353" w:val="left"/>
        </w:tabs>
        <w:numPr>
          <w:ilvl w:val="0"/>
          <w:numId w:val="3"/>
        </w:numPr>
        <w:rPr>
          <w:rFonts w:ascii="Arial" w:cs="Arial" w:eastAsia="Arial" w:hAnsi="Arial"/>
          <w:sz w:val="27"/>
          <w:szCs w:val="27"/>
          <w:color w:val="auto"/>
          <w:vertAlign w:val="superscript"/>
        </w:rPr>
      </w:pPr>
      <w:r>
        <w:rPr>
          <w:rFonts w:ascii="Arial" w:cs="Arial" w:eastAsia="Arial" w:hAnsi="Arial"/>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4" w:name="page5"/>
    <w:bookmarkEnd w:id="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THREE AND SIX MONTHS ENDED JUNE 30, 2021 AND FOR THE PERIOD FROM JUNE 23, 2020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(INCEPTION) THROUGH JUNE 30, 2020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2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vMerge w:val="restart"/>
          </w:tcPr>
          <w:p>
            <w:pPr>
              <w:jc w:val="center"/>
              <w:ind w:left="44"/>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3"/>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23, 2020 (inception)</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line="202" w:lineRule="exact"/>
              <w:rPr>
                <w:sz w:val="20"/>
                <w:szCs w:val="20"/>
                <w:color w:val="auto"/>
              </w:rPr>
            </w:pPr>
            <w:r>
              <w:rPr>
                <w:rFonts w:ascii="Arial" w:cs="Arial" w:eastAsia="Arial" w:hAnsi="Arial"/>
                <w:sz w:val="16"/>
                <w:szCs w:val="16"/>
                <w:color w:val="auto"/>
              </w:rPr>
              <w:t>Issuance of common stock to Sponsor</w:t>
            </w:r>
            <w:r>
              <w:rPr>
                <w:rFonts w:ascii="Arial" w:cs="Arial" w:eastAsia="Arial" w:hAnsi="Arial"/>
                <w:sz w:val="23"/>
                <w:szCs w:val="23"/>
                <w:color w:val="auto"/>
                <w:vertAlign w:val="superscript"/>
              </w:rPr>
              <w:t>(1)(2)</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5"/>
              </w:rPr>
              <w:t>3,162,500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24,683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2020 (unaudited)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9"/>
        </w:trPr>
        <w:tc>
          <w:tcPr>
            <w:tcW w:w="20" w:type="dxa"/>
            <w:vAlign w:val="bottom"/>
          </w:tcPr>
          <w:p>
            <w:pPr>
              <w:spacing w:after="0"/>
              <w:rPr>
                <w:sz w:val="24"/>
                <w:szCs w:val="24"/>
                <w:color w:val="auto"/>
              </w:rPr>
            </w:pPr>
          </w:p>
        </w:tc>
        <w:tc>
          <w:tcPr>
            <w:tcW w:w="4240" w:type="dxa"/>
            <w:vAlign w:val="bottom"/>
          </w:tcPr>
          <w:p>
            <w:pPr>
              <w:spacing w:after="0"/>
              <w:rPr>
                <w:sz w:val="24"/>
                <w:szCs w:val="24"/>
                <w:color w:val="auto"/>
              </w:rPr>
            </w:pPr>
          </w:p>
        </w:tc>
        <w:tc>
          <w:tcPr>
            <w:tcW w:w="1620" w:type="dxa"/>
            <w:vAlign w:val="bottom"/>
            <w:gridSpan w:val="4"/>
            <w:vMerge w:val="restart"/>
          </w:tcPr>
          <w:p>
            <w:pPr>
              <w:jc w:val="right"/>
              <w:ind w:right="263"/>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jc w:val="center"/>
              <w:ind w:right="4"/>
              <w:spacing w:after="0"/>
              <w:rPr>
                <w:sz w:val="20"/>
                <w:szCs w:val="20"/>
                <w:color w:val="auto"/>
              </w:rPr>
            </w:pPr>
            <w:r>
              <w:rPr>
                <w:rFonts w:ascii="Arial" w:cs="Arial" w:eastAsia="Arial" w:hAnsi="Arial"/>
                <w:sz w:val="14"/>
                <w:szCs w:val="14"/>
                <w:b w:val="1"/>
                <w:bCs w:val="1"/>
                <w:color w:val="auto"/>
                <w:w w:val="96"/>
              </w:rPr>
              <w:t>Additional</w:t>
            </w:r>
          </w:p>
        </w:tc>
        <w:tc>
          <w:tcPr>
            <w:tcW w:w="980" w:type="dxa"/>
            <w:vAlign w:val="bottom"/>
            <w:gridSpan w:val="3"/>
            <w:vMerge w:val="restart"/>
          </w:tcPr>
          <w:p>
            <w:pPr>
              <w:jc w:val="center"/>
              <w:ind w:left="44"/>
              <w:spacing w:after="0"/>
              <w:rPr>
                <w:sz w:val="20"/>
                <w:szCs w:val="20"/>
                <w:color w:val="auto"/>
              </w:rPr>
            </w:pPr>
            <w:r>
              <w:rPr>
                <w:rFonts w:ascii="Arial" w:cs="Arial" w:eastAsia="Arial" w:hAnsi="Arial"/>
                <w:sz w:val="14"/>
                <w:szCs w:val="14"/>
                <w:b w:val="1"/>
                <w:bCs w:val="1"/>
                <w:color w:val="auto"/>
                <w:w w:val="93"/>
              </w:rPr>
              <w:t>Accumulated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jc w:val="center"/>
              <w:ind w:right="8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1620" w:type="dxa"/>
            <w:vAlign w:val="bottom"/>
            <w:tcBorders>
              <w:bottom w:val="single" w:sz="8" w:color="auto"/>
            </w:tcBorders>
            <w:gridSpan w:val="4"/>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jc w:val="center"/>
              <w:ind w:right="24"/>
              <w:spacing w:after="0"/>
              <w:rPr>
                <w:sz w:val="20"/>
                <w:szCs w:val="20"/>
                <w:color w:val="auto"/>
              </w:rPr>
            </w:pPr>
            <w:r>
              <w:rPr>
                <w:rFonts w:ascii="Arial" w:cs="Arial" w:eastAsia="Arial" w:hAnsi="Arial"/>
                <w:sz w:val="14"/>
                <w:szCs w:val="14"/>
                <w:b w:val="1"/>
                <w:bCs w:val="1"/>
                <w:color w:val="auto"/>
                <w:w w:val="94"/>
              </w:rPr>
              <w:t>Paid-in</w:t>
            </w:r>
          </w:p>
        </w:tc>
        <w:tc>
          <w:tcPr>
            <w:tcW w:w="98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tcPr>
          <w:p>
            <w:pPr>
              <w:spacing w:after="0"/>
              <w:rPr>
                <w:sz w:val="12"/>
                <w:szCs w:val="12"/>
                <w:color w:val="auto"/>
              </w:rPr>
            </w:pPr>
          </w:p>
        </w:tc>
        <w:tc>
          <w:tcPr>
            <w:tcW w:w="760" w:type="dxa"/>
            <w:vAlign w:val="bottom"/>
            <w:tcBorders>
              <w:bottom w:val="single" w:sz="8" w:color="auto"/>
            </w:tcBorders>
          </w:tcPr>
          <w:p>
            <w:pPr>
              <w:jc w:val="right"/>
              <w:ind w:right="104"/>
              <w:spacing w:after="0" w:line="142"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43"/>
              <w:spacing w:after="0" w:line="142"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center"/>
              <w:ind w:right="4"/>
              <w:spacing w:after="0" w:line="142"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center"/>
              <w:ind w:right="63"/>
              <w:spacing w:after="0" w:line="142" w:lineRule="exact"/>
              <w:rPr>
                <w:sz w:val="20"/>
                <w:szCs w:val="20"/>
                <w:color w:val="auto"/>
              </w:rPr>
            </w:pPr>
            <w:r>
              <w:rPr>
                <w:rFonts w:ascii="Arial" w:cs="Arial" w:eastAsia="Arial" w:hAnsi="Arial"/>
                <w:sz w:val="14"/>
                <w:szCs w:val="14"/>
                <w:b w:val="1"/>
                <w:bCs w:val="1"/>
                <w:color w:val="auto"/>
                <w:w w:val="93"/>
              </w:rPr>
              <w:t>Deficit</w:t>
            </w:r>
          </w:p>
        </w:tc>
        <w:tc>
          <w:tcPr>
            <w:tcW w:w="140" w:type="dxa"/>
            <w:vAlign w:val="bottom"/>
            <w:tcBorders>
              <w:bottom w:val="single" w:sz="8" w:color="CCEEFF"/>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104"/>
              <w:spacing w:after="0" w:line="142" w:lineRule="exact"/>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40" w:type="dxa"/>
            <w:vAlign w:val="bottom"/>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December 31, 2020</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3,162,500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24,683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4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March 31, 2021 (unaudited)</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3,162,500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317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24,683</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(1,000)</w:t>
            </w: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24,000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40" w:type="dxa"/>
            <w:vAlign w:val="bottom"/>
            <w:shd w:val="clear" w:color="auto" w:fill="CCEEFF"/>
          </w:tcPr>
          <w:p>
            <w:pPr>
              <w:ind w:left="80"/>
              <w:spacing w:after="0"/>
              <w:rPr>
                <w:sz w:val="20"/>
                <w:szCs w:val="20"/>
                <w:color w:val="auto"/>
              </w:rPr>
            </w:pPr>
            <w:r>
              <w:rPr>
                <w:rFonts w:ascii="Arial" w:cs="Arial" w:eastAsia="Arial" w:hAnsi="Arial"/>
                <w:sz w:val="16"/>
                <w:szCs w:val="16"/>
                <w:color w:val="auto"/>
              </w:rPr>
              <w:t>Net loss</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42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at June 30, 2021 (unaudited)</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95"/>
              </w:rPr>
              <w:t>3,162,500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317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b w:val="1"/>
                <w:bCs w:val="1"/>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24,683</w:t>
            </w:r>
          </w:p>
        </w:tc>
        <w:tc>
          <w:tcPr>
            <w:tcW w:w="28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(1,834)</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6"/>
                <w:szCs w:val="16"/>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rPr>
              <w:t>23,166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4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0" w:right="79" w:hanging="10"/>
        <w:spacing w:after="0" w:line="219" w:lineRule="auto"/>
        <w:tabs>
          <w:tab w:leader="none" w:pos="329"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Includes up to 412,500 shares of common stock subject to forfeiture if the over-allotment option was not exercised in full or in part by the underwriters (see Note 5). On August 18, 2021, the underwriters’ exercised the over-allotment option in full, thus these shares are no longer subject to forfeiture (see Note 6).</w:t>
      </w:r>
    </w:p>
    <w:p>
      <w:pPr>
        <w:spacing w:after="0" w:line="202" w:lineRule="exact"/>
        <w:rPr>
          <w:rFonts w:ascii="Arial" w:cs="Arial" w:eastAsia="Arial" w:hAnsi="Arial"/>
          <w:sz w:val="27"/>
          <w:szCs w:val="27"/>
          <w:color w:val="auto"/>
          <w:vertAlign w:val="superscript"/>
        </w:rPr>
      </w:pPr>
    </w:p>
    <w:p>
      <w:pPr>
        <w:jc w:val="both"/>
        <w:ind w:left="60" w:right="59" w:hanging="10"/>
        <w:spacing w:after="0" w:line="226" w:lineRule="auto"/>
        <w:tabs>
          <w:tab w:leader="none" w:pos="353" w:val="left"/>
        </w:tabs>
        <w:numPr>
          <w:ilvl w:val="0"/>
          <w:numId w:val="4"/>
        </w:numPr>
        <w:rPr>
          <w:rFonts w:ascii="Arial" w:cs="Arial" w:eastAsia="Arial" w:hAnsi="Arial"/>
          <w:sz w:val="27"/>
          <w:szCs w:val="27"/>
          <w:color w:val="auto"/>
          <w:vertAlign w:val="superscript"/>
        </w:rPr>
      </w:pPr>
      <w:r>
        <w:rPr>
          <w:rFonts w:ascii="Arial" w:cs="Arial" w:eastAsia="Arial" w:hAnsi="Arial"/>
          <w:sz w:val="18"/>
          <w:szCs w:val="18"/>
          <w:color w:val="auto"/>
        </w:rPr>
        <w:t>On March 4, 2021, the Company effected a 2.875-for-1 stock split, resulting in 2,875,000 shares of common stock outstanding (see Note 5). On August 10, 2021, the Company effectuated a 1.1-for-1 stock split, resulting in an aggregate of 3,162,500 shares of common stock outstanding (see Note 5). All share and per-share amounts have been retroactively restated to reflect the two stock splits.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5" w:name="page6"/>
    <w:bookmarkEnd w:id="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CHARDAN NEXTECH ACQUISITION 2 CORP.</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3"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For the Period</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4"/>
              </w:rPr>
              <w:t>from June 23,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restart"/>
          </w:tcPr>
          <w:p>
            <w:pPr>
              <w:jc w:val="center"/>
              <w:ind w:right="53"/>
              <w:spacing w:after="0"/>
              <w:rPr>
                <w:sz w:val="20"/>
                <w:szCs w:val="20"/>
                <w:color w:val="auto"/>
              </w:rPr>
            </w:pPr>
            <w:r>
              <w:rPr>
                <w:rFonts w:ascii="Arial" w:cs="Arial" w:eastAsia="Arial" w:hAnsi="Arial"/>
                <w:sz w:val="14"/>
                <w:szCs w:val="14"/>
                <w:b w:val="1"/>
                <w:bCs w:val="1"/>
                <w:color w:val="auto"/>
                <w:w w:val="93"/>
              </w:rPr>
              <w:t>Six Months</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(Inception)</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Ended June 30,</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2"/>
              </w:rPr>
              <w:t>Through June</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38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89"/>
              </w:rPr>
              <w:t>2021</w:t>
            </w:r>
          </w:p>
        </w:tc>
        <w:tc>
          <w:tcPr>
            <w:tcW w:w="2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30, 2020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loss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(834)</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Arial" w:cs="Arial" w:eastAsia="Arial" w:hAnsi="Arial"/>
                <w:sz w:val="18"/>
                <w:szCs w:val="18"/>
                <w:color w:val="auto"/>
              </w:rPr>
              <w:t>Accrued expenses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Net cash used in operating activities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(834)</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Proceeds from promissory note - related party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150,000</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Offering costs paid</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(157,239)</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8"/>
                <w:szCs w:val="18"/>
                <w:b w:val="1"/>
                <w:bCs w:val="1"/>
                <w:color w:val="auto"/>
              </w:rPr>
              <w:t>Net cash used in financing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(7,239)</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(8,073)</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Cash - beginning of period</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00" w:type="dxa"/>
            <w:vAlign w:val="bottom"/>
            <w:gridSpan w:val="2"/>
          </w:tcPr>
          <w:p>
            <w:pPr>
              <w:spacing w:after="0"/>
              <w:rPr>
                <w:sz w:val="20"/>
                <w:szCs w:val="20"/>
                <w:color w:val="auto"/>
              </w:rPr>
            </w:pPr>
            <w:r>
              <w:rPr>
                <w:rFonts w:ascii="Arial" w:cs="Arial" w:eastAsia="Arial" w:hAnsi="Arial"/>
                <w:sz w:val="18"/>
                <w:szCs w:val="18"/>
                <w:b w:val="1"/>
                <w:bCs w:val="1"/>
                <w:color w:val="auto"/>
              </w:rPr>
              <w:t>Cash - end of period</w:t>
            </w:r>
          </w:p>
        </w:tc>
        <w:tc>
          <w:tcPr>
            <w:tcW w:w="180" w:type="dxa"/>
            <w:vAlign w:val="bottom"/>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16,927</w:t>
            </w:r>
          </w:p>
        </w:tc>
        <w:tc>
          <w:tcPr>
            <w:tcW w:w="200" w:type="dxa"/>
            <w:vAlign w:val="bottom"/>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63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2"/>
              </w:rPr>
              <w:t>Deferred offering costs paid by sponsor in exchange for the issuance of common stock</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6" w:name="page7"/>
    <w:bookmarkEnd w:id="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48" w:lineRule="exact"/>
        <w:rPr>
          <w:sz w:val="20"/>
          <w:szCs w:val="20"/>
          <w:color w:val="auto"/>
        </w:rPr>
      </w:pPr>
    </w:p>
    <w:p>
      <w:pPr>
        <w:ind w:left="2580"/>
        <w:spacing w:after="0"/>
        <w:rPr>
          <w:sz w:val="20"/>
          <w:szCs w:val="20"/>
          <w:color w:val="auto"/>
        </w:rPr>
      </w:pPr>
      <w:r>
        <w:rPr>
          <w:rFonts w:ascii="Arial" w:cs="Arial" w:eastAsia="Arial" w:hAnsi="Arial"/>
          <w:sz w:val="18"/>
          <w:szCs w:val="18"/>
          <w:b w:val="1"/>
          <w:bCs w:val="1"/>
          <w:color w:val="auto"/>
        </w:rPr>
        <w:t>CHARDAN NEXTECH ACQUISITION 2 CORP.</w:t>
      </w:r>
    </w:p>
    <w:p>
      <w:pPr>
        <w:spacing w:after="0" w:line="63"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NOTES TO UNAUDITED CONDENSED FINANCIAL STATEMENTS</w:t>
      </w:r>
    </w:p>
    <w:p>
      <w:pPr>
        <w:spacing w:after="0" w:line="27" w:lineRule="exact"/>
        <w:rPr>
          <w:sz w:val="20"/>
          <w:szCs w:val="20"/>
          <w:color w:val="auto"/>
        </w:rPr>
      </w:pPr>
    </w:p>
    <w:p>
      <w:pPr>
        <w:ind w:left="3940"/>
        <w:spacing w:after="0"/>
        <w:rPr>
          <w:sz w:val="20"/>
          <w:szCs w:val="20"/>
          <w:color w:val="auto"/>
        </w:rPr>
      </w:pPr>
      <w:r>
        <w:rPr>
          <w:rFonts w:ascii="Arial" w:cs="Arial" w:eastAsia="Arial" w:hAnsi="Arial"/>
          <w:sz w:val="18"/>
          <w:szCs w:val="18"/>
          <w:b w:val="1"/>
          <w:bCs w:val="1"/>
          <w:color w:val="auto"/>
        </w:rPr>
        <w:t>JUNE 30, 2021</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DESCRIPTION OF ORGANIZATION AND BUSINESS OPERATIONS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Chardan NexTech Acquisition 2 Corp (the “Company”) is a blank check company incorporated in Delaware on June 23, 2020. The Company was formed for the purpose of entering into a merger, share exchange, asset acquisition, share purchase, reorganization or similar business combination with one or more businesses (a “Business Combination”). The Company is not limited to a particular industry or geographic region for purposes of consummating a Business Combination. The Company is an early stage and emerging growth company and, as such, the Company is subject to all of the risks associated with early stage and emerging growth companies.</w:t>
      </w:r>
    </w:p>
    <w:p>
      <w:pPr>
        <w:spacing w:after="0" w:line="192"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As of June 30, 2021, the Company had not yet commenced any operations. All activity through June 30, 2021 relates to the Company’s formation and initial public offering (“Initial Public Offering”) described below, and, subsequent to the Initial Public Offering, identifying a target company for a Business Combination. The Company will not generate any operating revenues until after completion of its initial Business Combination, at the earliest. The Company will generate non-operating income in the form of interest income from the proceeds derived from the Initial Public Offering.</w:t>
      </w:r>
    </w:p>
    <w:p>
      <w:pPr>
        <w:spacing w:after="0" w:line="161"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The registration statement on Form S-1 (the “Registration Statement”) for the Company’s Initial Public Offering was declared effective on August 10, 2021. On August 13, 2021, the Company consummated the Initial Public Offering of 11,000,000 units (the “Units” and, with respect to the common stock, par value $0.0001 per share, of the Company included in the Units sold, the “Public Shares”, and with respect to the warrants of the Company included in the Units sold, the “Public Warrants”), at $10.00 per Unit, generating gross proceeds of $110,000,000, which is discussed in Note 3.</w:t>
      </w:r>
    </w:p>
    <w:p>
      <w:pPr>
        <w:spacing w:after="0" w:line="161"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Simultaneously with the closing of the Initial Public Offering, the Company consummated the sale of 4,361,456 warrants (the “Private Warrants”, together with the Public Warrants, the “Warrants”) at a price of $0.93 per Private Warrant in a private placement to Chardan NexTech 2 Warrant Holdings LLC, a Delaware limited liability company (“Holdings”), an affiliate of Chardan NexTech Investments 2 LLC, a Delaware limited liability company (the “Sponsor”), generating gross proceeds of $4,052,000, which is discussed in Note 4.</w:t>
      </w:r>
    </w:p>
    <w:p>
      <w:pPr>
        <w:spacing w:after="0" w:line="188"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The Company had granted the underwriters in the Initial Public Offering a 45-day option to purchase up to 1,650,000 Units to cover over-allotments, if any (see Note 6). On August 18, 2021, the underwriters fully exercised the over-allotment option and purchased an additional 1,650,000 Units (the “Over-Allotment Units”) at a purchase price of $10.00 per Over-Allotment Unit, generating gross proceeds of $16,500,000, which is discussed in Note 3.</w:t>
      </w:r>
    </w:p>
    <w:p>
      <w:pPr>
        <w:spacing w:after="0" w:line="171"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Simultaneously with the closing of the exercise of the over-allotment option, the Company consummated the sale of 266,402 warrants (the “Over-Allotment Private Warrants”) at a purchase price of $0.93 per Over-Allotment Private Warrant in a private placement to Holdings, generating gross proceeds of $247,500, which is discussed in Note 4.</w:t>
      </w:r>
    </w:p>
    <w:p>
      <w:pPr>
        <w:spacing w:after="0" w:line="16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Transaction costs amounted to $1,080,141 consisting of $500,000 of underwriting fees and $580,141 of other offering costs. In addition, cash of $1,906,239 was held outside of the Trust Account (as defined below) and is available for the payment of offering costs and for working capital purposes.</w:t>
      </w:r>
    </w:p>
    <w:p>
      <w:pPr>
        <w:spacing w:after="0" w:line="184" w:lineRule="exact"/>
        <w:rPr>
          <w:sz w:val="20"/>
          <w:szCs w:val="20"/>
          <w:color w:val="auto"/>
        </w:rPr>
      </w:pPr>
    </w:p>
    <w:p>
      <w:pPr>
        <w:jc w:val="both"/>
        <w:ind w:left="60" w:right="59"/>
        <w:spacing w:after="0" w:line="284" w:lineRule="auto"/>
        <w:rPr>
          <w:sz w:val="20"/>
          <w:szCs w:val="20"/>
          <w:color w:val="auto"/>
        </w:rPr>
      </w:pPr>
      <w:r>
        <w:rPr>
          <w:rFonts w:ascii="Arial" w:cs="Arial" w:eastAsia="Arial" w:hAnsi="Arial"/>
          <w:sz w:val="16"/>
          <w:szCs w:val="16"/>
          <w:color w:val="auto"/>
        </w:rPr>
        <w:t>Following the closing of the Initial Public Offering and over-allotment, an amount of $111,650,000 from the net proceeds of the sale of the Units in the Initial Public Offering and a portion of the proceeds from the sale of the Private Warrants was placed in the trust account (the “Trust Account”) and will be invested only in U.S. government securities, within the meaning set forth in Section 2(a)(16) of the Investment Company Act of 1940, as amended (the “Investment Company Act”), with a maturity of 185 days or in money market funds meeting certain conditions under Rule 2a-7 promulgated under the Investment Company Act which invest only in direct U.S. government treasury obligations, until the earlier of:</w:t>
      </w:r>
    </w:p>
    <w:p>
      <w:pPr>
        <w:spacing w:after="0" w:line="4" w:lineRule="exact"/>
        <w:rPr>
          <w:sz w:val="20"/>
          <w:szCs w:val="20"/>
          <w:color w:val="auto"/>
        </w:rPr>
      </w:pPr>
    </w:p>
    <w:p>
      <w:pPr>
        <w:ind w:left="60" w:right="59" w:hanging="10"/>
        <w:spacing w:after="0" w:line="260" w:lineRule="auto"/>
        <w:tabs>
          <w:tab w:leader="none" w:pos="283"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completion of a Business Combination and (ii) the distribution of the funds held in the Trust Account, as described below.</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7" w:name="page8"/>
    <w:bookmarkEnd w:id="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1500" w:right="1660"/>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59"/>
        <w:spacing w:after="0" w:line="288" w:lineRule="auto"/>
        <w:rPr>
          <w:sz w:val="20"/>
          <w:szCs w:val="20"/>
          <w:color w:val="auto"/>
        </w:rPr>
      </w:pPr>
      <w:r>
        <w:rPr>
          <w:rFonts w:ascii="Arial" w:cs="Arial" w:eastAsia="Arial" w:hAnsi="Arial"/>
          <w:sz w:val="16"/>
          <w:szCs w:val="16"/>
          <w:color w:val="auto"/>
        </w:rPr>
        <w:t>The Company will provide its holders of the outstanding Public Shares (the “public stockholders”) with the opportunity to redeem all or a portion of their Public Shares upon the completion of a Business Combination either (i) in connection with a stockholder meeting called to approve the Business Combination or (ii) by means of a tender offer. The decision as to whether the Company will seek stockholder approval of a Business Combination or conduct a tender offer will be made by the Company, solely in its discretion. The public stockholders will be entitled to redeem their Public Shares for a pro rata portion of the amount then in the Trust Account (initially anticipated to be $10.15 per Public Share, plus any pro rata interest earned on the funds held in the Trust Account and not previously released to the Company to pay its tax obligations). The Public Shares subject to redemption will be recorded at redemption value and classified as temporary equity upon the completion of the Initial Public Offering in accordance with the Financial Accounting Standards Board’s (“FASB”) Accounting Standards Codification (“ASC”) Topic 480, Distinguishing Liabilities from Equity.</w:t>
      </w:r>
    </w:p>
    <w:p>
      <w:pPr>
        <w:spacing w:after="0" w:line="168" w:lineRule="exact"/>
        <w:rPr>
          <w:sz w:val="20"/>
          <w:szCs w:val="20"/>
          <w:color w:val="auto"/>
        </w:rPr>
      </w:pPr>
    </w:p>
    <w:p>
      <w:pPr>
        <w:jc w:val="both"/>
        <w:ind w:left="60" w:right="59"/>
        <w:spacing w:after="0" w:line="283" w:lineRule="auto"/>
        <w:rPr>
          <w:sz w:val="20"/>
          <w:szCs w:val="20"/>
          <w:color w:val="auto"/>
        </w:rPr>
      </w:pPr>
      <w:r>
        <w:rPr>
          <w:rFonts w:ascii="Arial" w:cs="Arial" w:eastAsia="Arial" w:hAnsi="Arial"/>
          <w:sz w:val="16"/>
          <w:szCs w:val="16"/>
          <w:color w:val="auto"/>
        </w:rPr>
        <w:t>The Company will proceed with a Business Combination only if the Company has net tangible assets of at least $5,000,001 either prior to or upon such consummation of a Business Combination and, if the Company seeks stockholder approval, a majority of the shares voted are voted in favor of the Business Combination. If a stockholder vote is not required by law and the Company does not decide to hold a stockholder vote for business or other reasons, the Company will, pursuant to its amended and restated certificate of incorporation, conduct the redemptions pursuant to the tender offer rules of the U.S. Securities and Exchange Commission (“SEC”) and file tender offer documents with the SEC prior to completing a Business Combination. If, however, stockholder approval of the transaction is required by law, or the Company decides to obtain stockholder approval for business or other reasons, the Company will offer to redeem shares in conjunction with a proxy solicitation pursuant to the proxy rules and not pursuant to the tender offer rules. If the Company seeks stockholder approval in connection with a Business Combination, the Sponsor has agreed to vote its Founder Shares (as defined in Note</w:t>
      </w:r>
    </w:p>
    <w:p>
      <w:pPr>
        <w:spacing w:after="0" w:line="5" w:lineRule="exact"/>
        <w:rPr>
          <w:sz w:val="20"/>
          <w:szCs w:val="20"/>
          <w:color w:val="auto"/>
        </w:rPr>
      </w:pPr>
    </w:p>
    <w:p>
      <w:pPr>
        <w:jc w:val="both"/>
        <w:ind w:left="60" w:right="59" w:hanging="10"/>
        <w:spacing w:after="0" w:line="255" w:lineRule="auto"/>
        <w:tabs>
          <w:tab w:leader="none" w:pos="308" w:val="left"/>
        </w:tabs>
        <w:numPr>
          <w:ilvl w:val="0"/>
          <w:numId w:val="6"/>
        </w:numPr>
        <w:rPr>
          <w:rFonts w:ascii="Arial" w:cs="Arial" w:eastAsia="Arial" w:hAnsi="Arial"/>
          <w:sz w:val="18"/>
          <w:szCs w:val="18"/>
          <w:color w:val="auto"/>
        </w:rPr>
      </w:pPr>
      <w:r>
        <w:rPr>
          <w:rFonts w:ascii="Arial" w:cs="Arial" w:eastAsia="Arial" w:hAnsi="Arial"/>
          <w:sz w:val="18"/>
          <w:szCs w:val="18"/>
          <w:color w:val="auto"/>
        </w:rPr>
        <w:t>and any Public Shares purchased during or after the Initial Public Offering in favor of approving a Business Combination. Additionally, each public stockholder may elect to redeem their Public Shares irrespective of whether they vote for or against the proposed transaction.</w:t>
      </w:r>
    </w:p>
    <w:p>
      <w:pPr>
        <w:spacing w:after="0" w:line="190"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Notwithstanding the above, if the Company seeks stockholder approval of a Business Combination and it does not conduct redemptions pursuant to the tender offer rules, the amended and restated certificate of incorporation provides that a public stockholder, together with any affiliate of such stockholder or any other person with whom such stockholder is acting in concert or as a “group” (as defined under Section 13 of the Securities Exchange Act of 1934, as amended (the “Exchange Act”)), will be restricted from redeeming its shares with respect to more than an aggregate of 15% or more of the Public Shares, without the prior consent of the Company.</w:t>
      </w:r>
    </w:p>
    <w:p>
      <w:pPr>
        <w:spacing w:after="0" w:line="178"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The Company will have 12 months or August 13, 2022, from the closing of the Initial Public Offering to consummate an initial Business Combination. However, if the Company anticipates that it may not be able to consummate an initial Business Combination within 12 months, the Company’s insiders or their affiliates may, but are not obligated to, extend the period of time to consummate a Business Combination up to two times by an additional three months each time (for a total of up to 18 months, or February 13, 2022, to complete a Business Combination). If the Company is unable to consummate an initial Business Combination within the above time period, the Company will distribute the aggregate amount then on deposit in the Trust Account, pro rata to the Company’s public stockholders, by way of the redemption of their shares and thereafter cease all operations except for the purposes of winding up of the Company’s affairs. In such event, the warrants will expire and be worthless.</w:t>
      </w:r>
    </w:p>
    <w:p>
      <w:pPr>
        <w:spacing w:after="0" w:line="1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initial stockholders have agreed to waive their redemption rights with respect to any shares they own in connection with the consummation of the initial Business Combination, including their Founder Shares and Public Shares that they purchase during or after the offering, if any. In addition, the initial stockholders have agreed to waive their rights to liquidating distributions with respect to their Founder Shares if the Company fails to consummate an initial Business Combination within 18 months (assuming both of the three-month extensions were executed) from the closing of this offering. However, if the initial stockholders acquire Public Shares in or after the Initial Public Offering, they will be entitled to receive liquidating distributions with respect to such Public Shares if the Company fails to consummate an initial Business Combination within the required time period.</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8" w:name="page9"/>
    <w:bookmarkEnd w:id="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6"/>
          <w:szCs w:val="16"/>
          <w:color w:val="auto"/>
        </w:rPr>
        <w:t>In order to protect the amounts held in the Trust Account, the Sponsor has agreed to be liable to the Company if and to the extent any claims by a third party (other than the Company’s independent registered accounting firm) for services rendered or products sold to the Company, or a prospective target business with which the Company has discussed entering into a transaction agreement, reduce the amount of funds in the Trust Account to below (1) $10.15 per Public Share or (2) the actual amount per Public Share held in the Trust Account as of the date of the liquidation of the Trust Account due to reductions in the value of the trust assets, in each case net of the interest which may be withdrawn to pay the Company’s taxes, provided that such liability will not apply to any claims by a third party or prospective target business who executed a waiver of any and all rights to the monies held in the Trust Account (whether or not such waiver is enforceable) nor will it apply to any claims under the Company’s indemnity of the underwriters of the Initial Public Offering against certain liabilities, including liabilities under the Securities Act of 1933, as amended (the “Securities Act”). The Company will seek to reduce the possibility that the Sponsor will have to indemnify the Trust Account due to claims of creditors by endeavoring to have all vendors, service providers (except for the Company’s independent registered public accounting firm), prospective target businesses or other entities with which the Company does business, execute agreements with the Company waiving any right, title, interest or claim of any kind in or to monies held in the Trust Account.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and Uncertainties</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Management continues to evaluate the impact of the COVID-19 pandemic on the industry and has concluded that while it is reasonably possible that the virus could have a negative effect on the Company’s financial position, results of its operations, and/or search for a prospective partner company, the specific impact is not readily determinable as of the date of these financial statements. The financial statements do not include any adjustments that might result from the outcome of this uncertainty.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The accompanying condensed financial statements of the Company are presented in conformity with accounting principles generally accepted in the United States of America (“GAAP”) and pursuant to the rules and regulations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comprehensive presentation of financial position, results of operations, or cash flows. In the opinion of management, the accompanying condensed financial statements include all adjustments, consisting of a normal recurring nature, which are necessary for a fair presentation of the financial position, operating results and cash flows for the periods presented. The accompanying condensed financial statements should be read in conjunction with the Company’s final prospectus for its Initial Public Offering as filed with the SEC on August 12, 2021, as well as the Company’s Current Reports on Form 8-K, as filed with the SEC on August 13, 2021, August 19, 2021 and August 23, 2021. The interim results for the three and six months ended June 30, 2021 are not necessarily indicative of the results to be expected for the year ending December 31, 2021 or for any future periods.</w:t>
      </w:r>
    </w:p>
    <w:p>
      <w:pPr>
        <w:spacing w:after="0" w:line="16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9" w:name="page10"/>
    <w:bookmarkEnd w:id="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59"/>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periods.</w:t>
      </w:r>
    </w:p>
    <w:p>
      <w:pPr>
        <w:spacing w:after="0" w:line="165" w:lineRule="exact"/>
        <w:rPr>
          <w:sz w:val="20"/>
          <w:szCs w:val="20"/>
          <w:color w:val="auto"/>
        </w:rPr>
      </w:pPr>
    </w:p>
    <w:p>
      <w:pPr>
        <w:jc w:val="both"/>
        <w:ind w:left="60" w:right="59"/>
        <w:spacing w:after="0" w:line="279" w:lineRule="auto"/>
        <w:rPr>
          <w:sz w:val="20"/>
          <w:szCs w:val="20"/>
          <w:color w:val="auto"/>
        </w:rPr>
      </w:pPr>
      <w:r>
        <w:rPr>
          <w:rFonts w:ascii="Arial" w:cs="Arial" w:eastAsia="Arial" w:hAnsi="Arial"/>
          <w:sz w:val="17"/>
          <w:szCs w:val="17"/>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significantly from those estimates.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jc w:val="both"/>
        <w:ind w:left="60" w:right="79"/>
        <w:spacing w:after="0" w:line="342" w:lineRule="auto"/>
        <w:rPr>
          <w:sz w:val="20"/>
          <w:szCs w:val="20"/>
          <w:color w:val="auto"/>
        </w:rPr>
      </w:pPr>
      <w:r>
        <w:rPr>
          <w:rFonts w:ascii="Arial" w:cs="Arial" w:eastAsia="Arial" w:hAnsi="Arial"/>
          <w:sz w:val="16"/>
          <w:szCs w:val="16"/>
          <w:color w:val="auto"/>
        </w:rPr>
        <w:t>The Company considers all short-term investments with an original maturity of three months or less when purchased to be cash equivalents. The Company did not have any cash equivalents as of June 30, 2021 and December 31, 2020.</w:t>
      </w:r>
    </w:p>
    <w:p>
      <w:pPr>
        <w:spacing w:after="0" w:line="12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Deferred Offering Costs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Deferred offering costs consist of legal, accounting and other expenses incurred through the balance sheet date that are directly related to the Initial Public Offering. Offering costs were allocated to the separable financial instruments issued in the Initial Public Offering based on a relative fair value basis, compared to total proceeds received. Offering costs associated with warrant liabilities were expensed as incurred in the condensed statements of operations. Offering costs associated with the common stock issued were charged to equity upon the completion of the Initial Public Offering and over-allotment.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The Company complies with the accounting and reporting requirements of ASC Topic 740, Income Taxes (“ASC 740”), which requires an asset and liability approach to financial accounting and reporting for income taxes. Deferred income tax assets and liabilities are computed for differences between the financial statement and tax bases of assets and liabilities that will result in future taxable or deductible amounts, based on enacted tax laws and rates applicable to the periods in which the differences are expected to affect taxable income. Valuation allowances are established, when necessary, to reduce deferred tax assets to the amount expected to be realized. Deferred tax assets were deemed to be de minimis as of June 30, 2021 and December 31, 2020.</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0" w:name="page11"/>
    <w:bookmarkEnd w:id="1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June 30,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The provision for income taxes was deemed to be de minimis for the three and six months ended June 30, 2021 and for the period June 23, 2020 (inception) through June 30, 2020.</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Net Loss Per Common Stock</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412,500 shares of common stock that are subject to forfeiture if the over-allotment option is not exercised by the underwriter (see Note 5). At June 30, 2021 and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periods presented.</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Concentration of Credit Risk</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a cash account in a financial institution, which, at times, may exceed the Federal Depository Insurance Corporation coverage of $250,000. The Company has not experienced losses on this account and management believes the Company is not exposed to significant risks on such account.</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FASB ASC Topic 820, Fair Value Measurement (“ASC 820”), approximate the carrying amounts represented in the accompanying balance sheet, primarily due to their short-term nature.</w:t>
      </w:r>
    </w:p>
    <w:p>
      <w:pPr>
        <w:spacing w:after="0" w:line="184"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Company applies ASC 820, which establishes a framework for measuring fair value and clarifies the definition of fair value within that framework. ASC 820 defines fair value as an exit price, which is the price that would be received for an asset or paid to transfer a liability in the Company’s principal or most advantageous market in an orderly transaction between market participants on the measurement date. The fair value hierarchy established in ASC 820 generally requires an entity to maximize the use of observable inputs and minimize the use of unobservable inputs when measuring fair value. Observable inputs reflect the assumptions that market participants would use in pricing the asset or liability and are developed based on market data obtained from sources independent of the reporting entity. Unobservable inputs reflect the entity’s own assumptions based on market data and the entity’s judgments about the assumptions that market participants would use in pricing the asset or liability and are to be developed based on the best information available in the circumstances.</w:t>
      </w:r>
    </w:p>
    <w:p>
      <w:pPr>
        <w:spacing w:after="0" w:line="185" w:lineRule="exact"/>
        <w:rPr>
          <w:sz w:val="20"/>
          <w:szCs w:val="20"/>
          <w:color w:val="auto"/>
        </w:rPr>
      </w:pPr>
    </w:p>
    <w:p>
      <w:pPr>
        <w:jc w:val="both"/>
        <w:ind w:left="60" w:right="59"/>
        <w:spacing w:after="0" w:line="308" w:lineRule="auto"/>
        <w:rPr>
          <w:sz w:val="20"/>
          <w:szCs w:val="20"/>
          <w:color w:val="auto"/>
        </w:rPr>
      </w:pPr>
      <w:r>
        <w:rPr>
          <w:rFonts w:ascii="Arial" w:cs="Arial" w:eastAsia="Arial" w:hAnsi="Arial"/>
          <w:sz w:val="17"/>
          <w:szCs w:val="17"/>
          <w:color w:val="auto"/>
        </w:rPr>
        <w:t>Level 1 — Assets and liabilities with unadjusted, quoted prices listed on active market exchanges. Inputs to the fair value measurement are observable inputs, such as quoted prices in active markets for identical assets or liabilities.</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1" w:name="page12"/>
    <w:bookmarkEnd w:id="1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Level 2 — Inputs to the fair value measurement are determined using prices for recently traded assets and liabilities with similar underlying terms, as well as direct or indirect observable inputs, such as interest rates and yield curves that are observable at commonly quoted intervals.</w:t>
      </w:r>
    </w:p>
    <w:p>
      <w:pPr>
        <w:spacing w:after="0" w:line="184"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Level 3 — Inputs to the fair value measurement are unobservable inputs, such as estimates, assumptions, and valuation techniques when little or no market data exists for the assets or liabilities.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Derivative Financial Instruments</w:t>
      </w:r>
    </w:p>
    <w:p>
      <w:pPr>
        <w:spacing w:after="0" w:line="229" w:lineRule="exact"/>
        <w:rPr>
          <w:sz w:val="20"/>
          <w:szCs w:val="20"/>
          <w:color w:val="auto"/>
        </w:rPr>
      </w:pPr>
    </w:p>
    <w:p>
      <w:pPr>
        <w:jc w:val="both"/>
        <w:ind w:left="60" w:right="59" w:firstLine="324"/>
        <w:spacing w:after="0" w:line="271" w:lineRule="auto"/>
        <w:rPr>
          <w:sz w:val="20"/>
          <w:szCs w:val="20"/>
          <w:color w:val="auto"/>
        </w:rPr>
      </w:pPr>
      <w:r>
        <w:rPr>
          <w:rFonts w:ascii="Arial" w:cs="Arial" w:eastAsia="Arial" w:hAnsi="Arial"/>
          <w:sz w:val="17"/>
          <w:szCs w:val="17"/>
          <w:color w:val="auto"/>
        </w:rPr>
        <w:t xml:space="preserve">The Company evaluates its financial instruments to determine if such instruments are derivatives or contain features that qualify as embedded derivatives in accordance with ASC Topic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(“ASC 815”).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Warrant Liabilities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The Company accounts for warrants as either equity-classified or liability-classified instruments based on an assessment of the warrant’s specific terms and applicable authoritative guidance in ASC 480, Distinguishing Liabilities from Equity (“ASC 480”) and ASC 815. The assessment considers whether the warrants are freestanding financial instruments pursuant to ASC 480, meet the definition of a liability pursuant to ASC 480, and whether the warrants meet all of the requirements for equity classification under ASC 815, including whether the warrants are indexed to the Company’s own common stock, among other conditions for equity classification. This assessment, which requires the use of professional judgment, is conducted at the time of warrant issuance and as of each subsequent quarterly period end date while the warrants are outstanding.</w:t>
      </w:r>
    </w:p>
    <w:p>
      <w:pPr>
        <w:spacing w:after="0" w:line="192"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For issued or modified warrants that meet all of the criteria for equity classification, the warrants are required to be recorded as a component of additional paid-in capital at the time of issuance. For issued or modified warrants that do not meet all the criteria for equity classification, the warrants are required to be recorded at their initial fair value on the date of issuance, and each balance sheet date thereafter. Changes in the estimated fair value of the warrants will be recognized as a non-cash gain or loss on the statements of operations.</w:t>
      </w:r>
    </w:p>
    <w:p>
      <w:pPr>
        <w:spacing w:after="0" w:line="188"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 xml:space="preserve">The Company will account for the Private Warrants issued concurrently in connection with the Initial Public Offering in accordance with ASC 815-40, </w:t>
      </w:r>
      <w:r>
        <w:rPr>
          <w:rFonts w:ascii="Arial" w:cs="Arial" w:eastAsia="Arial" w:hAnsi="Arial"/>
          <w:sz w:val="17"/>
          <w:szCs w:val="17"/>
          <w:i w:val="1"/>
          <w:iCs w:val="1"/>
          <w:color w:val="auto"/>
        </w:rPr>
        <w:t>Derivatives and Hedging — Contracts in Entity’s Own Equity</w:t>
      </w:r>
      <w:r>
        <w:rPr>
          <w:rFonts w:ascii="Arial" w:cs="Arial" w:eastAsia="Arial" w:hAnsi="Arial"/>
          <w:sz w:val="17"/>
          <w:szCs w:val="17"/>
          <w:color w:val="auto"/>
        </w:rPr>
        <w:t xml:space="preserve"> (“ASC 815”), under which the Private Warrants will not meet the criteria for equity classification and must be recorded as liabilities. As the Private Warrants meet the definition of a derivative as contemplated in ASC 815, the Private Warrants will be measured at fair value at inception and at each reporting date in accordance with ASC 820, Fair Value Measurement, with changes in fair value recognized in the statements of operations in the period of change.</w:t>
      </w:r>
    </w:p>
    <w:p>
      <w:pPr>
        <w:spacing w:after="0" w:line="178"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The Public Warrants are not precluded from equity classification, and will be accounted for as such on the date of issuance, and each balance sheet date thereafter.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2" w:name="page13"/>
    <w:bookmarkEnd w:id="1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Standards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Standards Update (“ASU”) 2020-06, </w:t>
      </w:r>
      <w:r>
        <w:rPr>
          <w:rFonts w:ascii="Arial" w:cs="Arial" w:eastAsia="Arial" w:hAnsi="Arial"/>
          <w:sz w:val="17"/>
          <w:szCs w:val="17"/>
          <w:i w:val="1"/>
          <w:iCs w:val="1"/>
          <w:color w:val="auto"/>
        </w:rPr>
        <w:t>Debt — Debt with Conversion and Other Options (Subtopic 470-20) and Derivatives and Hedging — Contracts 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Entity’s Own Equity (Subtopic 815-40) </w:t>
      </w:r>
      <w:r>
        <w:rPr>
          <w:rFonts w:ascii="Arial" w:cs="Arial" w:eastAsia="Arial" w:hAnsi="Arial"/>
          <w:sz w:val="17"/>
          <w:szCs w:val="17"/>
          <w:color w:val="auto"/>
        </w:rPr>
        <w:t>(“ASU 2020-06”) to simplify accounting for certain financial instruments. ASU</w:t>
      </w:r>
      <w:r>
        <w:rPr>
          <w:rFonts w:ascii="Arial" w:cs="Arial" w:eastAsia="Arial" w:hAnsi="Arial"/>
          <w:sz w:val="17"/>
          <w:szCs w:val="17"/>
          <w:i w:val="1"/>
          <w:iCs w:val="1"/>
          <w:color w:val="auto"/>
        </w:rPr>
        <w:t xml:space="preserve"> </w:t>
      </w:r>
      <w:r>
        <w:rPr>
          <w:rFonts w:ascii="Arial" w:cs="Arial" w:eastAsia="Arial" w:hAnsi="Arial"/>
          <w:sz w:val="17"/>
          <w:szCs w:val="17"/>
          <w:color w:val="auto"/>
        </w:rPr>
        <w:t>2020-06 eliminates the current models that require separation of beneficial conversion and cash conversion features from convertible instruments and simplifies the derivative scope exception guidance pertaining to equity classification of contracts in an entity’s own equity. The new standard also introduces additional disclosures for convertible debt and freestanding instruments that are indexed to and settled in an entity’s own equity. ASU 2020-06 amends the diluted earnings per share guidance, including the requirement to use the if-converted method for all convertible instruments. ASU 2020-06 is effective January 1, 2022, and should be applied on a full or modified retrospective basis, with early adoption permitted beginning on January 1, 2021. The Company is currently assessing the impact, if any, that ASU 2020-06 would have on its financial position, results of operations or cash flows.</w:t>
      </w:r>
    </w:p>
    <w:p>
      <w:pPr>
        <w:spacing w:after="0" w:line="182" w:lineRule="exact"/>
        <w:rPr>
          <w:sz w:val="20"/>
          <w:szCs w:val="20"/>
          <w:color w:val="auto"/>
        </w:rPr>
      </w:pPr>
    </w:p>
    <w:p>
      <w:pPr>
        <w:jc w:val="both"/>
        <w:ind w:left="60" w:right="79"/>
        <w:spacing w:after="0" w:line="308" w:lineRule="auto"/>
        <w:rPr>
          <w:sz w:val="20"/>
          <w:szCs w:val="20"/>
          <w:color w:val="auto"/>
        </w:rPr>
      </w:pPr>
      <w:r>
        <w:rPr>
          <w:rFonts w:ascii="Arial" w:cs="Arial" w:eastAsia="Arial" w:hAnsi="Arial"/>
          <w:sz w:val="17"/>
          <w:szCs w:val="17"/>
          <w:color w:val="auto"/>
        </w:rPr>
        <w:t>The Company’s management does not believe that any recently issued, but not yet effective, accounting standards, if currently adopted, would have a material effect on the accompanying condensed financial statements.</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INITIAL PUBLIC OFFERING</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The Registration Statement for the Company’s Initial Public Offering was declared effective on August 10, 2021. On August 13, 2021, the Company completed its Initial Public Offering of 11,000,000 Units, at $10.00 per Unit, generating gross proceeds of $110,000,000. Each Unit consisted of one Public Share and three-quarters of one Public Warrant. Each Public Warrant entitles the holder to purchase one share of common stock at an exercise price of $11.50 per whole share (see Note 7).</w:t>
      </w:r>
    </w:p>
    <w:p>
      <w:pPr>
        <w:spacing w:after="0" w:line="188"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color w:val="auto"/>
        </w:rPr>
        <w:t>The Company had granted the underwriters in the Initial Public Offering a 45-day option to purchase up to 1,650,000 additional Units to cover over-allotments, if any (see Note 6). On August 18, 2021, the underwriters fully exercised the over-allotment option and purchased 1,650,000 Over-Allotment Units at a purchase price of $10.00 per Over-Allotment Unit, generating gross proceeds of $16,500,000.</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PRIVATE PLACEMENT</w:t>
      </w:r>
    </w:p>
    <w:p>
      <w:pPr>
        <w:spacing w:after="0" w:line="229"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Simultaneously with the closing of the Initial Public Offering, the Holdings purchased an aggregate of 4,361,456 Private Warrants at a price of $0.93 per Private Warrant ( $4,052,000 in the aggregate). Each Private Warrant entitles the holder to purchase one share of common stock at an exercise price of $11.50 per share (see Note 7).</w:t>
      </w:r>
    </w:p>
    <w:p>
      <w:pPr>
        <w:spacing w:after="0" w:line="165"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proceeds from the Private Warrants were added to the proceeds from the Initial Public Offering to be held in the Trust Account. If the Company does not complete a Business Combination within 12 months (or up to 18 months if the Company’s time to complete a Business Combination is extended), the proceeds of the sale of the Private Warrants will be used to fund the redemption of the Public Shares (subject to the requirements of applicable law) and the Private Warrants will expire worthless. The Company classifies the outstanding Private Warrants as warrant liabilities on the balance sheet in accordance with the guidance contained in ASC 815-40.</w:t>
      </w:r>
    </w:p>
    <w:p>
      <w:pPr>
        <w:spacing w:after="0" w:line="192"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(see Note 6), the Company consummated the sale of 266,402 Over-Allotment Private Warrants at a purchase price of $0.93 per Over-Allotment Private Warrant in a private placement to Holdings, generating gross proceeds of $247,500.</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3" w:name="page14"/>
    <w:bookmarkEnd w:id="1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RELATED PARTY TRANSACTIONS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Founder Shares</w:t>
      </w:r>
    </w:p>
    <w:p>
      <w:pPr>
        <w:spacing w:after="0" w:line="229" w:lineRule="exact"/>
        <w:rPr>
          <w:sz w:val="20"/>
          <w:szCs w:val="20"/>
          <w:color w:val="auto"/>
        </w:rPr>
      </w:pPr>
    </w:p>
    <w:p>
      <w:pPr>
        <w:jc w:val="both"/>
        <w:ind w:left="60" w:right="59"/>
        <w:spacing w:after="0" w:line="270" w:lineRule="auto"/>
        <w:rPr>
          <w:sz w:val="20"/>
          <w:szCs w:val="20"/>
          <w:color w:val="auto"/>
        </w:rPr>
      </w:pPr>
      <w:r>
        <w:rPr>
          <w:rFonts w:ascii="Arial" w:cs="Arial" w:eastAsia="Arial" w:hAnsi="Arial"/>
          <w:sz w:val="17"/>
          <w:szCs w:val="17"/>
          <w:color w:val="auto"/>
        </w:rPr>
        <w:t>On June 23, 2020, the Company issued 1,000,000 shares of common stock for an aggregate price of $25,000 (the “Founder Shares”). On March 4, 2021, the Company effected a 2.875-for-1 stock split of its issued and outstanding shares of common stock, resulting in an aggregate of 2,875,000 shares of common stock issued and outstanding (see Note 8). On August 10, 2021, the Company effectuated a 1.1-for-1 stock split, resulting in an aggregate of 3,162,500 shares of common stock outstanding (see Note 8). Shares and the associated amounts have been retroactively restated in these financial statements to reflect the two stock splits. The Founder Shares include an aggregate of up to 412,500 shares of common stock subject to forfeiture by the initial stockholders to the extent that the underwriters’ over-allotment is not exercised in full or in part, so that the initial stockholders will collectively own, on an as-converted basis, 20% of the Company’s issued and outstanding shares after the Initial Public Offering.</w:t>
      </w:r>
    </w:p>
    <w:p>
      <w:pPr>
        <w:spacing w:after="0" w:line="1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On August 18, 2021, the underwriters’ exercised the over-allotment option in full, thus the Founder Shares are no longer subject to forfeiture (see Note 6).</w:t>
      </w:r>
    </w:p>
    <w:p>
      <w:pPr>
        <w:spacing w:after="0" w:line="170"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With certain limited exceptions, 50% of the Founder Shares will not be transferred, assigned, sold or released from escrow until the earlier of (i) six months after the date of the consummation of a Business Combination or (ii) the date on which the closing price of the Company’s shares of common stock equals or exceeds $12.50 per share (as adjusted for stock splits) six months after the date of the consummation of a Business Combination, or earlier, in either case, if, subsequent to a Business Combination, the Company consummates a subsequent liquidation, merger, stock exchange or other similar transaction which results in all of the stockholders having the right to exchange their shares of common stock for cash, securities or other property.</w:t>
      </w:r>
    </w:p>
    <w:p>
      <w:pPr>
        <w:spacing w:after="0" w:line="19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Promissory Note — Related Party</w:t>
      </w:r>
    </w:p>
    <w:p>
      <w:pPr>
        <w:spacing w:after="0" w:line="229"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Initial Public Offering pursuant to a promissory note (the “Promissory Note”). Per Amendment No. 1 of the Promissory Note agreement signed on June 29, 2021, the Promissory Note is non-interest bearing and payable entirely on September 30, 2021. As of June 30, 2021 and December 31, 2020, there was $150,000 and $0 outstanding under the Promissory Note, respectively.</w:t>
      </w:r>
    </w:p>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Administrative Support Agreement</w:t>
      </w:r>
    </w:p>
    <w:p>
      <w:pPr>
        <w:spacing w:after="0" w:line="229"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Company entered into an agreement, commencing on the effective date of the Initial Public Offering, to pay an affiliate of the Sponsor a total of $10,000 per month for office space, administrative and support services. Upon completion of a Business Combination or liquidation, the Company will cease paying these monthly fees.</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Loans</w:t>
      </w:r>
    </w:p>
    <w:p>
      <w:pPr>
        <w:spacing w:after="0" w:line="229"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In order to finance transaction costs in connection with an intended initial Business Combination, the Company’s initial stockholders, officers and directors or any of their respective affiliates may, but are not obligated to, loan the Company funds as may be required from time to time or at any time, in whatever amount they deem reasonable in their sole discretion. Each loan would be evidenced by a promissory note. The notes would be paid upon consummation of an initial Business Combination, without interest. Loans made by Chardan Capital Markets, LLC or any of its related persons will not be convertible into any of the Company’s securities and Chardan Capital Markets, LLC and its related persons will have no recourse with respect to their ability to convert their loans into any of the Company’s securities. As of June 30, 2021 and December 31, 2020, the Company had no working capital loans outstanding.</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4" w:name="page15"/>
    <w:bookmarkEnd w:id="1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3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Registration and Stockholder Rights Agreement</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The holders of the Founder Shares and Private Warrants (and any shares of common stock issuable upon the exercise of the Private Warrants) will be entitled to registration rights pursuant to an agreement to be signed prior to or on the effective date of the Initial Public Offering. The holders of a majority of these securities are entitled to make up to two demands that the Company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Private Warrants (and underlying securities) can elect to exercise these registration rights at any time after the Company consummates a Business Combination. In addition, the holders have certain “piggy-back” registration rights with respect to registration statements filed subsequent to the consummation of a Business Combination. The Company will bear the expenses incurred in connection with the filing of any such registration statements.</w:t>
      </w:r>
    </w:p>
    <w:p>
      <w:pPr>
        <w:spacing w:after="0" w:line="18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granted the underwriters a 45-day option to purchase up to 1,650,000 Over-Allotment Units to cover over-allotments at the Initial Public Offering price, less the underwriting discounts and commissions. On August 18, 2021, the underwriters fully exercised the over-allotment option to purchase 1,650,000 Over-Allotment Units at an offering price of $10.00 per Over-Allotment Unit for an aggregate purchase price of $16,500,000. In addition, the underwriters were paid a cash underwriting discount of $500,000 upon the closing of the Initial Public Offering.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Combination Marketing Agreement</w:t>
      </w:r>
    </w:p>
    <w:p>
      <w:pPr>
        <w:spacing w:after="0" w:line="229"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The Company has engaged Chardan Capital Markets, LLC as an advisor in connection with the Company’s Business Combination to assist the Company in holding meetings with the stockholders to discuss the potential Business Combination and the target business’ attributes, introduce the Company to potential investors that are interested in purchasing the Company’s securities, assist the Company in obtaining stockholder approval for the Business Combination and assist the Company with press releases and public filings in connection with the Business Combination. The Company will pay Chardan Capital Markets, LLC a cash fee for such services upon the consummation of the Company’s initial Business Combination in an amount equal to, in the aggregate, 3.5% of the gross proceeds of the Initial Public Offering. As a result, Chardan Capital Markets, LLC will not be entitled to such fee unless the Company consummates the initial Business Combination.</w:t>
      </w:r>
    </w:p>
    <w:p>
      <w:pPr>
        <w:spacing w:after="0" w:line="19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Related Party Extension Loans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discussed in Note 1, the Company may extend the period of time to consummate an initial Business Combination two times, for an additional three months each time (for a total of up to 18 months to complete a Business Combination). In order to extend the time available for the Company to consummate a Business Combination, the initial stockholders or their affiliates or designees must deposit into the Trust Account $1,265,000 ($0.10 per share , or an aggregate of $2,530,000) if extended for each of the full three months), on or prior to the date of the applicable deadline. Any such payments would be made in the form of a loan. The terms of the promissory note to be issued in connection with any such loans have not yet been negotiated. If the Company completes an initial Business Combination, the Company would repay such loaned amounts out of the proceeds of the Trust Account released to the Company. If the Company does not complete an initial Business Combination, the Company will not repay such loans. The initial stockholders and their affiliates or designees are not obligated to fund the Trust Account to extend the time for the Company to complete an initial Business Combination.</w:t>
      </w:r>
    </w:p>
    <w:p>
      <w:pPr>
        <w:sectPr>
          <w:pgSz w:w="11900" w:h="16838" w:orient="portrait"/>
          <w:cols w:equalWidth="0" w:num="1">
            <w:col w:w="9019"/>
          </w:cols>
          <w:pgMar w:left="1440" w:top="6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5" w:name="page16"/>
    <w:bookmarkEnd w:id="15"/>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WARRANTS</w:t>
      </w:r>
    </w:p>
    <w:p>
      <w:pPr>
        <w:spacing w:after="0" w:line="229"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As of June 30, 2021 and December 31, 2020, there are no warrants outstanding. Each whole Public Warrant will entitle the holder to purchase one share of common stock at an exercise price of $11.50 per whole share. Each of the Private Warrants is exercisable to purchase one share of common stock at a price of $11.50 per share, subject to adjustment. The proceeds from the sale of the Private Warrants will be added to the net proceeds from the Initial Public Offering to be held in the Trust Account. If the Company does not complete a Business Combination within 12 months (or up to 18 months if the Company’s time to complete a Business Combination is extended), the proceeds from the sale of the Private Warrants will be used to fund the redemption of the Public Shares (and the Private Warrants will expire worthless). The Warrants provide for a cashless exercise which the Company’s management determined to be a net settlement feature with no obligation to settle in cash. The net shares issued in a cashless exercise are based on the fair value of the Company’s common stock at the time the Warrants are exercised.</w:t>
      </w:r>
    </w:p>
    <w:p>
      <w:pPr>
        <w:spacing w:after="0" w:line="185" w:lineRule="exact"/>
        <w:rPr>
          <w:sz w:val="20"/>
          <w:szCs w:val="20"/>
          <w:color w:val="auto"/>
        </w:rPr>
      </w:pPr>
    </w:p>
    <w:p>
      <w:pPr>
        <w:jc w:val="both"/>
        <w:ind w:left="60" w:right="59"/>
        <w:spacing w:after="0" w:line="286" w:lineRule="auto"/>
        <w:rPr>
          <w:sz w:val="20"/>
          <w:szCs w:val="20"/>
          <w:color w:val="auto"/>
        </w:rPr>
      </w:pPr>
      <w:r>
        <w:rPr>
          <w:rFonts w:ascii="Arial" w:cs="Arial" w:eastAsia="Arial" w:hAnsi="Arial"/>
          <w:sz w:val="17"/>
          <w:szCs w:val="17"/>
          <w:color w:val="auto"/>
        </w:rPr>
        <w:t>Each Warrant shall, when countersigned by the warrant agent, entitle the registered holder to purchase from the Company the number of shares of common stock at $11.50 per share. The Public Warrants may only be exercised for a whole number of shares of common stock by a registered holder. No fractional shares will be issued.</w:t>
      </w:r>
    </w:p>
    <w:p>
      <w:pPr>
        <w:spacing w:after="0" w:line="165"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A Warrant may be exercised only during the period commencing 30 days after the completion of the Company’s initial Business Combination and terminating at 5:00 p.m., New York City time, on the earlier to occur of (i) (A) five years following the completion of the Company’s initial Business Combination with respect to the Public Warrants, and (B) five years from the effective date of the Registration Statement with respect to the Private Warrants purchased by Holdings, provided that once the Private Warrants are not beneficially owned, directly or indirectly, by Chardan Capital Markets, LLC or any of its related persons anymore, the Private Warrants may not be exercised five years following the completion of the Company’s initial Business Combination, and (ii) the date fixed for redemption of the Warrants as provided in Section 6 of this Warrant Agreement (“Expiration Date”). Except with respect to the right to receive the price of $.01 per Warrant (the “Redemption Price”), each Warrant not exercised on or before the Expiration Date shall become void, and all rights thereunder and all rights shall cease at the close of business on the Expiration Date. The Company may extend the duration of the Warrants by delaying the Expiration Date; provided, however, that the Company (i) may not extend the duration of the Private Warrants by delaying the Expiration Date and (ii) will provide written notice of not less than 10 days to registered holders of such extension and that such extension shall be identical in duration among all of the then outstanding Warrants.</w:t>
      </w:r>
    </w:p>
    <w:p>
      <w:pPr>
        <w:spacing w:after="0" w:line="184" w:lineRule="exact"/>
        <w:rPr>
          <w:sz w:val="20"/>
          <w:szCs w:val="20"/>
          <w:color w:val="auto"/>
        </w:rPr>
      </w:pPr>
    </w:p>
    <w:p>
      <w:pPr>
        <w:jc w:val="both"/>
        <w:ind w:left="60" w:right="59"/>
        <w:spacing w:after="0" w:line="291" w:lineRule="auto"/>
        <w:rPr>
          <w:sz w:val="20"/>
          <w:szCs w:val="20"/>
          <w:color w:val="auto"/>
        </w:rPr>
      </w:pPr>
      <w:r>
        <w:rPr>
          <w:rFonts w:ascii="Arial" w:cs="Arial" w:eastAsia="Arial" w:hAnsi="Arial"/>
          <w:sz w:val="16"/>
          <w:szCs w:val="16"/>
          <w:color w:val="auto"/>
        </w:rPr>
        <w:t>The Company is not required to issue any fraction of a share of common stock in connection with the exercise of Warrants, and in any case where the registered holder would be entitled under the terms of the Warrants to receive a fraction of a share of common stock upon the exercise of such registered holder’s Warrants, issue or cause to be issued only the largest whole number of shares of common stock issuable on such exercise (and such fraction of a share of common stock will be disregarded); provided, that if more than one Warrant certificate is presented for exercise at the same time by the same registered holder, the number of whole shares of common stock which shall be issuable upon the exercise thereof shall be computed on the basis of the aggregate number of shares of common stock issuable on exercise of all such Warrants.</w:t>
      </w:r>
    </w:p>
    <w:p>
      <w:pPr>
        <w:spacing w:after="0" w:line="166" w:lineRule="exact"/>
        <w:rPr>
          <w:sz w:val="20"/>
          <w:szCs w:val="20"/>
          <w:color w:val="auto"/>
        </w:rPr>
      </w:pPr>
    </w:p>
    <w:p>
      <w:pPr>
        <w:jc w:val="both"/>
        <w:ind w:left="60" w:right="59"/>
        <w:spacing w:after="0" w:line="271" w:lineRule="auto"/>
        <w:rPr>
          <w:sz w:val="20"/>
          <w:szCs w:val="20"/>
          <w:color w:val="auto"/>
        </w:rPr>
      </w:pPr>
      <w:r>
        <w:rPr>
          <w:rFonts w:ascii="Arial" w:cs="Arial" w:eastAsia="Arial" w:hAnsi="Arial"/>
          <w:sz w:val="17"/>
          <w:szCs w:val="17"/>
          <w:color w:val="auto"/>
        </w:rPr>
        <w:t>The Private Warrants: (i) will be exercisable either for cash or on a cashless basis at the holders option and (ii) will not be redeemable by the Company, in either case as long as the Private Warrants are held by the initial purchasers or any of their permitted transferees (as prescribed in the Subscription Agreement). The Private Warrants may not be sold, transferred, assigned, pledged or hypothecated, or be the subject of any hedging, short sale, derivative, put, or call transaction that would result in the effective economic disposition of, the Private Warrants (or any securities underlying the Private Warrants) for a period of 180 days following the effective date of the Registration Statement to anyone other than any member participating in the Initial Public Offering and the officers or partners thereof, if all securities so transferred remain subject to the lock-up restriction for the remainder of the time period.</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6" w:name="page17"/>
    <w:bookmarkEnd w:id="16"/>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53" w:lineRule="exact"/>
        <w:rPr>
          <w:sz w:val="20"/>
          <w:szCs w:val="20"/>
          <w:color w:val="auto"/>
        </w:rPr>
      </w:pPr>
    </w:p>
    <w:p>
      <w:pPr>
        <w:jc w:val="both"/>
        <w:ind w:left="60" w:right="59"/>
        <w:spacing w:after="0" w:line="269" w:lineRule="auto"/>
        <w:rPr>
          <w:sz w:val="20"/>
          <w:szCs w:val="20"/>
          <w:color w:val="auto"/>
        </w:rPr>
      </w:pPr>
      <w:r>
        <w:rPr>
          <w:rFonts w:ascii="Arial" w:cs="Arial" w:eastAsia="Arial" w:hAnsi="Arial"/>
          <w:sz w:val="17"/>
          <w:szCs w:val="17"/>
          <w:color w:val="auto"/>
        </w:rPr>
        <w:t>All (and not less than all) of the outstanding Warrants may be redeemed, in whole and not in part, at the option of the Company, at any time from and after the Warrants become exercisable, and prior to their expiration, at the office of the warrant agent, at the Redemption Price; provided that the last sales price of the common stock has been equal to or greater than $16.00 per share (subject to adjustment for splits, dividends, recapitalizations and other similar events), for any 10 trading days within a 30 trading day period ending on the third business day prior to the date on which notice of redemption is given and provided further that there is a current registration statement in effect with respect to the shares of common stock underlying the Warrants for each day in the aforementioned 30-day trading period and continuing each day thereafter until the date of redemption. For avoidance of doubt, if and when the warrants become redeemable by the Company, the Company may exercise its redemption right, even if it is unable to register or qualify the shares of common stock for sale under all applicable state securities laws.</w:t>
      </w:r>
    </w:p>
    <w:p>
      <w:pPr>
        <w:spacing w:after="0" w:line="185" w:lineRule="exact"/>
        <w:rPr>
          <w:sz w:val="20"/>
          <w:szCs w:val="20"/>
          <w:color w:val="auto"/>
        </w:rPr>
      </w:pPr>
    </w:p>
    <w:p>
      <w:pPr>
        <w:jc w:val="both"/>
        <w:ind w:left="60" w:right="79"/>
        <w:spacing w:after="0" w:line="259" w:lineRule="auto"/>
        <w:rPr>
          <w:sz w:val="20"/>
          <w:szCs w:val="20"/>
          <w:color w:val="auto"/>
        </w:rPr>
      </w:pPr>
      <w:r>
        <w:rPr>
          <w:rFonts w:ascii="Arial" w:cs="Arial" w:eastAsia="Arial" w:hAnsi="Arial"/>
          <w:sz w:val="18"/>
          <w:szCs w:val="18"/>
          <w:color w:val="auto"/>
        </w:rPr>
        <w:t>The Company accounts for the 4,627,858 Private Warrants issued in connection with the Initial Public Offering in accordance with the guidance contained in ASC 815-40. Such guidance provides that because the private placement warrants do not meet the criteria for equity treatment thereunder, each private placement warrant must be recorded as a liability.</w:t>
      </w:r>
    </w:p>
    <w:p>
      <w:pPr>
        <w:spacing w:after="0" w:line="187"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The Public Warrants are not precluded from equity classification. Equity-classified contracts are initially measured at fair value (or allocated value). Subsequent changes in fair value are not recognized as long as the contracts continue to be classified in equity.</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The accounting treatment of derivative financial instruments requires that the Company record the private placement warrants as derivative liabilities at fair value upon the closing of the Initial Public Offering. This liability is subject to re-measurement at each balance sheet date. With each such re-measurement, the warrant liability will be adjusted to its current fair value, with the change in fair value recognized in the Company’s statement of operations. The Company will reassess the classification at each balance sheet date. If the classification changes as a result of events during the period, the warrants will be reclassified as of the date of the event that causes the reclassification.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STOCKHOLDER’S EQUITY</w:t>
      </w:r>
    </w:p>
    <w:p>
      <w:pPr>
        <w:spacing w:after="0" w:line="229"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8"/>
          <w:szCs w:val="18"/>
          <w:b w:val="1"/>
          <w:bCs w:val="1"/>
          <w:i w:val="1"/>
          <w:iCs w:val="1"/>
          <w:color w:val="auto"/>
        </w:rPr>
        <w:t>Preferred Stock</w:t>
      </w:r>
      <w:r>
        <w:rPr>
          <w:rFonts w:ascii="Arial" w:cs="Arial" w:eastAsia="Arial" w:hAnsi="Arial"/>
          <w:sz w:val="18"/>
          <w:szCs w:val="18"/>
          <w:color w:val="auto"/>
        </w:rPr>
        <w:t>—On June 30, 2021 and December 31, 2020, the Company had no issued or outstanding shares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preferred stock. The Company’s Amended and Restated Certificate of Incorporation authorizes 1,000,000 shares of preferred stock with a par value of $0.0001 per share with such designations, voting and other rights and preferences as may be determined from time to time by the Company’s board of directors.</w:t>
      </w:r>
    </w:p>
    <w:p>
      <w:pPr>
        <w:spacing w:after="0" w:line="187"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b w:val="1"/>
          <w:bCs w:val="1"/>
          <w:i w:val="1"/>
          <w:iCs w:val="1"/>
          <w:color w:val="auto"/>
        </w:rPr>
        <w:t xml:space="preserve">Common stock — </w:t>
      </w:r>
      <w:r>
        <w:rPr>
          <w:rFonts w:ascii="Arial" w:cs="Arial" w:eastAsia="Arial" w:hAnsi="Arial"/>
          <w:sz w:val="17"/>
          <w:szCs w:val="17"/>
          <w:color w:val="auto"/>
        </w:rPr>
        <w:t>The Company is authorized to issue 5,000,000 shares of common stock with a par value of $0.0001 per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 On June 30, 2021 and December 31, 2020, there were 3,162,500 shares of common stock issued and outstanding. Of the 3,162,500 shares of common stock outstanding, up to 412,500 shares are subject to forfeiture to the Company by the initial stockholders for no consideration to the extent that the underwriters’ over-allotment option is not exercised in full or in part, so that the initial stockholders will collectively own 20% of the Company’s issued and outstanding common stock after a planned public offering. On August 18, 2021, the underwriters’ exercised the over-allotment option in full, thus these shares are no longer subject to forfeiture (see Note 6).</w:t>
      </w:r>
    </w:p>
    <w:p>
      <w:pPr>
        <w:spacing w:after="0" w:line="17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Common stockholders of record are entitled to one vote for each share held on all matters to be voted on by stockholders. Unless specified in the Amended and Restated Certificate of Incorporation or bylaws, or as required by applicable law or stock exchange rules, the affirmative vote of a majority of the Company’s shares of common stock that are voted is required to approve any such matter voted on by the Company’s stockholders (other than the election of directors).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7" w:name="page18"/>
    <w:bookmarkEnd w:id="17"/>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left="60" w:right="59"/>
        <w:spacing w:after="0" w:line="266" w:lineRule="auto"/>
        <w:rPr>
          <w:sz w:val="20"/>
          <w:szCs w:val="20"/>
          <w:color w:val="auto"/>
        </w:rPr>
      </w:pPr>
      <w:r>
        <w:rPr>
          <w:rFonts w:ascii="Arial" w:cs="Arial" w:eastAsia="Arial" w:hAnsi="Arial"/>
          <w:sz w:val="18"/>
          <w:szCs w:val="18"/>
          <w:b w:val="1"/>
          <w:bCs w:val="1"/>
          <w:color w:val="auto"/>
        </w:rPr>
        <w:t>CHARDAN NEXTECH ACQUISITION 2 CORP. NOTES TO UNAUDITED CONDENSED FINANCIAL STATEMENTS JUNE 30, 2021</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SUBSEQUENT EVENTS</w:t>
      </w:r>
    </w:p>
    <w:p>
      <w:pPr>
        <w:spacing w:after="0" w:line="229" w:lineRule="exact"/>
        <w:rPr>
          <w:sz w:val="20"/>
          <w:szCs w:val="20"/>
          <w:color w:val="auto"/>
        </w:rPr>
      </w:pPr>
    </w:p>
    <w:p>
      <w:pPr>
        <w:jc w:val="both"/>
        <w:ind w:left="60" w:right="59"/>
        <w:spacing w:after="0" w:line="255" w:lineRule="auto"/>
        <w:rPr>
          <w:sz w:val="20"/>
          <w:szCs w:val="20"/>
          <w:color w:val="auto"/>
        </w:rPr>
      </w:pPr>
      <w:r>
        <w:rPr>
          <w:rFonts w:ascii="Arial" w:cs="Arial" w:eastAsia="Arial" w:hAnsi="Arial"/>
          <w:sz w:val="18"/>
          <w:szCs w:val="18"/>
          <w:color w:val="auto"/>
        </w:rPr>
        <w:t>The Company evaluated subsequent events and transactions that occurred after the balance sheet date up to the date that the condensed financial statements were issued. Other than as described in these condensed financial statements in relation to the Description of Organization and Business Operations (see Note 1), Initial Public Offering (see Note 3), Private Placement (see Note 4), Founder Shares (see Note 5), and underwriters’ exercise of the over-allotment option (see Note 6), the Company did not identify any subsequent events that would have required adjustment or disclosure in the unaudited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18" w:name="page19"/>
    <w:bookmarkEnd w:id="18"/>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right="179"/>
        <w:spacing w:after="0" w:line="282"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66"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References in this report (the “Quarterly Report”) to “we,” “our”, “us,” or the “Company” refer to Chardan NexTech Acquisition 2 Corp., a Delaware corporation. References to our “management” or our “management team” refer to our officers and directors, and references to the “Sponsor” refer to Chardan NexTech Investments 2 LLC, a Delaware limited liability company. The following discussion and analysis of the Company’s financial condition and results of operations should be read in conjunction with the unaudited condensed financial statements and the notes thereto contained elsewhere in this Quarterly Report. Certain information contained in the discussion and analysis set forth below includes forward-looking statements that involve risks and uncertainties.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left="60" w:right="59"/>
        <w:spacing w:after="0" w:line="268" w:lineRule="auto"/>
        <w:rPr>
          <w:sz w:val="20"/>
          <w:szCs w:val="20"/>
          <w:color w:val="auto"/>
        </w:rPr>
      </w:pPr>
      <w:r>
        <w:rPr>
          <w:rFonts w:ascii="Arial" w:cs="Arial" w:eastAsia="Arial" w:hAnsi="Arial"/>
          <w:sz w:val="17"/>
          <w:szCs w:val="17"/>
          <w:color w:val="auto"/>
        </w:rPr>
        <w:t>This Quarterly Report includes “forward-looking statements” that are not historical facts and involve risks and uncertainties that could cause actual results to differ materially from those expected and projected. All statements, other than statements of historical fact included in this Quarterly Report including, without limitation, statements in this “Management’s Discussion and Analysis of Financial Condition and Results of Operations” regarding the Company’s financial position, business strategy and the plans and objectives of management for future operations, are forward-looking statements. Words such as “expect,” “believe,” “anticipate,” “intend,” “estimate,” “seek” and variations and similar words and expressions are intended to identify such forward-looking statements. Such forward-looking statements relate to future events or future performance, but reflect management’s current beliefs, based on information currently available. A number of factors could cause actual events, performance or results to differ materially from the events, performance and results discussed in the forward-looking statements. For information identifying important factors that could cause actual results to differ materially from those anticipated in the forward-looking statements, please refer to the Risk Factors section of the Company’s final prospectus for its Initial Public Offering (as defined below) filed with the U.S. Securities and Exchange Commission (the “SEC”). The Company’s securities filings can be accessed on the EDGAR section of the SEC’s website at www.sec.gov. Except as expressly required by applicable securities law, the Company disclaims any intention or obligation to update or revise any forward-looking statements whether as a result of new information, future events or otherwise.</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left="60" w:right="59"/>
        <w:spacing w:after="0" w:line="290" w:lineRule="auto"/>
        <w:rPr>
          <w:sz w:val="20"/>
          <w:szCs w:val="20"/>
          <w:color w:val="auto"/>
        </w:rPr>
      </w:pPr>
      <w:r>
        <w:rPr>
          <w:rFonts w:ascii="Arial" w:cs="Arial" w:eastAsia="Arial" w:hAnsi="Arial"/>
          <w:sz w:val="16"/>
          <w:szCs w:val="16"/>
          <w:color w:val="auto"/>
        </w:rPr>
        <w:t>We are a blank check company incorporated on June 23, 2020 in Delaware and formed for the purpose of effectuating a merger, capital stock exchange, asset acquisition, stock purchase, reorganization or similar business combination with one or more target businesses, which we refer to throughout this Quarterly Report as our “initial business combination”. We intend to effectuate our initial business combination using cash from the proceeds of our initial public offering (the “Initial Public Offering”) and the private placement of the Private Warrants (as defined below), the proceeds of the sale of our securities in connection with our initial business combination (pursuant to forward purchase agreements or backstop agreements we may enter into following the consummation of the Initial Public Offering or otherwise), shares issued to the owners of the target, debt issued to bank or other lenders or the owners of the target, or a combination of the foregoing.</w:t>
      </w:r>
    </w:p>
    <w:p>
      <w:pPr>
        <w:spacing w:after="0" w:line="16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ind w:left="60" w:right="59"/>
        <w:spacing w:after="0" w:line="272" w:lineRule="auto"/>
        <w:rPr>
          <w:sz w:val="20"/>
          <w:szCs w:val="20"/>
          <w:color w:val="auto"/>
        </w:rPr>
      </w:pPr>
      <w:r>
        <w:rPr>
          <w:rFonts w:ascii="Arial" w:cs="Arial" w:eastAsia="Arial" w:hAnsi="Arial"/>
          <w:sz w:val="17"/>
          <w:szCs w:val="17"/>
          <w:color w:val="auto"/>
        </w:rPr>
        <w:t>We have neither engaged in any operations nor generated any operating revenues to date. Our only activities for the six months ended June 30, 2021 were organizational activities, activities necessary to prepare for the Initial Public Offering, described below, and, after the Initial Public Offering, activities related to identifying a target company for a business combination. We do not expect to generate any operating revenues until after the completion of our initial business combination. We will generate non-operating income in the form of interest income on cash and cash equivalents held after the Initial Public Offering. We incur expenses as a result of being a public company (for legal, financial reporting, accounting and auditing compliance), as well as for due diligence expenses.</w:t>
      </w:r>
    </w:p>
    <w:p>
      <w:pPr>
        <w:spacing w:after="0" w:line="177"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six months ended June 30, 2021, we had net loss of $834, which resulted entirely from formation and operating costs.</w:t>
      </w:r>
    </w:p>
    <w:p>
      <w:pPr>
        <w:sectPr>
          <w:pgSz w:w="11900" w:h="16838" w:orient="portrait"/>
          <w:cols w:equalWidth="0" w:num="1">
            <w:col w:w="9019"/>
          </w:cols>
          <w:pgMar w:left="1440" w:top="611" w:right="1440" w:bottom="1440" w:gutter="0" w:footer="0" w:header="0"/>
        </w:sect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type w:val="continuous"/>
        </w:sectPr>
      </w:pPr>
    </w:p>
    <w:bookmarkStart w:id="19" w:name="page20"/>
    <w:bookmarkEnd w:id="19"/>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period from June 23, 2020 (inception) through June 30, 2021, we had a net loss of $1,000, which resulted entirely from formation and operating costs.</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left="60" w:right="79"/>
        <w:spacing w:after="0" w:line="277" w:lineRule="auto"/>
        <w:rPr>
          <w:sz w:val="20"/>
          <w:szCs w:val="20"/>
          <w:color w:val="auto"/>
        </w:rPr>
      </w:pPr>
      <w:r>
        <w:rPr>
          <w:rFonts w:ascii="Arial" w:cs="Arial" w:eastAsia="Arial" w:hAnsi="Arial"/>
          <w:sz w:val="18"/>
          <w:szCs w:val="18"/>
          <w:color w:val="auto"/>
        </w:rPr>
        <w:t>For the six months ended June 30, 2021, net cash used in operating activities was $834, which was due to our net loss of $834.</w:t>
      </w:r>
    </w:p>
    <w:p>
      <w:pPr>
        <w:spacing w:after="0" w:line="170" w:lineRule="exact"/>
        <w:rPr>
          <w:sz w:val="20"/>
          <w:szCs w:val="20"/>
          <w:color w:val="auto"/>
        </w:rPr>
      </w:pPr>
    </w:p>
    <w:p>
      <w:pPr>
        <w:jc w:val="both"/>
        <w:ind w:left="60" w:right="59"/>
        <w:spacing w:after="0" w:line="277" w:lineRule="auto"/>
        <w:rPr>
          <w:sz w:val="20"/>
          <w:szCs w:val="20"/>
          <w:color w:val="auto"/>
        </w:rPr>
      </w:pPr>
      <w:r>
        <w:rPr>
          <w:rFonts w:ascii="Arial" w:cs="Arial" w:eastAsia="Arial" w:hAnsi="Arial"/>
          <w:sz w:val="18"/>
          <w:szCs w:val="18"/>
          <w:color w:val="auto"/>
        </w:rPr>
        <w:t>For the six months ended June 30, 2021, net cash used in financing activities was $7,239, which was due to proceeds from promissory note - related party of $150,000, offset by offering costs paid of $157,239.</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we had $16,927 in our operating bank account.</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On August 13, 2021, we consummated the Initial Public Offering of 11,000,000 units (the “Units”), at $10.00 per Unit, generating gross proceeds of $110,000,000. Each Unit consisted of one share of common stock, par value $0.001 per share, of the Company (the “Public Shares”) and three-quarters of one redeemable warrant (“Public Warrant”). Each Public Warrant entitles the holder to purchase one share of common stock at an exercise price of $11.50 per whole share.</w:t>
      </w:r>
    </w:p>
    <w:p>
      <w:pPr>
        <w:spacing w:after="0" w:line="157"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Simultaneously with the closing of the Initial Public Offering, Chardan NexTech 2 Warrant Holdings LLC, a Delaware limited liability company and an affiliate of the Sponsor (“Holdings”), purchased an aggregate of 4,361,456 private placement warrants at a price of $0.93 per warrant (the “Private Warrants”) ($4,052,000 in the aggregate). Each Private Warrant entitles the holder to purchase three-fourths of one share of common stock at an exercise price of $11.50 per share.</w:t>
      </w:r>
    </w:p>
    <w:p>
      <w:pPr>
        <w:spacing w:after="0" w:line="157"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On August 18, 2021, the underwriters fully exercised the over-allotment option and, purchased an additional 1,650,000 Units (the “Over-Allotment Units”) at a purchase price of $10.00 per Over-Allotment Unit, generating gross proceeds of $16,500,000.</w:t>
      </w:r>
    </w:p>
    <w:p>
      <w:pPr>
        <w:spacing w:after="0" w:line="184" w:lineRule="exact"/>
        <w:rPr>
          <w:sz w:val="20"/>
          <w:szCs w:val="20"/>
          <w:color w:val="auto"/>
        </w:rPr>
      </w:pPr>
    </w:p>
    <w:p>
      <w:pPr>
        <w:jc w:val="both"/>
        <w:ind w:left="60" w:right="79"/>
        <w:spacing w:after="0" w:line="263" w:lineRule="auto"/>
        <w:rPr>
          <w:sz w:val="20"/>
          <w:szCs w:val="20"/>
          <w:color w:val="auto"/>
        </w:rPr>
      </w:pPr>
      <w:r>
        <w:rPr>
          <w:rFonts w:ascii="Arial" w:cs="Arial" w:eastAsia="Arial" w:hAnsi="Arial"/>
          <w:sz w:val="18"/>
          <w:szCs w:val="18"/>
          <w:color w:val="auto"/>
        </w:rPr>
        <w:t>Simultaneously with the closing of the exercise of the over-allotment option, we consummated the sale of 266,402 warrants (the “Over-Allotment Private Warrants”) at a purchase price of $0.93 per Over-Allotment Private Warrant in a private placement to Holdings, generating gross proceeds of $247,500.</w:t>
      </w:r>
    </w:p>
    <w:p>
      <w:pPr>
        <w:spacing w:after="0" w:line="184"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A portion of the proceeds from the Private Warrants was added to the proceeds from the Initial Public Offering to be held in the trust account (the “Trust Account”). If we do not complete our initial business combination within 12 months (or up to 18 months if our time to complete a business combination is extended), the proceeds of the sale of the Private Warrants will be used to fund the redemption of the Public Shares (subject to the requirements of applicable law) and the Private Warrants and all underlying securities will be worthless. There will be no redemption rights or liquidating distributions from the Trust Account with respect to the Private Warrants.</w:t>
      </w:r>
    </w:p>
    <w:p>
      <w:pPr>
        <w:spacing w:after="0" w:line="178"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We intend to use substantially all of the net proceeds of this offering, including the funds held in the Trust Account, to acquire a target business or businesses and to pay our expenses relating thereto. To the extent that our share capital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0" w:name="page21"/>
    <w:bookmarkEnd w:id="20"/>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We do not believe we will need to raise additional funds following our Initial Public Offering in order to meet the expenditures required for operating our business.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Moreover, we may need to obtain additional financing either to consummate our initial business combination or because we become obligated to redeem a significant number of our Public Shares upon completion of our initial business combination, in which case we may issue additional securities or incur debt in connection with such business combination.</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did not have any off-balance sheet arrangements as of June 30, 2021.</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Promissory Note - Related Party</w:t>
      </w:r>
    </w:p>
    <w:p>
      <w:pPr>
        <w:spacing w:after="0" w:line="225" w:lineRule="exact"/>
        <w:rPr>
          <w:sz w:val="20"/>
          <w:szCs w:val="20"/>
          <w:color w:val="auto"/>
        </w:rPr>
      </w:pPr>
    </w:p>
    <w:p>
      <w:pPr>
        <w:jc w:val="both"/>
        <w:ind w:left="60" w:right="59"/>
        <w:spacing w:after="0" w:line="257" w:lineRule="auto"/>
        <w:rPr>
          <w:sz w:val="20"/>
          <w:szCs w:val="20"/>
          <w:color w:val="auto"/>
        </w:rPr>
      </w:pPr>
      <w:r>
        <w:rPr>
          <w:rFonts w:ascii="Arial" w:cs="Arial" w:eastAsia="Arial" w:hAnsi="Arial"/>
          <w:sz w:val="18"/>
          <w:szCs w:val="18"/>
          <w:color w:val="auto"/>
        </w:rPr>
        <w:t>On July 23, 2020, the Sponsor agreed to loan the Company an aggregate of up to $250,000 to cover expenses related to the Initial Public Offering pursuant to a promissory note (the “Promissory Note”).. Per Amendment No. 1 of the Promissory Note agreement signed on June 29, 2021, the Promissory Note is non-interest bearing and payable entirely on September 30, 2021. As of June 30, 2021 and December 31, 2020, there was $150,000 and $0 outstanding under the Promissory Note respectively.</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Underwriting Agreement</w:t>
      </w:r>
    </w:p>
    <w:p>
      <w:pPr>
        <w:spacing w:after="0" w:line="225" w:lineRule="exact"/>
        <w:rPr>
          <w:sz w:val="20"/>
          <w:szCs w:val="20"/>
          <w:color w:val="auto"/>
        </w:rPr>
      </w:pPr>
    </w:p>
    <w:p>
      <w:pPr>
        <w:jc w:val="both"/>
        <w:ind w:left="60" w:right="59"/>
        <w:spacing w:after="0" w:line="275" w:lineRule="auto"/>
        <w:rPr>
          <w:sz w:val="20"/>
          <w:szCs w:val="20"/>
          <w:color w:val="auto"/>
        </w:rPr>
      </w:pPr>
      <w:r>
        <w:rPr>
          <w:rFonts w:ascii="Arial" w:cs="Arial" w:eastAsia="Arial" w:hAnsi="Arial"/>
          <w:sz w:val="17"/>
          <w:szCs w:val="17"/>
          <w:color w:val="auto"/>
        </w:rPr>
        <w:t>The Company granted the underwriters a 45-day option to purchase up to 1,650,000 Over-Allotment Units to cover over-allotments at the Initial Public Offering price, less the underwriting discounts and commissions. On August 18, 2021, the underwriters fully exercised the over-allotment option to purchase 1,650,000 Over-Allotment Units at an offering price of $10.00 per Over-Allotment Unit for an aggregate purchase price of $16,500,000. In addition, the underwriters were paid a cash underwriting discount of $500,000 upon the closing of the Initial Public Offering.</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left="60" w:right="79"/>
        <w:spacing w:after="0" w:line="257" w:lineRule="auto"/>
        <w:rPr>
          <w:sz w:val="20"/>
          <w:szCs w:val="20"/>
          <w:color w:val="auto"/>
        </w:rPr>
      </w:pPr>
      <w:r>
        <w:rPr>
          <w:rFonts w:ascii="Arial" w:cs="Arial" w:eastAsia="Arial" w:hAnsi="Arial"/>
          <w:sz w:val="18"/>
          <w:szCs w:val="18"/>
          <w:color w:val="auto"/>
        </w:rPr>
        <w:t>The preparation of condensed financial statements and related disclosures in conformity with accounting principles generally accepted in the United States of America requires management to make estimates and assumptions that affect the reported amounts of assets and liabilities, disclosure of contingent assets and liabilities at the date of the financial statements, and income and expenses during the periods reported. Actual results could materially differ from those estimates. We have identified the following critical accounting policies</w:t>
      </w:r>
      <w:r>
        <w:rPr>
          <w:rFonts w:ascii="Arial" w:cs="Arial" w:eastAsia="Arial" w:hAnsi="Arial"/>
          <w:sz w:val="18"/>
          <w:szCs w:val="18"/>
          <w:i w:val="1"/>
          <w:iCs w:val="1"/>
          <w:color w:val="auto"/>
        </w:rPr>
        <w: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Deferred Offering Costs</w:t>
      </w:r>
    </w:p>
    <w:p>
      <w:pPr>
        <w:spacing w:after="0" w:line="225" w:lineRule="exact"/>
        <w:rPr>
          <w:sz w:val="20"/>
          <w:szCs w:val="20"/>
          <w:color w:val="auto"/>
        </w:rPr>
      </w:pPr>
    </w:p>
    <w:p>
      <w:pPr>
        <w:jc w:val="both"/>
        <w:ind w:left="60" w:right="59"/>
        <w:spacing w:after="0" w:line="296" w:lineRule="auto"/>
        <w:rPr>
          <w:sz w:val="20"/>
          <w:szCs w:val="20"/>
          <w:color w:val="auto"/>
        </w:rPr>
      </w:pPr>
      <w:r>
        <w:rPr>
          <w:rFonts w:ascii="Arial" w:cs="Arial" w:eastAsia="Arial" w:hAnsi="Arial"/>
          <w:sz w:val="16"/>
          <w:szCs w:val="16"/>
          <w:color w:val="auto"/>
        </w:rPr>
        <w:t>Deferred offering costs consist of legal, accounting and other expenses incurred through the balance sheet date that are directly related to the Initial Public Offering. Offering costs were allocated to the separable financial instruments issued in the Initial Public Offering based on a relative fair value basis, compared to total proceeds received. Offering costs associated with warrant liabilities were expensed as incurred in the condensed statements of operations. Offering costs associated with the common stock issued were charged to equity upon the completion of the Initial Public Offering.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1" w:name="page22"/>
    <w:bookmarkEnd w:id="21"/>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Net Loss Per Common Share</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Net loss per share of common stock is computed by dividing net loss by the weighted average number of common shares outstanding during the period, excluding shares of common stock subject to forfeiture. Weighted average shares were reduced for the effect of an aggregate of 412,500 shares of common stock that are subject to forfeiture if the over-allotment option is not exercised by the underwriter. At June 30, 2021 and December 31, 2020, the Company did not have any dilutive securities and other contracts that could, potentially, be exercised or converted into common stock and then share in the earnings of the Company. As a result, diluted loss per common share is the same as basic loss per common share for the periods presented.</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Financial Instruments</w:t>
      </w:r>
    </w:p>
    <w:p>
      <w:pPr>
        <w:spacing w:after="0" w:line="225"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 xml:space="preserve">The Company evaluates its financial instruments to determine if such instruments are derivatives or contain features that qualify as embedded derivatives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For derivative financial instruments that are accounted for as liabilities, the derivative instrument is initially recorded at its fair value on the grant date and is then re-valued at each reporting date, with changes in the fair value reported in the statements of operations. The classification of derivative instruments, including whether such instruments should be recorded as liabilities or as equity, is evaluated at the end of each reporting period. Derivative liabilities are classified in the balance sheet as current or non-current based on whether or not net-cash settlement or conversion of the instrument could be required within 12 months of the balance sheet date.</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2021, we were not subject to any market or interest rate risk.</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jc w:val="both"/>
        <w:ind w:left="60" w:right="59"/>
        <w:spacing w:after="0" w:line="254" w:lineRule="auto"/>
        <w:rPr>
          <w:sz w:val="20"/>
          <w:szCs w:val="20"/>
          <w:color w:val="auto"/>
        </w:rPr>
      </w:pPr>
      <w:r>
        <w:rPr>
          <w:rFonts w:ascii="Arial" w:cs="Arial" w:eastAsia="Arial" w:hAnsi="Arial"/>
          <w:sz w:val="18"/>
          <w:szCs w:val="18"/>
          <w:color w:val="auto"/>
        </w:rPr>
        <w:t>Disclosure controls and procedures are controls and other procedures that are designed to ensure that information required to be disclosed in our reports filed or submitted under Securities Exchange Act of 1934, as amended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our management, including our Chief Executive Officer and Chief Financial Officer, to allow timely decisions regarding required disclosure.</w:t>
      </w:r>
    </w:p>
    <w:p>
      <w:pPr>
        <w:spacing w:after="0" w:line="19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left="60" w:right="59"/>
        <w:spacing w:after="0" w:line="301" w:lineRule="auto"/>
        <w:rPr>
          <w:sz w:val="20"/>
          <w:szCs w:val="20"/>
          <w:color w:val="auto"/>
        </w:rPr>
      </w:pPr>
      <w:r>
        <w:rPr>
          <w:rFonts w:ascii="Arial" w:cs="Arial" w:eastAsia="Arial" w:hAnsi="Arial"/>
          <w:sz w:val="16"/>
          <w:szCs w:val="16"/>
          <w:color w:val="auto"/>
        </w:rPr>
        <w:t>As required by Rules 13a-15 and 15d-15 under the Exchange Act, our Chief Executive Officer and Chief Financial Officer carried out an evaluation of the effectiveness of the design and operation of our disclosure controls and procedures as of June 30, 2021. Based upon their evaluation, our Chief Executive Officer and Chief Financial Officer concluded that our disclosure controls and procedures (as defined in Rules 13a-15 (e) and 15d-15 (e) under the Exchange Act) were effective.</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left="60" w:right="59"/>
        <w:spacing w:after="0" w:line="263"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(as defined in Rules 13a-15(f) and 15d-15(f) under the Exchange Act)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2" w:name="page23"/>
    <w:bookmarkEnd w:id="22"/>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60" w:right="59"/>
        <w:spacing w:after="0" w:line="273" w:lineRule="auto"/>
        <w:rPr>
          <w:sz w:val="20"/>
          <w:szCs w:val="20"/>
          <w:color w:val="auto"/>
        </w:rPr>
      </w:pPr>
      <w:r>
        <w:rPr>
          <w:rFonts w:ascii="Arial" w:cs="Arial" w:eastAsia="Arial" w:hAnsi="Arial"/>
          <w:sz w:val="17"/>
          <w:szCs w:val="17"/>
          <w:color w:val="auto"/>
        </w:rPr>
        <w:t>Factors that could cause our actual results to differ materially from those in this Quarterly Report are any of the risks described in our final prospectus for our Initial Public Offering filed with the SEC on August 12, 2021. Any of these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Quarterly Report, there have been no material changes to the risk factors disclosed in our final prospectus for our Initial Public Offering filed with the SEC on August 12, 2021.</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3" w:name="page24"/>
    <w:bookmarkEnd w:id="23"/>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exhibits are filed as part of, or incorporated by reference into, this Quarterly Report on Form 10-Q.</w:t>
      </w:r>
    </w:p>
    <w:p>
      <w:pPr>
        <w:spacing w:after="0" w:line="275"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 No.</w:t>
            </w:r>
          </w:p>
        </w:tc>
        <w:tc>
          <w:tcPr>
            <w:tcW w:w="40" w:type="dxa"/>
            <w:vAlign w:val="bottom"/>
          </w:tcPr>
          <w:p>
            <w:pPr>
              <w:spacing w:after="0"/>
              <w:rPr>
                <w:sz w:val="20"/>
                <w:szCs w:val="20"/>
                <w:color w:val="auto"/>
              </w:rPr>
            </w:pPr>
          </w:p>
        </w:tc>
        <w:tc>
          <w:tcPr>
            <w:tcW w:w="7500" w:type="dxa"/>
            <w:vAlign w:val="bottom"/>
            <w:gridSpan w:val="9"/>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20" w:type="dxa"/>
            <w:vAlign w:val="bottom"/>
          </w:tcPr>
          <w:p>
            <w:pPr>
              <w:spacing w:after="0"/>
              <w:rPr>
                <w:sz w:val="14"/>
                <w:szCs w:val="14"/>
                <w:color w:val="auto"/>
              </w:rPr>
            </w:pPr>
          </w:p>
        </w:tc>
        <w:tc>
          <w:tcPr>
            <w:tcW w:w="1040" w:type="dxa"/>
            <w:vAlign w:val="bottom"/>
            <w:tcBorders>
              <w:top w:val="single" w:sz="8" w:color="auto"/>
            </w:tcBorders>
          </w:tcPr>
          <w:p>
            <w:pPr>
              <w:ind w:left="20"/>
              <w:spacing w:after="0" w:line="169" w:lineRule="exact"/>
              <w:rPr>
                <w:sz w:val="20"/>
                <w:szCs w:val="20"/>
                <w:color w:val="auto"/>
              </w:rPr>
            </w:pPr>
            <w:r>
              <w:rPr>
                <w:rFonts w:ascii="Arial" w:cs="Arial" w:eastAsia="Arial" w:hAnsi="Arial"/>
                <w:sz w:val="18"/>
                <w:szCs w:val="18"/>
                <w:color w:val="auto"/>
              </w:rPr>
              <w:t>31.1*</w:t>
            </w:r>
          </w:p>
        </w:tc>
        <w:tc>
          <w:tcPr>
            <w:tcW w:w="300" w:type="dxa"/>
            <w:vAlign w:val="bottom"/>
          </w:tcPr>
          <w:p>
            <w:pPr>
              <w:spacing w:after="0"/>
              <w:rPr>
                <w:sz w:val="14"/>
                <w:szCs w:val="14"/>
                <w:color w:val="auto"/>
              </w:rPr>
            </w:pPr>
          </w:p>
        </w:tc>
        <w:tc>
          <w:tcPr>
            <w:tcW w:w="40" w:type="dxa"/>
            <w:vAlign w:val="bottom"/>
            <w:tcBorders>
              <w:top w:val="single" w:sz="8" w:color="auto"/>
            </w:tcBorders>
          </w:tcPr>
          <w:p>
            <w:pPr>
              <w:spacing w:after="0"/>
              <w:rPr>
                <w:sz w:val="14"/>
                <w:szCs w:val="14"/>
                <w:color w:val="auto"/>
              </w:rPr>
            </w:pPr>
          </w:p>
        </w:tc>
        <w:tc>
          <w:tcPr>
            <w:tcW w:w="7300" w:type="dxa"/>
            <w:vAlign w:val="bottom"/>
            <w:tcBorders>
              <w:top w:val="single" w:sz="8" w:color="auto"/>
              <w:bottom w:val="single" w:sz="8" w:color="0000EE"/>
            </w:tcBorders>
            <w:gridSpan w:val="6"/>
          </w:tcPr>
          <w:p>
            <w:pPr>
              <w:spacing w:after="0" w:line="169" w:lineRule="exact"/>
              <w:rPr>
                <w:rFonts w:ascii="Arial" w:cs="Arial" w:eastAsia="Arial" w:hAnsi="Arial"/>
                <w:sz w:val="18"/>
                <w:szCs w:val="18"/>
                <w:color w:val="0000EE"/>
                <w:w w:val="91"/>
              </w:rPr>
            </w:pPr>
            <w:hyperlink w:anchor="page26">
              <w:r>
                <w:rPr>
                  <w:rFonts w:ascii="Arial" w:cs="Arial" w:eastAsia="Arial" w:hAnsi="Arial"/>
                  <w:sz w:val="18"/>
                  <w:szCs w:val="18"/>
                  <w:color w:val="0000EE"/>
                  <w:w w:val="91"/>
                </w:rPr>
                <w:t>Certification of Principal Executive Officer Pursuant to Securities Exchange Act Rules 13a-14(a) and</w:t>
              </w:r>
            </w:hyperlink>
          </w:p>
        </w:tc>
        <w:tc>
          <w:tcPr>
            <w:tcW w:w="200" w:type="dxa"/>
            <w:vAlign w:val="bottom"/>
            <w:tcBorders>
              <w:top w:val="single" w:sz="8" w:color="auto"/>
            </w:tcBorders>
            <w:gridSpan w:val="3"/>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2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26">
              <w:r>
                <w:rPr>
                  <w:rFonts w:ascii="Arial" w:cs="Arial" w:eastAsia="Arial" w:hAnsi="Arial"/>
                  <w:sz w:val="18"/>
                  <w:szCs w:val="18"/>
                  <w:color w:val="0000EE"/>
                  <w:w w:val="90"/>
                </w:rPr>
                <w:t>15(d)-14(a), as adopted Pursuant to Section 302 of the Sarbanes-Oxley Act of 2002</w:t>
              </w:r>
            </w:hyperlink>
          </w:p>
        </w:tc>
        <w:tc>
          <w:tcPr>
            <w:tcW w:w="1480" w:type="dxa"/>
            <w:vAlign w:val="bottom"/>
            <w:gridSpan w:val="5"/>
          </w:tcPr>
          <w:p>
            <w:pPr>
              <w:spacing w:after="0"/>
              <w:rPr>
                <w:sz w:val="17"/>
                <w:szCs w:val="17"/>
                <w:color w:val="auto"/>
              </w:rPr>
            </w:pPr>
          </w:p>
        </w:tc>
      </w:tr>
      <w:tr>
        <w:trPr>
          <w:trHeight w:val="237"/>
        </w:trPr>
        <w:tc>
          <w:tcPr>
            <w:tcW w:w="106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9"/>
          </w:tcPr>
          <w:p>
            <w:pPr>
              <w:spacing w:after="0"/>
              <w:rPr>
                <w:rFonts w:ascii="Arial" w:cs="Arial" w:eastAsia="Arial" w:hAnsi="Arial"/>
                <w:sz w:val="18"/>
                <w:szCs w:val="18"/>
                <w:color w:val="0000EE"/>
                <w:w w:val="94"/>
              </w:rPr>
            </w:pPr>
            <w:hyperlink w:anchor="page27">
              <w:r>
                <w:rPr>
                  <w:rFonts w:ascii="Arial" w:cs="Arial" w:eastAsia="Arial" w:hAnsi="Arial"/>
                  <w:sz w:val="18"/>
                  <w:szCs w:val="18"/>
                  <w:color w:val="0000EE"/>
                  <w:w w:val="94"/>
                </w:rPr>
                <w:t>Certification of Principal Financial Officer Pursuant to Securities Exchange Act Rules 13a-14(a) and</w:t>
              </w:r>
            </w:hyperlink>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0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89"/>
              </w:rPr>
            </w:pPr>
            <w:hyperlink w:anchor="page27">
              <w:r>
                <w:rPr>
                  <w:rFonts w:ascii="Arial" w:cs="Arial" w:eastAsia="Arial" w:hAnsi="Arial"/>
                  <w:sz w:val="18"/>
                  <w:szCs w:val="18"/>
                  <w:color w:val="0000EE"/>
                  <w:w w:val="89"/>
                </w:rPr>
                <w:t>15(d)-14(a), as adopted Pursuant to Section 302 of the Sarbanes-Oxley Act of 2002</w:t>
              </w:r>
            </w:hyperlink>
          </w:p>
        </w:tc>
        <w:tc>
          <w:tcPr>
            <w:tcW w:w="1240" w:type="dxa"/>
            <w:vAlign w:val="bottom"/>
            <w:tcBorders>
              <w:top w:val="single" w:sz="8" w:color="0000EE"/>
            </w:tcBorders>
            <w:gridSpan w:val="2"/>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237"/>
        </w:trPr>
        <w:tc>
          <w:tcPr>
            <w:tcW w:w="106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440" w:type="dxa"/>
            <w:vAlign w:val="bottom"/>
            <w:tcBorders>
              <w:bottom w:val="single" w:sz="8" w:color="0000EE"/>
            </w:tcBorders>
            <w:gridSpan w:val="8"/>
          </w:tcPr>
          <w:p>
            <w:pPr>
              <w:spacing w:after="0"/>
              <w:rPr>
                <w:rFonts w:ascii="Arial" w:cs="Arial" w:eastAsia="Arial" w:hAnsi="Arial"/>
                <w:sz w:val="18"/>
                <w:szCs w:val="18"/>
                <w:color w:val="0000EE"/>
                <w:w w:val="90"/>
              </w:rPr>
            </w:pPr>
            <w:hyperlink w:anchor="page28">
              <w:r>
                <w:rPr>
                  <w:rFonts w:ascii="Arial" w:cs="Arial" w:eastAsia="Arial" w:hAnsi="Arial"/>
                  <w:sz w:val="18"/>
                  <w:szCs w:val="18"/>
                  <w:color w:val="0000EE"/>
                  <w:w w:val="90"/>
                </w:rPr>
                <w:t>Certification of Principal Executive Officer Pursuant to 18 U.S.C. Section 1350, as adopted Pursuant to</w:t>
              </w:r>
            </w:hyperlink>
          </w:p>
        </w:tc>
        <w:tc>
          <w:tcPr>
            <w:tcW w:w="60" w:type="dxa"/>
            <w:vAlign w:val="bottom"/>
          </w:tcPr>
          <w:p>
            <w:pPr>
              <w:spacing w:after="0"/>
              <w:rPr>
                <w:sz w:val="20"/>
                <w:szCs w:val="20"/>
                <w:color w:val="auto"/>
              </w:rPr>
            </w:pPr>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20" w:type="dxa"/>
            <w:vAlign w:val="bottom"/>
            <w:tcBorders>
              <w:bottom w:val="single" w:sz="8" w:color="0000EE"/>
            </w:tcBorders>
            <w:gridSpan w:val="2"/>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Section 906 of the Sarbanes-Oxley Act of 2002</w:t>
              </w:r>
            </w:hyperlink>
          </w:p>
        </w:tc>
        <w:tc>
          <w:tcPr>
            <w:tcW w:w="4080" w:type="dxa"/>
            <w:vAlign w:val="bottom"/>
            <w:gridSpan w:val="7"/>
          </w:tcPr>
          <w:p>
            <w:pPr>
              <w:spacing w:after="0"/>
              <w:rPr>
                <w:sz w:val="17"/>
                <w:szCs w:val="17"/>
                <w:color w:val="auto"/>
              </w:rPr>
            </w:pPr>
          </w:p>
        </w:tc>
      </w:tr>
      <w:tr>
        <w:trPr>
          <w:trHeight w:val="237"/>
        </w:trPr>
        <w:tc>
          <w:tcPr>
            <w:tcW w:w="106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500" w:type="dxa"/>
            <w:vAlign w:val="bottom"/>
            <w:gridSpan w:val="9"/>
          </w:tcPr>
          <w:p>
            <w:pPr>
              <w:spacing w:after="0"/>
              <w:rPr>
                <w:rFonts w:ascii="Arial" w:cs="Arial" w:eastAsia="Arial" w:hAnsi="Arial"/>
                <w:sz w:val="18"/>
                <w:szCs w:val="18"/>
                <w:color w:val="0000EE"/>
                <w:w w:val="92"/>
              </w:rPr>
            </w:pPr>
            <w:hyperlink w:anchor="page29">
              <w:r>
                <w:rPr>
                  <w:rFonts w:ascii="Arial" w:cs="Arial" w:eastAsia="Arial" w:hAnsi="Arial"/>
                  <w:sz w:val="18"/>
                  <w:szCs w:val="18"/>
                  <w:color w:val="0000EE"/>
                  <w:w w:val="92"/>
                </w:rPr>
                <w:t>Certification of Principal Financial Officer Pursuant to 18 U.S.C. Section 1350, as adopted Pursuant to</w:t>
              </w:r>
            </w:hyperlink>
          </w:p>
        </w:tc>
      </w:tr>
      <w:tr>
        <w:trPr>
          <w:trHeight w:val="196"/>
        </w:trPr>
        <w:tc>
          <w:tcPr>
            <w:tcW w:w="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38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Section 906 of the Sarbanes-Oxley Act of 2002</w:t>
              </w:r>
            </w:hyperlink>
          </w:p>
        </w:tc>
        <w:tc>
          <w:tcPr>
            <w:tcW w:w="120" w:type="dxa"/>
            <w:vAlign w:val="bottom"/>
            <w:gridSpan w:val="2"/>
          </w:tcPr>
          <w:p>
            <w:pPr>
              <w:spacing w:after="0"/>
              <w:rPr>
                <w:sz w:val="17"/>
                <w:szCs w:val="17"/>
                <w:color w:val="auto"/>
              </w:rPr>
            </w:pPr>
          </w:p>
        </w:tc>
      </w:tr>
      <w:tr>
        <w:trPr>
          <w:trHeight w:val="277"/>
        </w:trPr>
        <w:tc>
          <w:tcPr>
            <w:tcW w:w="20" w:type="dxa"/>
            <w:vAlign w:val="bottom"/>
          </w:tcPr>
          <w:p>
            <w:pPr>
              <w:spacing w:after="0"/>
              <w:rPr>
                <w:sz w:val="24"/>
                <w:szCs w:val="24"/>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4"/>
                <w:szCs w:val="24"/>
                <w:color w:val="auto"/>
              </w:rPr>
            </w:pPr>
          </w:p>
        </w:tc>
        <w:tc>
          <w:tcPr>
            <w:tcW w:w="3400" w:type="dxa"/>
            <w:vAlign w:val="bottom"/>
            <w:tcBorders>
              <w:top w:val="single" w:sz="8" w:color="0000EE"/>
            </w:tcBorders>
          </w:tcPr>
          <w:p>
            <w:pPr>
              <w:spacing w:after="0"/>
              <w:rPr>
                <w:sz w:val="20"/>
                <w:szCs w:val="20"/>
                <w:color w:val="auto"/>
              </w:rPr>
            </w:pPr>
            <w:r>
              <w:rPr>
                <w:rFonts w:ascii="Arial" w:cs="Arial" w:eastAsia="Arial" w:hAnsi="Arial"/>
                <w:sz w:val="18"/>
                <w:szCs w:val="18"/>
                <w:color w:val="auto"/>
              </w:rPr>
              <w:t>XBRL Instance Document</w:t>
            </w:r>
          </w:p>
        </w:tc>
        <w:tc>
          <w:tcPr>
            <w:tcW w:w="4100" w:type="dxa"/>
            <w:vAlign w:val="bottom"/>
            <w:gridSpan w:val="8"/>
          </w:tcPr>
          <w:p>
            <w:pPr>
              <w:spacing w:after="0"/>
              <w:rPr>
                <w:sz w:val="24"/>
                <w:szCs w:val="24"/>
                <w:color w:val="auto"/>
              </w:rPr>
            </w:pPr>
          </w:p>
        </w:tc>
      </w:tr>
      <w:tr>
        <w:trPr>
          <w:trHeight w:val="256"/>
        </w:trPr>
        <w:tc>
          <w:tcPr>
            <w:tcW w:w="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57"/>
        </w:trPr>
        <w:tc>
          <w:tcPr>
            <w:tcW w:w="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101.SCH*</w:t>
            </w: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57"/>
        </w:trPr>
        <w:tc>
          <w:tcPr>
            <w:tcW w:w="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101.DEF*</w:t>
            </w: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57"/>
        </w:trPr>
        <w:tc>
          <w:tcPr>
            <w:tcW w:w="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56"/>
        </w:trPr>
        <w:tc>
          <w:tcPr>
            <w:tcW w:w="20" w:type="dxa"/>
            <w:vAlign w:val="bottom"/>
          </w:tcPr>
          <w:p>
            <w:pPr>
              <w:spacing w:after="0"/>
              <w:rPr>
                <w:sz w:val="22"/>
                <w:szCs w:val="22"/>
                <w:color w:val="auto"/>
              </w:rPr>
            </w:pPr>
          </w:p>
        </w:tc>
        <w:tc>
          <w:tcPr>
            <w:tcW w:w="1340" w:type="dxa"/>
            <w:vAlign w:val="bottom"/>
            <w:gridSpan w:val="2"/>
          </w:tcPr>
          <w:p>
            <w:pPr>
              <w:ind w:left="20"/>
              <w:spacing w:after="0"/>
              <w:rPr>
                <w:sz w:val="20"/>
                <w:szCs w:val="20"/>
                <w:color w:val="auto"/>
              </w:rPr>
            </w:pPr>
            <w:r>
              <w:rPr>
                <w:rFonts w:ascii="Arial" w:cs="Arial" w:eastAsia="Arial" w:hAnsi="Arial"/>
                <w:sz w:val="18"/>
                <w:szCs w:val="18"/>
                <w:color w:val="auto"/>
              </w:rPr>
              <w:t>101.PRE*</w:t>
            </w: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257"/>
        </w:trPr>
        <w:tc>
          <w:tcPr>
            <w:tcW w:w="106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3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500" w:type="dxa"/>
            <w:vAlign w:val="bottom"/>
            <w:gridSpan w:val="9"/>
          </w:tcPr>
          <w:p>
            <w:pPr>
              <w:spacing w:after="0"/>
              <w:rPr>
                <w:sz w:val="20"/>
                <w:szCs w:val="20"/>
                <w:color w:val="auto"/>
              </w:rPr>
            </w:pPr>
            <w:r>
              <w:rPr>
                <w:rFonts w:ascii="Arial" w:cs="Arial" w:eastAsia="Arial" w:hAnsi="Arial"/>
                <w:sz w:val="18"/>
                <w:szCs w:val="18"/>
                <w:color w:val="auto"/>
              </w:rPr>
              <w:t>Cover Page Interactive Data File (formatted in Inline XBRL and included as Exhibit 101)</w:t>
            </w:r>
          </w:p>
        </w:tc>
      </w:tr>
      <w:tr>
        <w:trPr>
          <w:trHeight w:val="458"/>
        </w:trPr>
        <w:tc>
          <w:tcPr>
            <w:tcW w:w="1360" w:type="dxa"/>
            <w:vAlign w:val="bottom"/>
            <w:gridSpan w:val="3"/>
          </w:tcPr>
          <w:p>
            <w:pPr>
              <w:spacing w:after="0"/>
              <w:rPr>
                <w:sz w:val="20"/>
                <w:szCs w:val="20"/>
                <w:color w:val="auto"/>
              </w:rPr>
            </w:pPr>
            <w:r>
              <w:rPr>
                <w:rFonts w:ascii="Arial" w:cs="Arial" w:eastAsia="Arial" w:hAnsi="Arial"/>
                <w:sz w:val="18"/>
                <w:szCs w:val="18"/>
                <w:color w:val="auto"/>
              </w:rPr>
              <w:t>*Filed herewith.</w:t>
            </w:r>
          </w:p>
        </w:tc>
        <w:tc>
          <w:tcPr>
            <w:tcW w:w="4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0"/>
        </w:trPr>
        <w:tc>
          <w:tcPr>
            <w:tcW w:w="1360" w:type="dxa"/>
            <w:vAlign w:val="bottom"/>
            <w:gridSpan w:val="3"/>
          </w:tcPr>
          <w:p>
            <w:pPr>
              <w:spacing w:after="0"/>
              <w:rPr>
                <w:sz w:val="20"/>
                <w:szCs w:val="20"/>
                <w:color w:val="auto"/>
              </w:rPr>
            </w:pPr>
            <w:r>
              <w:rPr>
                <w:rFonts w:ascii="Arial" w:cs="Arial" w:eastAsia="Arial" w:hAnsi="Arial"/>
                <w:sz w:val="18"/>
                <w:szCs w:val="18"/>
                <w:color w:val="auto"/>
              </w:rPr>
              <w:t>**Furnished.</w:t>
            </w:r>
          </w:p>
        </w:tc>
        <w:tc>
          <w:tcPr>
            <w:tcW w:w="4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11" w:right="1440" w:bottom="1440" w:gutter="0" w:footer="0" w:header="0"/>
        </w:sectPr>
      </w:pPr>
    </w:p>
    <w:bookmarkStart w:id="24" w:name="page25"/>
    <w:bookmarkEnd w:id="24"/>
    <w:p>
      <w:pPr>
        <w:ind w:left="6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60" w:right="8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00" w:type="dxa"/>
            <w:vAlign w:val="bottom"/>
            <w:gridSpan w:val="2"/>
          </w:tcPr>
          <w:p>
            <w:pPr>
              <w:ind w:left="13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September 23, 2021</w:t>
            </w:r>
          </w:p>
        </w:tc>
        <w:tc>
          <w:tcPr>
            <w:tcW w:w="5800" w:type="dxa"/>
            <w:vAlign w:val="bottom"/>
            <w:gridSpan w:val="2"/>
          </w:tcPr>
          <w:p>
            <w:pPr>
              <w:ind w:left="1300"/>
              <w:spacing w:after="0"/>
              <w:rPr>
                <w:sz w:val="20"/>
                <w:szCs w:val="20"/>
                <w:color w:val="auto"/>
              </w:rPr>
            </w:pPr>
            <w:r>
              <w:rPr>
                <w:rFonts w:ascii="Arial" w:cs="Arial" w:eastAsia="Arial" w:hAnsi="Arial"/>
                <w:sz w:val="18"/>
                <w:szCs w:val="18"/>
                <w:color w:val="auto"/>
              </w:rPr>
              <w:t>By:/s/ Jonas Grossman</w:t>
            </w:r>
          </w:p>
        </w:tc>
      </w:tr>
      <w:tr>
        <w:trPr>
          <w:trHeight w:val="195"/>
        </w:trPr>
        <w:tc>
          <w:tcPr>
            <w:tcW w:w="3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Jonas Grossman</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President, Secretary, Treasurer and Director</w:t>
            </w:r>
          </w:p>
        </w:tc>
      </w:tr>
      <w:tr>
        <w:trPr>
          <w:trHeight w:val="230"/>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Executive Officer)</w:t>
            </w:r>
          </w:p>
        </w:tc>
      </w:tr>
    </w:tbl>
    <w:p>
      <w:pPr>
        <w:spacing w:after="0" w:line="200" w:lineRule="exact"/>
        <w:rPr>
          <w:sz w:val="20"/>
          <w:szCs w:val="20"/>
          <w:color w:val="auto"/>
        </w:rPr>
      </w:pP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3180" w:type="dxa"/>
            <w:vAlign w:val="bottom"/>
          </w:tcPr>
          <w:p>
            <w:pPr>
              <w:spacing w:after="0"/>
              <w:rPr>
                <w:sz w:val="20"/>
                <w:szCs w:val="20"/>
                <w:color w:val="auto"/>
              </w:rPr>
            </w:pPr>
          </w:p>
        </w:tc>
        <w:tc>
          <w:tcPr>
            <w:tcW w:w="5800" w:type="dxa"/>
            <w:vAlign w:val="bottom"/>
            <w:gridSpan w:val="2"/>
          </w:tcPr>
          <w:p>
            <w:pPr>
              <w:ind w:left="1300"/>
              <w:spacing w:after="0"/>
              <w:rPr>
                <w:sz w:val="20"/>
                <w:szCs w:val="20"/>
                <w:color w:val="auto"/>
              </w:rPr>
            </w:pPr>
            <w:r>
              <w:rPr>
                <w:rFonts w:ascii="Arial" w:cs="Arial" w:eastAsia="Arial" w:hAnsi="Arial"/>
                <w:sz w:val="18"/>
                <w:szCs w:val="18"/>
                <w:b w:val="1"/>
                <w:bCs w:val="1"/>
                <w:color w:val="auto"/>
              </w:rPr>
              <w:t>Chardan NexTech Acquisition 2 Corp</w:t>
            </w:r>
          </w:p>
        </w:tc>
      </w:tr>
      <w:tr>
        <w:trPr>
          <w:trHeight w:val="432"/>
        </w:trPr>
        <w:tc>
          <w:tcPr>
            <w:tcW w:w="3180" w:type="dxa"/>
            <w:vAlign w:val="bottom"/>
          </w:tcPr>
          <w:p>
            <w:pPr>
              <w:spacing w:after="0"/>
              <w:rPr>
                <w:sz w:val="20"/>
                <w:szCs w:val="20"/>
                <w:color w:val="auto"/>
              </w:rPr>
            </w:pPr>
            <w:r>
              <w:rPr>
                <w:rFonts w:ascii="Arial" w:cs="Arial" w:eastAsia="Arial" w:hAnsi="Arial"/>
                <w:sz w:val="18"/>
                <w:szCs w:val="18"/>
                <w:color w:val="auto"/>
              </w:rPr>
              <w:t>Date: September 23, 2021</w:t>
            </w:r>
          </w:p>
        </w:tc>
        <w:tc>
          <w:tcPr>
            <w:tcW w:w="5800" w:type="dxa"/>
            <w:vAlign w:val="bottom"/>
            <w:gridSpan w:val="2"/>
          </w:tcPr>
          <w:p>
            <w:pPr>
              <w:ind w:left="1300"/>
              <w:spacing w:after="0"/>
              <w:rPr>
                <w:sz w:val="20"/>
                <w:szCs w:val="20"/>
                <w:color w:val="auto"/>
              </w:rPr>
            </w:pPr>
            <w:r>
              <w:rPr>
                <w:rFonts w:ascii="Arial" w:cs="Arial" w:eastAsia="Arial" w:hAnsi="Arial"/>
                <w:sz w:val="18"/>
                <w:szCs w:val="18"/>
                <w:color w:val="auto"/>
              </w:rPr>
              <w:t>By:/s/ Alex Weil</w:t>
            </w:r>
          </w:p>
        </w:tc>
      </w:tr>
      <w:tr>
        <w:trPr>
          <w:trHeight w:val="195"/>
        </w:trPr>
        <w:tc>
          <w:tcPr>
            <w:tcW w:w="31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Alex Weil</w:t>
            </w:r>
          </w:p>
        </w:tc>
      </w:tr>
      <w:tr>
        <w:trPr>
          <w:trHeight w:val="216"/>
        </w:trPr>
        <w:tc>
          <w:tcPr>
            <w:tcW w:w="31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31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40"/>
          </w:cols>
          <w:pgMar w:left="1440" w:top="611" w:right="141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EXECUTIVE OFFICER PURSUANT TO RULE 13A-14(A) UNDER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Jonas Grossman, certify that:</w:t>
      </w:r>
    </w:p>
    <w:p>
      <w:pPr>
        <w:spacing w:after="0" w:line="225" w:lineRule="exact"/>
        <w:rPr>
          <w:sz w:val="20"/>
          <w:szCs w:val="20"/>
          <w:color w:val="auto"/>
        </w:rPr>
      </w:pPr>
    </w:p>
    <w:p>
      <w:pPr>
        <w:ind w:left="180" w:hanging="172"/>
        <w:spacing w:after="0"/>
        <w:tabs>
          <w:tab w:leader="none" w:pos="1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48" w:lineRule="auto"/>
        <w:tabs>
          <w:tab w:leader="none" w:pos="186" w:val="left"/>
        </w:tabs>
        <w:numPr>
          <w:ilvl w:val="0"/>
          <w:numId w:val="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right="20" w:firstLine="8"/>
        <w:spacing w:after="0" w:line="324" w:lineRule="auto"/>
        <w:tabs>
          <w:tab w:leader="none" w:pos="185" w:val="left"/>
        </w:tabs>
        <w:numPr>
          <w:ilvl w:val="0"/>
          <w:numId w:val="7"/>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firstLine="8"/>
        <w:spacing w:after="0" w:line="261" w:lineRule="auto"/>
        <w:tabs>
          <w:tab w:leader="none" w:pos="181"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8"/>
          <w:szCs w:val="18"/>
          <w:color w:val="auto"/>
        </w:rPr>
      </w:pPr>
    </w:p>
    <w:p>
      <w:pPr>
        <w:jc w:val="both"/>
        <w:ind w:left="660" w:hanging="4"/>
        <w:spacing w:after="0" w:line="248" w:lineRule="auto"/>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95" w:lineRule="exact"/>
        <w:rPr>
          <w:rFonts w:ascii="Arial" w:cs="Arial" w:eastAsia="Arial" w:hAnsi="Arial"/>
          <w:sz w:val="18"/>
          <w:szCs w:val="18"/>
          <w:color w:val="auto"/>
        </w:rPr>
      </w:pPr>
    </w:p>
    <w:p>
      <w:pPr>
        <w:ind w:left="860" w:hanging="204"/>
        <w:spacing w:after="0"/>
        <w:tabs>
          <w:tab w:leader="none" w:pos="860" w:val="left"/>
        </w:tabs>
        <w:numPr>
          <w:ilvl w:val="1"/>
          <w:numId w:val="7"/>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48" w:lineRule="auto"/>
        <w:tabs>
          <w:tab w:leader="none" w:pos="850" w:val="left"/>
        </w:tabs>
        <w:numPr>
          <w:ilvl w:val="1"/>
          <w:numId w:val="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660" w:hanging="4"/>
        <w:spacing w:after="0" w:line="270" w:lineRule="auto"/>
        <w:tabs>
          <w:tab w:leader="none" w:pos="886" w:val="left"/>
        </w:tabs>
        <w:numPr>
          <w:ilvl w:val="1"/>
          <w:numId w:val="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jc w:val="both"/>
        <w:ind w:firstLine="8"/>
        <w:spacing w:after="0" w:line="248" w:lineRule="auto"/>
        <w:tabs>
          <w:tab w:leader="none" w:pos="188"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660" w:hanging="4"/>
        <w:spacing w:after="0" w:line="248" w:lineRule="auto"/>
        <w:tabs>
          <w:tab w:leader="none" w:pos="865" w:val="left"/>
        </w:tabs>
        <w:numPr>
          <w:ilvl w:val="1"/>
          <w:numId w:val="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660" w:right="20" w:hanging="4"/>
        <w:spacing w:after="0" w:line="261" w:lineRule="auto"/>
        <w:tabs>
          <w:tab w:leader="none" w:pos="892" w:val="left"/>
        </w:tabs>
        <w:numPr>
          <w:ilvl w:val="1"/>
          <w:numId w:val="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By:/s/ 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6350</wp:posOffset>
            </wp:positionV>
            <wp:extent cx="29743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974340" cy="8890"/>
                    </a:xfrm>
                    <a:prstGeom prst="rect">
                      <a:avLst/>
                    </a:prstGeom>
                    <a:noFill/>
                  </pic:spPr>
                </pic:pic>
              </a:graphicData>
            </a:graphic>
          </wp:anchor>
        </w:drawing>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Jonas Grossman</w:t>
      </w:r>
    </w:p>
    <w:p>
      <w:pPr>
        <w:spacing w:after="0" w:line="12" w:lineRule="exact"/>
        <w:rPr>
          <w:sz w:val="20"/>
          <w:szCs w:val="20"/>
          <w:color w:val="auto"/>
        </w:rPr>
      </w:pPr>
    </w:p>
    <w:p>
      <w:pPr>
        <w:ind w:left="5240"/>
        <w:spacing w:after="0"/>
        <w:rPr>
          <w:sz w:val="20"/>
          <w:szCs w:val="20"/>
          <w:color w:val="auto"/>
        </w:rPr>
      </w:pPr>
      <w:r>
        <w:rPr>
          <w:rFonts w:ascii="Arial" w:cs="Arial" w:eastAsia="Arial" w:hAnsi="Arial"/>
          <w:sz w:val="17"/>
          <w:szCs w:val="17"/>
          <w:i w:val="1"/>
          <w:iCs w:val="1"/>
          <w:color w:val="auto"/>
        </w:rPr>
        <w:t>Chief Executive Officer, President, Secretary, Treasurer and</w:t>
      </w:r>
    </w:p>
    <w:p>
      <w:pPr>
        <w:spacing w:after="0" w:line="7"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Director</w:t>
      </w:r>
    </w:p>
    <w:p>
      <w:pPr>
        <w:spacing w:after="0" w:line="34"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line="250" w:lineRule="auto"/>
        <w:rPr>
          <w:sz w:val="20"/>
          <w:szCs w:val="20"/>
          <w:color w:val="auto"/>
        </w:rPr>
      </w:pPr>
      <w:r>
        <w:rPr>
          <w:rFonts w:ascii="Arial" w:cs="Arial" w:eastAsia="Arial" w:hAnsi="Arial"/>
          <w:sz w:val="18"/>
          <w:szCs w:val="18"/>
          <w:b w:val="1"/>
          <w:bCs w:val="1"/>
          <w:color w:val="auto"/>
        </w:rPr>
        <w:t>CERTIFICATION OF CHIEF FINANCIAL OFFICER PURSUANT TO RULE 13A-14(A) UNDER THE SECURITIES EXCHANGE ACT OF 1934, AS ADOPTED PURSUANT TO SECTION 302 OF THE SARBANES-OXLEY ACT OF 2002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 Alex Weil, certify that:</w:t>
      </w:r>
    </w:p>
    <w:p>
      <w:pPr>
        <w:spacing w:after="0" w:line="225" w:lineRule="exact"/>
        <w:rPr>
          <w:sz w:val="20"/>
          <w:szCs w:val="20"/>
          <w:color w:val="auto"/>
        </w:rPr>
      </w:pPr>
    </w:p>
    <w:p>
      <w:pPr>
        <w:ind w:left="180" w:hanging="172"/>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Chardan NexTech Acquisition 2 Corp;</w:t>
      </w:r>
    </w:p>
    <w:p>
      <w:pPr>
        <w:spacing w:after="0" w:line="225" w:lineRule="exact"/>
        <w:rPr>
          <w:rFonts w:ascii="Arial" w:cs="Arial" w:eastAsia="Arial" w:hAnsi="Arial"/>
          <w:sz w:val="18"/>
          <w:szCs w:val="18"/>
          <w:color w:val="auto"/>
        </w:rPr>
      </w:pPr>
    </w:p>
    <w:p>
      <w:pPr>
        <w:jc w:val="both"/>
        <w:ind w:firstLine="8"/>
        <w:spacing w:after="0" w:line="248" w:lineRule="auto"/>
        <w:tabs>
          <w:tab w:leader="none" w:pos="1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5" w:lineRule="exact"/>
        <w:rPr>
          <w:rFonts w:ascii="Arial" w:cs="Arial" w:eastAsia="Arial" w:hAnsi="Arial"/>
          <w:sz w:val="18"/>
          <w:szCs w:val="18"/>
          <w:color w:val="auto"/>
        </w:rPr>
      </w:pPr>
    </w:p>
    <w:p>
      <w:pPr>
        <w:ind w:right="20" w:firstLine="8"/>
        <w:spacing w:after="0" w:line="324" w:lineRule="auto"/>
        <w:tabs>
          <w:tab w:leader="none" w:pos="185"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7" w:lineRule="exact"/>
        <w:rPr>
          <w:rFonts w:ascii="Arial" w:cs="Arial" w:eastAsia="Arial" w:hAnsi="Arial"/>
          <w:sz w:val="16"/>
          <w:szCs w:val="16"/>
          <w:color w:val="auto"/>
        </w:rPr>
      </w:pPr>
    </w:p>
    <w:p>
      <w:pPr>
        <w:ind w:firstLine="8"/>
        <w:spacing w:after="0" w:line="261" w:lineRule="auto"/>
        <w:tabs>
          <w:tab w:leader="none" w:pos="181"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184" w:lineRule="exact"/>
        <w:rPr>
          <w:rFonts w:ascii="Arial" w:cs="Arial" w:eastAsia="Arial" w:hAnsi="Arial"/>
          <w:sz w:val="18"/>
          <w:szCs w:val="18"/>
          <w:color w:val="auto"/>
        </w:rPr>
      </w:pPr>
    </w:p>
    <w:p>
      <w:pPr>
        <w:jc w:val="both"/>
        <w:ind w:left="660" w:hanging="4"/>
        <w:spacing w:after="0" w:line="248" w:lineRule="auto"/>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my supervision, to ensure that material information relating to the registrant, is made known to us by others within those entities, particularly during the period in which this report is being prepared; and</w:t>
      </w:r>
    </w:p>
    <w:p>
      <w:pPr>
        <w:spacing w:after="0" w:line="195" w:lineRule="exact"/>
        <w:rPr>
          <w:rFonts w:ascii="Arial" w:cs="Arial" w:eastAsia="Arial" w:hAnsi="Arial"/>
          <w:sz w:val="18"/>
          <w:szCs w:val="18"/>
          <w:color w:val="auto"/>
        </w:rPr>
      </w:pPr>
    </w:p>
    <w:p>
      <w:pPr>
        <w:ind w:left="860" w:hanging="204"/>
        <w:spacing w:after="0"/>
        <w:tabs>
          <w:tab w:leader="none" w:pos="860" w:val="left"/>
        </w:tabs>
        <w:numPr>
          <w:ilvl w:val="1"/>
          <w:numId w:val="8"/>
        </w:numPr>
        <w:rPr>
          <w:rFonts w:ascii="Arial" w:cs="Arial" w:eastAsia="Arial" w:hAnsi="Arial"/>
          <w:sz w:val="18"/>
          <w:szCs w:val="18"/>
          <w:color w:val="auto"/>
        </w:rPr>
      </w:pPr>
      <w:r>
        <w:rPr>
          <w:rFonts w:ascii="Arial" w:cs="Arial" w:eastAsia="Arial" w:hAnsi="Arial"/>
          <w:sz w:val="18"/>
          <w:szCs w:val="18"/>
          <w:color w:val="auto"/>
        </w:rPr>
        <w:t>(Paragraph omitted pursuant to SEC Release Nos. 33-8238/34-47986 and 33-8392/34-49313);</w:t>
      </w:r>
    </w:p>
    <w:p>
      <w:pPr>
        <w:spacing w:after="0" w:line="225" w:lineRule="exact"/>
        <w:rPr>
          <w:rFonts w:ascii="Arial" w:cs="Arial" w:eastAsia="Arial" w:hAnsi="Arial"/>
          <w:sz w:val="18"/>
          <w:szCs w:val="18"/>
          <w:color w:val="auto"/>
        </w:rPr>
      </w:pPr>
    </w:p>
    <w:p>
      <w:pPr>
        <w:jc w:val="both"/>
        <w:ind w:left="660" w:hanging="4"/>
        <w:spacing w:after="0" w:line="248" w:lineRule="auto"/>
        <w:tabs>
          <w:tab w:leader="none" w:pos="850"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my conclusions about the effectiveness of the disclosure controls and procedures, as of the end of the period covered by this report based on such evaluation; and</w:t>
      </w:r>
    </w:p>
    <w:p>
      <w:pPr>
        <w:spacing w:after="0" w:line="195" w:lineRule="exact"/>
        <w:rPr>
          <w:rFonts w:ascii="Arial" w:cs="Arial" w:eastAsia="Arial" w:hAnsi="Arial"/>
          <w:sz w:val="18"/>
          <w:szCs w:val="18"/>
          <w:color w:val="auto"/>
        </w:rPr>
      </w:pPr>
    </w:p>
    <w:p>
      <w:pPr>
        <w:jc w:val="both"/>
        <w:ind w:left="660" w:hanging="4"/>
        <w:spacing w:after="0" w:line="270" w:lineRule="auto"/>
        <w:tabs>
          <w:tab w:leader="none" w:pos="886" w:val="left"/>
        </w:tabs>
        <w:numPr>
          <w:ilvl w:val="1"/>
          <w:numId w:val="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Arial" w:cs="Arial" w:eastAsia="Arial" w:hAnsi="Arial"/>
          <w:sz w:val="17"/>
          <w:szCs w:val="17"/>
          <w:color w:val="auto"/>
        </w:rPr>
      </w:pPr>
    </w:p>
    <w:p>
      <w:pPr>
        <w:jc w:val="both"/>
        <w:ind w:firstLine="8"/>
        <w:spacing w:after="0" w:line="248" w:lineRule="auto"/>
        <w:tabs>
          <w:tab w:leader="none" w:pos="188"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5" w:lineRule="exact"/>
        <w:rPr>
          <w:rFonts w:ascii="Arial" w:cs="Arial" w:eastAsia="Arial" w:hAnsi="Arial"/>
          <w:sz w:val="18"/>
          <w:szCs w:val="18"/>
          <w:color w:val="auto"/>
        </w:rPr>
      </w:pPr>
    </w:p>
    <w:p>
      <w:pPr>
        <w:jc w:val="both"/>
        <w:ind w:left="660" w:hanging="4"/>
        <w:spacing w:after="0" w:line="248" w:lineRule="auto"/>
        <w:tabs>
          <w:tab w:leader="none" w:pos="865"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5" w:lineRule="exact"/>
        <w:rPr>
          <w:rFonts w:ascii="Arial" w:cs="Arial" w:eastAsia="Arial" w:hAnsi="Arial"/>
          <w:sz w:val="18"/>
          <w:szCs w:val="18"/>
          <w:color w:val="auto"/>
        </w:rPr>
      </w:pPr>
    </w:p>
    <w:p>
      <w:pPr>
        <w:ind w:left="660" w:right="20" w:hanging="4"/>
        <w:spacing w:after="0" w:line="261" w:lineRule="auto"/>
        <w:tabs>
          <w:tab w:leader="none" w:pos="892"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50" w:lineRule="exact"/>
        <w:rPr>
          <w:sz w:val="20"/>
          <w:szCs w:val="20"/>
          <w:color w:val="auto"/>
        </w:rPr>
      </w:pPr>
    </w:p>
    <w:p>
      <w:pPr>
        <w:ind w:left="5120"/>
        <w:spacing w:after="0"/>
        <w:tabs>
          <w:tab w:leader="none" w:pos="5360" w:val="left"/>
        </w:tabs>
        <w:rPr>
          <w:sz w:val="20"/>
          <w:szCs w:val="20"/>
          <w:color w:val="auto"/>
        </w:rPr>
      </w:pPr>
      <w:r>
        <w:rPr>
          <w:rFonts w:ascii="Arial" w:cs="Arial" w:eastAsia="Arial" w:hAnsi="Arial"/>
          <w:sz w:val="18"/>
          <w:szCs w:val="18"/>
          <w:color w:val="auto"/>
        </w:rPr>
        <w:t>:</w:t>
        <w:tab/>
        <w:t>/s/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-1905</wp:posOffset>
            </wp:positionV>
            <wp:extent cx="28803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4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Alex Weil</w:t>
      </w:r>
    </w:p>
    <w:p>
      <w:pPr>
        <w:spacing w:after="0" w:line="50"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June 30, 2021, as filed with the Securities and Exchange Commission (the “Report”), I, Jonas Grossman, Chief Executive Officer of the Company, certify, pursuant to 18 U.S.C. §1350, as added by §906 of the Sarbanes-Oxley Act of 2002, that:</w:t>
      </w:r>
    </w:p>
    <w:p>
      <w:pPr>
        <w:spacing w:after="0" w:line="177" w:lineRule="exact"/>
        <w:rPr>
          <w:sz w:val="20"/>
          <w:szCs w:val="20"/>
          <w:color w:val="auto"/>
        </w:rPr>
      </w:pPr>
    </w:p>
    <w:p>
      <w:pPr>
        <w:ind w:left="840" w:hanging="184"/>
        <w:spacing w:after="0"/>
        <w:tabs>
          <w:tab w:leader="none" w:pos="84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61" w:lineRule="auto"/>
        <w:tabs>
          <w:tab w:leader="none" w:pos="843"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50"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 /s/ Jonas Grossman</w:t>
      </w:r>
    </w:p>
    <w:p>
      <w:pPr>
        <w:spacing w:after="0" w:line="63"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Jonas Grossman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-130175</wp:posOffset>
            </wp:positionV>
            <wp:extent cx="293179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931795" cy="8255"/>
                    </a:xfrm>
                    <a:prstGeom prst="rect">
                      <a:avLst/>
                    </a:prstGeom>
                    <a:noFill/>
                  </pic:spPr>
                </pic:pic>
              </a:graphicData>
            </a:graphic>
          </wp:anchor>
        </w:drawing>
      </w:r>
    </w:p>
    <w:p>
      <w:pPr>
        <w:spacing w:after="0" w:line="16" w:lineRule="exact"/>
        <w:rPr>
          <w:sz w:val="20"/>
          <w:szCs w:val="20"/>
          <w:color w:val="auto"/>
        </w:rPr>
      </w:pPr>
    </w:p>
    <w:p>
      <w:pPr>
        <w:ind w:left="5280"/>
        <w:spacing w:after="0"/>
        <w:rPr>
          <w:sz w:val="20"/>
          <w:szCs w:val="20"/>
          <w:color w:val="auto"/>
        </w:rPr>
      </w:pPr>
      <w:r>
        <w:rPr>
          <w:rFonts w:ascii="Arial" w:cs="Arial" w:eastAsia="Arial" w:hAnsi="Arial"/>
          <w:sz w:val="17"/>
          <w:szCs w:val="17"/>
          <w:i w:val="1"/>
          <w:iCs w:val="1"/>
          <w:color w:val="auto"/>
        </w:rPr>
        <w:t>Chief Executive Officer, President, Secretary, Treasurer and</w:t>
      </w:r>
    </w:p>
    <w:p>
      <w:pPr>
        <w:spacing w:after="0" w:line="19" w:lineRule="exact"/>
        <w:rPr>
          <w:sz w:val="20"/>
          <w:szCs w:val="20"/>
          <w:color w:val="auto"/>
        </w:rPr>
      </w:pPr>
    </w:p>
    <w:p>
      <w:pPr>
        <w:ind w:left="5280"/>
        <w:spacing w:after="0"/>
        <w:rPr>
          <w:sz w:val="20"/>
          <w:szCs w:val="20"/>
          <w:color w:val="auto"/>
        </w:rPr>
      </w:pPr>
      <w:r>
        <w:rPr>
          <w:rFonts w:ascii="Arial" w:cs="Arial" w:eastAsia="Arial" w:hAnsi="Arial"/>
          <w:sz w:val="18"/>
          <w:szCs w:val="18"/>
          <w:i w:val="1"/>
          <w:iCs w:val="1"/>
          <w:color w:val="auto"/>
        </w:rPr>
        <w:t>Director</w:t>
      </w:r>
    </w:p>
    <w:p>
      <w:pPr>
        <w:ind w:left="5280"/>
        <w:spacing w:after="0"/>
        <w:rPr>
          <w:sz w:val="20"/>
          <w:szCs w:val="20"/>
          <w:color w:val="auto"/>
        </w:rPr>
      </w:pPr>
      <w:r>
        <w:rPr>
          <w:rFonts w:ascii="Arial" w:cs="Arial" w:eastAsia="Arial" w:hAnsi="Arial"/>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527685</wp:posOffset>
            </wp:positionV>
            <wp:extent cx="6292215"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21" w:right="99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connection with the Quarterly Report of Chardan NexTech Acquisition 2 Corp (the “Company”) on Form 10-Q for the quarterly period ended June 30, 2021, as filed with the Securities and Exchange Commission (the “Report”), I, Alex Weil, Chief Financial Officer of the Company, certify, pursuant to 18 U.S.C. §1350, as added by §906 of the Sarbanes-Oxley Act of 2002, that:</w:t>
      </w:r>
    </w:p>
    <w:p>
      <w:pPr>
        <w:spacing w:after="0" w:line="177" w:lineRule="exact"/>
        <w:rPr>
          <w:sz w:val="20"/>
          <w:szCs w:val="20"/>
          <w:color w:val="auto"/>
        </w:rPr>
      </w:pPr>
    </w:p>
    <w:p>
      <w:pPr>
        <w:ind w:left="840" w:hanging="184"/>
        <w:spacing w:after="0"/>
        <w:tabs>
          <w:tab w:leader="none" w:pos="8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6" w:lineRule="exact"/>
        <w:rPr>
          <w:rFonts w:ascii="Arial" w:cs="Arial" w:eastAsia="Arial" w:hAnsi="Arial"/>
          <w:sz w:val="17"/>
          <w:szCs w:val="17"/>
          <w:color w:val="auto"/>
        </w:rPr>
      </w:pPr>
    </w:p>
    <w:p>
      <w:pPr>
        <w:ind w:left="660" w:hanging="4"/>
        <w:spacing w:after="0" w:line="261" w:lineRule="auto"/>
        <w:tabs>
          <w:tab w:leader="none" w:pos="843"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my knowledge, the information contained in the Report fairly presents, in all material respects, the financial condition and results of operations of the Company as of and for the period covered by the Report.</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23, 2021</w:t>
      </w:r>
    </w:p>
    <w:p>
      <w:pPr>
        <w:spacing w:after="0" w:line="10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By:/s/ Alex Weil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6350</wp:posOffset>
            </wp:positionV>
            <wp:extent cx="29743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30" w:lineRule="exact"/>
        <w:rPr>
          <w:sz w:val="20"/>
          <w:szCs w:val="20"/>
          <w:color w:val="auto"/>
        </w:rPr>
      </w:pPr>
    </w:p>
    <w:p>
      <w:pPr>
        <w:ind w:left="5240"/>
        <w:spacing w:after="0"/>
        <w:rPr>
          <w:sz w:val="20"/>
          <w:szCs w:val="20"/>
          <w:color w:val="auto"/>
        </w:rPr>
      </w:pPr>
      <w:r>
        <w:rPr>
          <w:rFonts w:ascii="Arial" w:cs="Arial" w:eastAsia="Arial" w:hAnsi="Arial"/>
          <w:sz w:val="18"/>
          <w:szCs w:val="18"/>
          <w:color w:val="auto"/>
        </w:rPr>
        <w:t>Alex Weil</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Chief Financial Officer</w:t>
      </w:r>
    </w:p>
    <w:p>
      <w:pPr>
        <w:spacing w:after="0" w:line="50" w:lineRule="exact"/>
        <w:rPr>
          <w:sz w:val="20"/>
          <w:szCs w:val="20"/>
          <w:color w:val="auto"/>
        </w:rPr>
      </w:pPr>
    </w:p>
    <w:p>
      <w:pPr>
        <w:ind w:left="52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503555</wp:posOffset>
            </wp:positionV>
            <wp:extent cx="6292215"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21"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lvl w:ilvl="1">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1)"/>
      <w:numFmt w:val="lowerRoman"/>
      <w:start w:val="1"/>
    </w:lvl>
  </w:abstractNum>
  <w:abstractNum w:abstractNumId="5">
    <w:nsid w:val="7545E146"/>
    <w:multiLevelType w:val="hybridMultilevel"/>
    <w:lvl w:ilvl="0">
      <w:lvlJc w:val="left"/>
      <w:lvlText w:val="%1)"/>
      <w:numFmt w:val="decimal"/>
      <w:start w:val="5"/>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2021-09-23T18:15:13Z</dcterms:created>
  <dcterms:modified xsi:type="dcterms:W3CDTF">2021-09-23T18:15:13Z</dcterms:modified>
</cp:coreProperties>
</file>