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PROPPER KERRY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1190 TRADEMARK DRIVE #108</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3"/>
                <w:szCs w:val="3"/>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78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restart"/>
          </w:tcPr>
          <w:p>
            <w:pPr>
              <w:ind w:left="600"/>
              <w:spacing w:after="0" w:line="129" w:lineRule="exact"/>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6"/>
                <w:szCs w:val="6"/>
                <w:color w:val="auto"/>
              </w:rPr>
            </w:pPr>
          </w:p>
        </w:tc>
        <w:tc>
          <w:tcPr>
            <w:tcW w:w="12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330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7"/>
                <w:szCs w:val="17"/>
                <w:color w:val="0000FF"/>
              </w:rPr>
              <w:t>Former Director</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10/07/2022</w:t>
            </w:r>
          </w:p>
        </w:tc>
        <w:tc>
          <w:tcPr>
            <w:tcW w:w="840" w:type="dxa"/>
            <w:vAlign w:val="bottom"/>
          </w:tcPr>
          <w:p>
            <w:pPr>
              <w:spacing w:after="0"/>
              <w:rPr>
                <w:sz w:val="19"/>
                <w:szCs w:val="19"/>
                <w:color w:val="auto"/>
              </w:rPr>
            </w:pPr>
          </w:p>
        </w:tc>
        <w:tc>
          <w:tcPr>
            <w:tcW w:w="3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10/07/2022</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500,000</w:t>
            </w:r>
            <w:r>
              <w:rPr>
                <w:rFonts w:ascii="Times New Roman" w:cs="Times New Roman" w:eastAsia="Times New Roman" w:hAnsi="Times New Roman"/>
                <w:sz w:val="22"/>
                <w:szCs w:val="22"/>
                <w:color w:val="008000"/>
                <w:vertAlign w:val="superscript"/>
              </w:rPr>
              <w:t>(3)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7, 2022, the Issuer consummated its initial business combination (the "Business Combination") with Dragonfly Energy Corp. In connection with the Business Combination, Chardan Capital Markets LLC ("CCM LLC") was party to a subscription agreement (the "Subscription Agreement"), pursuant to which CCM LLC agreed to purchase 500,000 shares of common stock from the Issuer for aggregate proceeds of $5 million.</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Subscription Agreement, the number of shares CCM LLC was obligated to purchase was to be reduced by the number of shares purchased by CCM LLC in the open market (and not redeemed), and the aggregate price to be paid under the Subscription Agreement was to be reduced by the amount of proceeds received by the Issuer because such shares were not redeemed. After CCM LLC's open market purchases of 485,000 shares of common stock prior to the closing of the Business Combination, pursuant to the terms of the Subscription Agreement, CCM LLC received these 15,000 shares for no additional consideration.</w:t>
      </w:r>
    </w:p>
    <w:p>
      <w:pPr>
        <w:spacing w:after="0" w:line="24"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directly by CCM LLC, for which Mr. Propper is the Chairman, a co-founder and a partner. Following the closing of the Business Combination, all investment and voting power over these Issuer securities was delegated to another manager of CCM LLC, and Mr. Propper disclaims any beneficial ownership over these securities.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Mr. Propper disclaims any beneficial ownership of the securities reported herein other than to the extent of any pecuniary interest he may have therein, directly or indirectly. The inclusion of the securities in this report shall not be deemed an admission of beneficial ownership of all of the reported securities for purposes of Section 16 or for any other purpose or that any of the transactions reported herein are subject to Section 16.</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Kerry Propper</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10/12/2022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82327"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2022-10-12T18:26:59Z</dcterms:created>
  <dcterms:modified xsi:type="dcterms:W3CDTF">2022-10-12T18:26:59Z</dcterms:modified>
</cp:coreProperties>
</file>