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1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May 16, 2022 (May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0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1"/>
          <w:szCs w:val="21"/>
          <w:b w:val="1"/>
          <w:bCs w:val="1"/>
          <w:color w:val="auto"/>
        </w:rPr>
        <w:t>CHARDAN NEXTECH ACQUISITION 2 CORP.</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62" w:right="299" w:bottom="1440" w:gutter="0" w:footer="0" w:header="0"/>
        </w:sectPr>
      </w:pPr>
    </w:p>
    <w:p>
      <w:pPr>
        <w:spacing w:after="0" w:line="323" w:lineRule="exact"/>
        <w:rPr>
          <w:sz w:val="24"/>
          <w:szCs w:val="24"/>
          <w:color w:val="auto"/>
        </w:rPr>
      </w:pPr>
    </w:p>
    <w:p>
      <w:pPr>
        <w:ind w:left="162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88"/>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spacing w:after="0" w:line="18" w:lineRule="exact"/>
        <w:rPr>
          <w:sz w:val="24"/>
          <w:szCs w:val="24"/>
          <w:color w:val="auto"/>
        </w:rPr>
      </w:pPr>
    </w:p>
    <w:p>
      <w:pPr>
        <w:ind w:left="1428"/>
        <w:spacing w:after="0"/>
        <w:rPr>
          <w:sz w:val="20"/>
          <w:szCs w:val="20"/>
          <w:color w:val="auto"/>
        </w:rPr>
      </w:pPr>
      <w:r>
        <w:rPr>
          <w:rFonts w:ascii="Times New Roman" w:cs="Times New Roman" w:eastAsia="Times New Roman" w:hAnsi="Times New Roman"/>
          <w:sz w:val="12"/>
          <w:szCs w:val="12"/>
          <w:b w:val="1"/>
          <w:bCs w:val="1"/>
          <w:color w:val="auto"/>
        </w:rPr>
        <w:t>of incorporation)</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2"/>
          <w:szCs w:val="12"/>
          <w:b w:val="1"/>
          <w:bCs w:val="1"/>
          <w:color w:val="auto"/>
        </w:rPr>
        <w:t>001-40730</w:t>
      </w:r>
    </w:p>
    <w:p>
      <w:pPr>
        <w:spacing w:after="0" w:line="21"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6"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spacing w:after="0" w:line="303"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2"/>
          <w:szCs w:val="12"/>
          <w:b w:val="1"/>
          <w:bCs w:val="1"/>
          <w:color w:val="auto"/>
        </w:rPr>
        <w:t>85-1873463</w:t>
      </w:r>
    </w:p>
    <w:p>
      <w:pPr>
        <w:spacing w:after="0" w:line="21"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line="6" w:lineRule="exact"/>
        <w:rPr>
          <w:sz w:val="24"/>
          <w:szCs w:val="24"/>
          <w:color w:val="auto"/>
        </w:rPr>
      </w:pPr>
    </w:p>
    <w:p>
      <w:pPr>
        <w:jc w:val="center"/>
        <w:ind w:right="1400"/>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46" w:lineRule="exact"/>
        <w:rPr>
          <w:sz w:val="24"/>
          <w:szCs w:val="24"/>
          <w:color w:val="auto"/>
        </w:rPr>
      </w:pPr>
    </w:p>
    <w:p>
      <w:pPr>
        <w:sectPr>
          <w:pgSz w:w="11900" w:h="16838" w:orient="portrait"/>
          <w:cols w:equalWidth="0" w:num="3">
            <w:col w:w="4588" w:space="720"/>
            <w:col w:w="2940" w:space="720"/>
            <w:col w:w="2340"/>
          </w:cols>
          <w:pgMar w:left="292" w:top="562" w:right="299" w:bottom="1440" w:gutter="0" w:footer="0" w:header="0"/>
          <w:type w:val="continuous"/>
        </w:sectPr>
      </w:pPr>
    </w:p>
    <w:p>
      <w:pPr>
        <w:jc w:val="center"/>
        <w:ind w:right="1852"/>
        <w:spacing w:after="0"/>
        <w:rPr>
          <w:sz w:val="20"/>
          <w:szCs w:val="20"/>
          <w:color w:val="auto"/>
        </w:rPr>
      </w:pPr>
      <w:r>
        <w:rPr>
          <w:rFonts w:ascii="Times New Roman" w:cs="Times New Roman" w:eastAsia="Times New Roman" w:hAnsi="Times New Roman"/>
          <w:sz w:val="12"/>
          <w:szCs w:val="12"/>
          <w:b w:val="1"/>
          <w:bCs w:val="1"/>
          <w:color w:val="auto"/>
        </w:rPr>
        <w:t>17 State Street, 21st Floor</w:t>
      </w:r>
    </w:p>
    <w:p>
      <w:pPr>
        <w:spacing w:after="0" w:line="21" w:lineRule="exact"/>
        <w:rPr>
          <w:sz w:val="24"/>
          <w:szCs w:val="24"/>
          <w:color w:val="auto"/>
        </w:rPr>
      </w:pPr>
    </w:p>
    <w:p>
      <w:pPr>
        <w:jc w:val="center"/>
        <w:ind w:right="1852"/>
        <w:spacing w:after="0"/>
        <w:rPr>
          <w:sz w:val="20"/>
          <w:szCs w:val="20"/>
          <w:color w:val="auto"/>
        </w:rPr>
      </w:pPr>
      <w:r>
        <w:rPr>
          <w:rFonts w:ascii="Times New Roman" w:cs="Times New Roman" w:eastAsia="Times New Roman" w:hAnsi="Times New Roman"/>
          <w:sz w:val="12"/>
          <w:szCs w:val="12"/>
          <w:b w:val="1"/>
          <w:bCs w:val="1"/>
          <w:color w:val="auto"/>
        </w:rPr>
        <w:t>New York, NY</w:t>
      </w:r>
    </w:p>
    <w:p>
      <w:pPr>
        <w:spacing w:after="0" w:line="6" w:lineRule="exact"/>
        <w:rPr>
          <w:sz w:val="24"/>
          <w:szCs w:val="24"/>
          <w:color w:val="auto"/>
        </w:rPr>
      </w:pPr>
    </w:p>
    <w:p>
      <w:pPr>
        <w:jc w:val="center"/>
        <w:ind w:right="1852"/>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60"/>
        <w:spacing w:after="0"/>
        <w:rPr>
          <w:sz w:val="20"/>
          <w:szCs w:val="20"/>
          <w:color w:val="auto"/>
        </w:rPr>
      </w:pPr>
      <w:r>
        <w:rPr>
          <w:rFonts w:ascii="Times New Roman" w:cs="Times New Roman" w:eastAsia="Times New Roman" w:hAnsi="Times New Roman"/>
          <w:sz w:val="12"/>
          <w:szCs w:val="12"/>
          <w:b w:val="1"/>
          <w:bCs w:val="1"/>
          <w:color w:val="auto"/>
        </w:rPr>
        <w:t>10004</w:t>
      </w:r>
    </w:p>
    <w:p>
      <w:pPr>
        <w:spacing w:after="0" w:line="21" w:lineRule="exact"/>
        <w:rPr>
          <w:sz w:val="24"/>
          <w:szCs w:val="24"/>
          <w:color w:val="auto"/>
        </w:rPr>
      </w:pPr>
    </w:p>
    <w:p>
      <w:pPr>
        <w:jc w:val="center"/>
        <w:ind w:right="2560"/>
        <w:spacing w:after="0"/>
        <w:rPr>
          <w:sz w:val="20"/>
          <w:szCs w:val="20"/>
          <w:color w:val="auto"/>
        </w:rPr>
      </w:pPr>
      <w:r>
        <w:rPr>
          <w:rFonts w:ascii="Times New Roman" w:cs="Times New Roman" w:eastAsia="Times New Roman" w:hAnsi="Times New Roman"/>
          <w:sz w:val="11"/>
          <w:szCs w:val="11"/>
          <w:b w:val="1"/>
          <w:bCs w:val="1"/>
          <w:color w:val="auto"/>
        </w:rPr>
        <w:t>(Zip Code)</w:t>
      </w:r>
    </w:p>
    <w:p>
      <w:pPr>
        <w:spacing w:after="0" w:line="147" w:lineRule="exact"/>
        <w:rPr>
          <w:sz w:val="24"/>
          <w:szCs w:val="24"/>
          <w:color w:val="auto"/>
        </w:rPr>
      </w:pPr>
    </w:p>
    <w:p>
      <w:pPr>
        <w:sectPr>
          <w:pgSz w:w="11900" w:h="16838" w:orient="portrait"/>
          <w:cols w:equalWidth="0" w:num="2">
            <w:col w:w="7488" w:space="720"/>
            <w:col w:w="3100"/>
          </w:cols>
          <w:pgMar w:left="292" w:top="562" w:right="299" w:bottom="1440" w:gutter="0" w:footer="0" w:header="0"/>
          <w:type w:val="continuous"/>
        </w:sect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(646) 465-9000</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62" w:right="299" w:bottom="1440" w:gutter="0" w:footer="0" w:header="0"/>
          <w:type w:val="continuous"/>
        </w:sectPr>
      </w:pPr>
    </w:p>
    <w:p>
      <w:pPr>
        <w:spacing w:after="0" w:line="32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sz w:val="24"/>
          <w:szCs w:val="24"/>
          <w:color w:val="auto"/>
        </w:rPr>
      </w:pPr>
    </w:p>
    <w:p>
      <w:pPr>
        <w:ind w:left="208" w:hanging="208"/>
        <w:spacing w:after="0"/>
        <w:tabs>
          <w:tab w:leader="none" w:pos="20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740" w:hanging="8"/>
        <w:spacing w:after="0" w:line="497" w:lineRule="auto"/>
        <w:tabs>
          <w:tab w:leader="none" w:pos="224"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Securities Exchange Act of 1934:</w:t>
      </w:r>
    </w:p>
    <w:tbl>
      <w:tblPr>
        <w:tblLayout w:type="fixed"/>
        <w:tblInd w:w="8" w:type="dxa"/>
        <w:tblCellMar>
          <w:top w:w="0" w:type="dxa"/>
          <w:left w:w="0" w:type="dxa"/>
          <w:bottom w:w="0" w:type="dxa"/>
          <w:right w:w="0" w:type="dxa"/>
        </w:tblCellMar>
      </w:tblPr>
      <w:tr>
        <w:trPr>
          <w:trHeight w:val="144"/>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Trading</w:t>
            </w:r>
          </w:p>
        </w:tc>
        <w:tc>
          <w:tcPr>
            <w:tcW w:w="3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r>
      <w:tr>
        <w:trPr>
          <w:trHeight w:val="159"/>
        </w:trPr>
        <w:tc>
          <w:tcPr>
            <w:tcW w:w="57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Symbol(s)</w:t>
            </w:r>
          </w:p>
        </w:tc>
        <w:tc>
          <w:tcPr>
            <w:tcW w:w="3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r>
      <w:tr>
        <w:trPr>
          <w:trHeight w:val="118"/>
        </w:trPr>
        <w:tc>
          <w:tcPr>
            <w:tcW w:w="5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w w:val="99"/>
              </w:rPr>
              <w:t>Units, consisting of one share of Common Stock, $0.0001 par value per share, and three-quarters of one</w:t>
            </w:r>
          </w:p>
        </w:tc>
        <w:tc>
          <w:tcPr>
            <w:tcW w:w="100" w:type="dxa"/>
            <w:vAlign w:val="bottom"/>
          </w:tcPr>
          <w:p>
            <w:pPr>
              <w:spacing w:after="0"/>
              <w:rPr>
                <w:sz w:val="10"/>
                <w:szCs w:val="10"/>
                <w:color w:val="auto"/>
              </w:rPr>
            </w:pPr>
          </w:p>
        </w:tc>
        <w:tc>
          <w:tcPr>
            <w:tcW w:w="1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740" w:type="dxa"/>
            <w:vAlign w:val="bottom"/>
            <w:tcBorders>
              <w:top w:val="single" w:sz="8" w:color="auto"/>
            </w:tcBorders>
          </w:tcPr>
          <w:p>
            <w:pPr>
              <w:spacing w:after="0"/>
              <w:rPr>
                <w:sz w:val="10"/>
                <w:szCs w:val="10"/>
                <w:color w:val="auto"/>
              </w:rPr>
            </w:pPr>
          </w:p>
        </w:tc>
      </w:tr>
      <w:tr>
        <w:trPr>
          <w:trHeight w:val="144"/>
        </w:trPr>
        <w:tc>
          <w:tcPr>
            <w:tcW w:w="57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Redeemable Warrant</w:t>
            </w:r>
          </w:p>
        </w:tc>
        <w:tc>
          <w:tcPr>
            <w:tcW w:w="180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CNTQU</w:t>
            </w:r>
          </w:p>
        </w:tc>
        <w:tc>
          <w:tcPr>
            <w:tcW w:w="3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Capital Market</w:t>
            </w:r>
          </w:p>
        </w:tc>
      </w:tr>
      <w:tr>
        <w:trPr>
          <w:trHeight w:val="144"/>
        </w:trPr>
        <w:tc>
          <w:tcPr>
            <w:tcW w:w="57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Common Stock, par value $0.0001 per share, included as part of the Units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CNTQ</w:t>
            </w:r>
          </w:p>
        </w:tc>
        <w:tc>
          <w:tcPr>
            <w:tcW w:w="3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Capital Market</w:t>
            </w:r>
          </w:p>
        </w:tc>
      </w:tr>
      <w:tr>
        <w:trPr>
          <w:trHeight w:val="144"/>
        </w:trPr>
        <w:tc>
          <w:tcPr>
            <w:tcW w:w="57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Redeemable Warrants included as part of the Units, each exercisable for one share of Common Stock for</w:t>
            </w: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40" w:type="dxa"/>
            <w:vAlign w:val="bottom"/>
          </w:tcPr>
          <w:p>
            <w:pPr>
              <w:spacing w:after="0"/>
              <w:rPr>
                <w:sz w:val="12"/>
                <w:szCs w:val="12"/>
                <w:color w:val="auto"/>
              </w:rPr>
            </w:pPr>
          </w:p>
        </w:tc>
      </w:tr>
      <w:tr>
        <w:trPr>
          <w:trHeight w:val="159"/>
        </w:trPr>
        <w:tc>
          <w:tcPr>
            <w:tcW w:w="57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$11.50 per share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CNTQW</w:t>
            </w:r>
          </w:p>
        </w:tc>
        <w:tc>
          <w:tcPr>
            <w:tcW w:w="3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Capital Market</w:t>
            </w:r>
          </w:p>
        </w:tc>
      </w:tr>
    </w:tbl>
    <w:p>
      <w:pPr>
        <w:spacing w:after="0" w:line="133" w:lineRule="exact"/>
        <w:rPr>
          <w:sz w:val="24"/>
          <w:szCs w:val="24"/>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0" w:lineRule="exact"/>
        <w:rPr>
          <w:sz w:val="24"/>
          <w:szCs w:val="24"/>
          <w:color w:val="auto"/>
        </w:rPr>
      </w:pPr>
    </w:p>
    <w:p>
      <w:pPr>
        <w:jc w:val="both"/>
        <w:ind w:left="8" w:right="2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398145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62"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On May 16, 2022, Chardan NexTech Acquisition 2 Corp., a Delaware corporation (“</w:t>
      </w:r>
      <w:r>
        <w:rPr>
          <w:rFonts w:ascii="Times New Roman" w:cs="Times New Roman" w:eastAsia="Times New Roman" w:hAnsi="Times New Roman"/>
          <w:sz w:val="12"/>
          <w:szCs w:val="12"/>
          <w:u w:val="single" w:color="auto"/>
          <w:color w:val="auto"/>
        </w:rPr>
        <w:t>Chardan</w:t>
      </w:r>
      <w:r>
        <w:rPr>
          <w:rFonts w:ascii="Times New Roman" w:cs="Times New Roman" w:eastAsia="Times New Roman" w:hAnsi="Times New Roman"/>
          <w:sz w:val="12"/>
          <w:szCs w:val="12"/>
          <w:color w:val="auto"/>
        </w:rPr>
        <w:t>”), and Dragonfly Energy Corp., a Nevada corporation (“</w:t>
      </w:r>
      <w:r>
        <w:rPr>
          <w:rFonts w:ascii="Times New Roman" w:cs="Times New Roman" w:eastAsia="Times New Roman" w:hAnsi="Times New Roman"/>
          <w:sz w:val="12"/>
          <w:szCs w:val="12"/>
          <w:u w:val="single" w:color="auto"/>
          <w:color w:val="auto"/>
        </w:rPr>
        <w:t>Dragonfly</w:t>
      </w:r>
      <w:r>
        <w:rPr>
          <w:rFonts w:ascii="Times New Roman" w:cs="Times New Roman" w:eastAsia="Times New Roman" w:hAnsi="Times New Roman"/>
          <w:sz w:val="12"/>
          <w:szCs w:val="12"/>
          <w:color w:val="auto"/>
        </w:rPr>
        <w:t>”), issued a joint press release (the “</w:t>
      </w:r>
      <w:r>
        <w:rPr>
          <w:rFonts w:ascii="Times New Roman" w:cs="Times New Roman" w:eastAsia="Times New Roman" w:hAnsi="Times New Roman"/>
          <w:sz w:val="12"/>
          <w:szCs w:val="12"/>
          <w:u w:val="single" w:color="auto"/>
          <w:color w:val="auto"/>
        </w:rPr>
        <w:t>Press Release</w:t>
      </w:r>
      <w:r>
        <w:rPr>
          <w:rFonts w:ascii="Times New Roman" w:cs="Times New Roman" w:eastAsia="Times New Roman" w:hAnsi="Times New Roman"/>
          <w:sz w:val="12"/>
          <w:szCs w:val="12"/>
          <w:color w:val="auto"/>
        </w:rPr>
        <w:t>”) announcing the execution of an Agreement and Plan of Merger, dated as of May 15, 2022, by and among Chardan, Dragonfly and Bronco Merger Sub, Inc., a Nevada corporation and a direct, wholly owned subsidiary of Chardan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The Press Release is attached hereto as Exhibit 99.1 and incorporated by reference herein.</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Attached as Exhibit 99.2 and incorporated herein by reference is an investor presentation, dated as of May 16, 2022, for use by Chardan and Dragonfly in meetings with certain of Chardan’s stockholders as well as other persons with respect to Chardan’s proposed transaction with Dragonfly.</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information in this Item 7.01, including Exhibit 99.1 and Exhibit 99.2, is furnished and shall not be deemed “filed” for purposes of Section 18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or otherwise subject to liabilities under that section, and shall not be deemed to be incorporated by reference into the filings of Chardan under the Securities Act or the Exchange Act, regardless of any general incorporation language in such filings. This Current Report on Form 8-K will not be deemed an admission as to the materiality of any information of the information contained in this Item 7.01, including Exhibit 99.1 and Exhibit 99.2.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This Current Report on Form 8-K relates to a proposed transaction between Chardan and Dragonfly. Chardan intends to file a registration statement on Form S-4 with the U.S. Securities and Exchange Commission (the “</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which will include a document that serves as a prospectus and proxy statement of Chardan, referred to as a proxy statement/prospectus. A proxy statement/prospectus will be sent to all Chardan stockholders. Chardan also will file other documents regarding the proposed transaction with the SEC. Before making any voting decision, investors and security holders of Chardan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2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Investors and security holders will be able to obtain free copies of the registration statement, the proxy statement/prospectus and all other relevant documents filed or that will be filed with the SEC by Chardan through the website maintained by the SEC at www.sec.gov.</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documents filed by Chardan with the SEC also may be obtained by contacting Chardan NexTech Acquisition 2 Corp. at 17 State Street, 21st Floor, New York, New York 10004, or by calling (646) 465-9001.</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NEITHER THE SEC NOR ANY STATE SECURITIES REGULATORY AGENCY HAS APPROVED OR DISAPPROVED THE TRANSACTIONS DESCRIBED IN THIS CURRENT REPORT ON FORM 8-K, PASSED UPON THE MERITS OR FAIRNESS OF THE BUSINESS COMBINATION OR RELATED TRANSACTIONS OR PASSED UPON THE ADEQUACY OR ACCURACY OF THE DISCLOSURE IN THIS CURRENT REPORT ON FORM 8-K. ANY REPRESENTATION TO THE CONTRARY CONSTITUTES A CRIMINAL OFFENSE.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Dragonfly, Chardan and certain of their respective directors, executive officers and other members of management and employees may, under SEC rules, be deemed to be participants in the solicitation of proxies from Chardan’s shareholders in connection with the proposed business combination. A list of the names of such persons and information regarding their interests in the proposed business combination will be contained in the proxy statement/prospectus when available. You may obtain free copies of these documents free of charge by directing a written request to Chardan or Dragonfly. The definitive proxy statement will be mailed to Chardan’s shareholders as of a record date to be established for voting on the proposed business combination when it becomes available.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This Current Report on Form 8-K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154"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color w:val="auto"/>
        </w:rPr>
        <w:t>This Current Report on Form 8-K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Current Report on Form 8-K,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Chardan) which could cause actual results to differ materially from those expressed or implied by such forward-looking statements. All forward-looking statements are based upon estimates, forecasts and assumptions that, while considered reasonable by Chardan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Chardan, the combined company or others following the announcement of the business combination and the transactions contemplated thereby; 3) the inability to complete the business combination due to the failure to obtain approval of the stockholders of Chardan or Dragonfly,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Chardan’s securities; 20) the risk that the transaction may not be completed by Chardan’s business combination deadline (as may be extended pursuant to Chardan’s governing documents); 21) the impact of the novel coronavirus disease pandemic, including any mutations or variants thereof, and its effect on business and financial conditions; 22) inability to complete the PIPE investment, the term loan and equity line (ChEF) in connection with the business combination; and 23) other risks and uncertainties set forth in the sections entitled “Risk Factors” and “Cautionary Note Regarding Forward-Looking Statements” in Chardan’s Form S-1 (File Nos. 333-252449 and 333-253016), Annual Report on Form 10-K for the year ended December 31, 2021 and registration statement on Form S-4 with the SEC, which will include a document that serves as a prospectus and proxy statement of Chardan, referred to as a proxy statement/prospectus and other documents filed by Chardan from time to time with the SEC. These filings identify and address other important risks and uncertainties that could cause actual events and results to differ materially from those contained in the forward-looking statements. Nothing in this Current Report on Form 8-K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Chardan or Dragonfly gives any assurance that either Chardan or Dragonfly or the combined company will achieve its expected results. Neither Chardan nor Dragonfly undertakes any duty to update these forward-looking statements, except as otherwise required by law. For additional information, see “Risk Considerations” in the 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240" w:type="dxa"/>
            <w:vAlign w:val="bottom"/>
            <w:gridSpan w:val="4"/>
          </w:tcPr>
          <w:p>
            <w:pPr>
              <w:ind w:left="420"/>
              <w:spacing w:after="0"/>
              <w:rPr>
                <w:sz w:val="20"/>
                <w:szCs w:val="20"/>
                <w:color w:val="auto"/>
              </w:rPr>
            </w:pPr>
            <w:r>
              <w:rPr>
                <w:rFonts w:ascii="Times New Roman" w:cs="Times New Roman" w:eastAsia="Times New Roman" w:hAnsi="Times New Roman"/>
                <w:sz w:val="12"/>
                <w:szCs w:val="12"/>
                <w:color w:val="auto"/>
              </w:rPr>
              <w:t>(d) Exhibits.</w:t>
            </w: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80" w:type="dxa"/>
            <w:vAlign w:val="bottom"/>
          </w:tcPr>
          <w:p>
            <w:pPr>
              <w:spacing w:after="0"/>
              <w:rPr>
                <w:sz w:val="13"/>
                <w:szCs w:val="13"/>
                <w:color w:val="auto"/>
              </w:rPr>
            </w:pPr>
          </w:p>
        </w:tc>
      </w:tr>
      <w:tr>
        <w:trPr>
          <w:trHeight w:val="261"/>
        </w:trPr>
        <w:tc>
          <w:tcPr>
            <w:tcW w:w="660" w:type="dxa"/>
            <w:vAlign w:val="bottom"/>
          </w:tcPr>
          <w:p>
            <w:pPr>
              <w:spacing w:after="0"/>
              <w:rPr>
                <w:sz w:val="22"/>
                <w:szCs w:val="22"/>
                <w:color w:val="auto"/>
              </w:rPr>
            </w:pPr>
          </w:p>
        </w:tc>
        <w:tc>
          <w:tcPr>
            <w:tcW w:w="5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w w:val="95"/>
              </w:rPr>
              <w:t>Exhibit No.</w:t>
            </w:r>
          </w:p>
        </w:tc>
        <w:tc>
          <w:tcPr>
            <w:tcW w:w="680" w:type="dxa"/>
            <w:vAlign w:val="bottom"/>
          </w:tcPr>
          <w:p>
            <w:pPr>
              <w:spacing w:after="0"/>
              <w:rPr>
                <w:sz w:val="22"/>
                <w:szCs w:val="22"/>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7"/>
              </w:rPr>
              <w:t>Description</w:t>
            </w:r>
          </w:p>
        </w:tc>
        <w:tc>
          <w:tcPr>
            <w:tcW w:w="8780" w:type="dxa"/>
            <w:vAlign w:val="bottom"/>
            <w:gridSpan w:val="3"/>
          </w:tcPr>
          <w:p>
            <w:pPr>
              <w:spacing w:after="0"/>
              <w:rPr>
                <w:sz w:val="22"/>
                <w:szCs w:val="22"/>
                <w:color w:val="auto"/>
              </w:rPr>
            </w:pPr>
          </w:p>
        </w:tc>
      </w:tr>
      <w:tr>
        <w:trPr>
          <w:trHeight w:val="124"/>
        </w:trPr>
        <w:tc>
          <w:tcPr>
            <w:tcW w:w="1060" w:type="dxa"/>
            <w:vAlign w:val="bottom"/>
            <w:gridSpan w:val="3"/>
          </w:tcPr>
          <w:p>
            <w:pPr>
              <w:jc w:val="center"/>
              <w:ind w:left="800"/>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380" w:type="dxa"/>
            <w:vAlign w:val="bottom"/>
            <w:gridSpan w:val="4"/>
          </w:tcPr>
          <w:p>
            <w:pPr>
              <w:spacing w:after="0" w:line="124" w:lineRule="exact"/>
              <w:rPr>
                <w:sz w:val="20"/>
                <w:szCs w:val="20"/>
                <w:color w:val="auto"/>
              </w:rPr>
            </w:pPr>
            <w:r>
              <w:rPr>
                <w:rFonts w:ascii="Times New Roman" w:cs="Times New Roman" w:eastAsia="Times New Roman" w:hAnsi="Times New Roman"/>
                <w:sz w:val="12"/>
                <w:szCs w:val="12"/>
                <w:color w:val="0000EE"/>
              </w:rPr>
              <w:t>Press Release, dated as of May 16, 2022</w:t>
            </w:r>
          </w:p>
        </w:tc>
      </w:tr>
      <w:tr>
        <w:trPr>
          <w:trHeight w:val="20"/>
        </w:trPr>
        <w:tc>
          <w:tcPr>
            <w:tcW w:w="880" w:type="dxa"/>
            <w:vAlign w:val="bottom"/>
            <w:tcBorders>
              <w:right w:val="single" w:sz="8" w:color="0000EE"/>
            </w:tcBorders>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24"/>
        </w:trPr>
        <w:tc>
          <w:tcPr>
            <w:tcW w:w="1060" w:type="dxa"/>
            <w:vAlign w:val="bottom"/>
            <w:gridSpan w:val="3"/>
          </w:tcPr>
          <w:p>
            <w:pPr>
              <w:jc w:val="center"/>
              <w:ind w:left="800"/>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2</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380" w:type="dxa"/>
            <w:vAlign w:val="bottom"/>
            <w:gridSpan w:val="4"/>
          </w:tcPr>
          <w:p>
            <w:pPr>
              <w:spacing w:after="0" w:line="124" w:lineRule="exact"/>
              <w:rPr>
                <w:sz w:val="20"/>
                <w:szCs w:val="20"/>
                <w:color w:val="auto"/>
              </w:rPr>
            </w:pPr>
            <w:r>
              <w:rPr>
                <w:rFonts w:ascii="Times New Roman" w:cs="Times New Roman" w:eastAsia="Times New Roman" w:hAnsi="Times New Roman"/>
                <w:sz w:val="12"/>
                <w:szCs w:val="12"/>
                <w:color w:val="0000EE"/>
              </w:rPr>
              <w:t>Investor Presentation, dated as of May 16, 2022</w:t>
            </w:r>
          </w:p>
        </w:tc>
      </w:tr>
      <w:tr>
        <w:trPr>
          <w:trHeight w:val="20"/>
        </w:trPr>
        <w:tc>
          <w:tcPr>
            <w:tcW w:w="8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r>
      <w:tr>
        <w:trPr>
          <w:trHeight w:val="151"/>
        </w:trPr>
        <w:tc>
          <w:tcPr>
            <w:tcW w:w="1060" w:type="dxa"/>
            <w:vAlign w:val="bottom"/>
            <w:gridSpan w:val="3"/>
          </w:tcPr>
          <w:p>
            <w:pPr>
              <w:jc w:val="center"/>
              <w:ind w:left="780"/>
              <w:spacing w:after="0"/>
              <w:rPr>
                <w:sz w:val="20"/>
                <w:szCs w:val="20"/>
                <w:color w:val="auto"/>
              </w:rPr>
            </w:pPr>
            <w:r>
              <w:rPr>
                <w:rFonts w:ascii="Times New Roman" w:cs="Times New Roman" w:eastAsia="Times New Roman" w:hAnsi="Times New Roman"/>
                <w:sz w:val="12"/>
                <w:szCs w:val="12"/>
                <w:color w:val="auto"/>
                <w:w w:val="99"/>
              </w:rPr>
              <w:t>104</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3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The cover page of this Current Report on Form 8-K, formatted in Inline XBRL</w:t>
            </w:r>
          </w:p>
        </w:tc>
      </w:tr>
      <w:tr>
        <w:trPr>
          <w:trHeight w:val="450"/>
        </w:trPr>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00" w:type="dxa"/>
            <w:vAlign w:val="bottom"/>
          </w:tcPr>
          <w:p>
            <w:pPr>
              <w:spacing w:after="0"/>
              <w:rPr>
                <w:sz w:val="13"/>
                <w:szCs w:val="13"/>
                <w:color w:val="auto"/>
              </w:rPr>
            </w:pPr>
          </w:p>
        </w:tc>
        <w:tc>
          <w:tcPr>
            <w:tcW w:w="8000" w:type="dxa"/>
            <w:vAlign w:val="bottom"/>
            <w:gridSpan w:val="3"/>
          </w:tcPr>
          <w:p>
            <w:pPr>
              <w:ind w:left="2360"/>
              <w:spacing w:after="0"/>
              <w:rPr>
                <w:sz w:val="20"/>
                <w:szCs w:val="20"/>
                <w:color w:val="auto"/>
              </w:rPr>
            </w:pPr>
            <w:r>
              <w:rPr>
                <w:rFonts w:ascii="Times New Roman" w:cs="Times New Roman" w:eastAsia="Times New Roman" w:hAnsi="Times New Roman"/>
                <w:sz w:val="12"/>
                <w:szCs w:val="12"/>
                <w:color w:val="auto"/>
              </w:rPr>
              <w:t>CHARDAN NEXTECH ACQUISITION 2 CORP.</w:t>
            </w:r>
          </w:p>
        </w:tc>
      </w:tr>
      <w:tr>
        <w:trPr>
          <w:trHeight w:val="288"/>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Date: May 16, 2022</w:t>
            </w:r>
          </w:p>
        </w:tc>
        <w:tc>
          <w:tcPr>
            <w:tcW w:w="8000" w:type="dxa"/>
            <w:vAlign w:val="bottom"/>
            <w:gridSpan w:val="3"/>
          </w:tcPr>
          <w:p>
            <w:pPr>
              <w:ind w:left="2360"/>
              <w:spacing w:after="0"/>
              <w:rPr>
                <w:sz w:val="20"/>
                <w:szCs w:val="20"/>
                <w:color w:val="auto"/>
              </w:rPr>
            </w:pPr>
            <w:r>
              <w:rPr>
                <w:rFonts w:ascii="Times New Roman" w:cs="Times New Roman" w:eastAsia="Times New Roman" w:hAnsi="Times New Roman"/>
                <w:sz w:val="12"/>
                <w:szCs w:val="12"/>
                <w:color w:val="auto"/>
              </w:rPr>
              <w:t>By:   /s/ Jonas Grossman</w:t>
            </w:r>
          </w:p>
        </w:tc>
      </w:tr>
      <w:tr>
        <w:trPr>
          <w:trHeight w:val="122"/>
        </w:trPr>
        <w:tc>
          <w:tcPr>
            <w:tcW w:w="33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4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860" w:type="dxa"/>
            <w:vAlign w:val="bottom"/>
            <w:tcBorders>
              <w:top w:val="single" w:sz="8" w:color="auto"/>
            </w:tcBorders>
          </w:tcPr>
          <w:p>
            <w:pPr>
              <w:ind w:left="120"/>
              <w:spacing w:after="0" w:line="122" w:lineRule="exact"/>
              <w:rPr>
                <w:sz w:val="20"/>
                <w:szCs w:val="20"/>
                <w:color w:val="auto"/>
              </w:rPr>
            </w:pPr>
            <w:r>
              <w:rPr>
                <w:rFonts w:ascii="Times New Roman" w:cs="Times New Roman" w:eastAsia="Times New Roman" w:hAnsi="Times New Roman"/>
                <w:sz w:val="12"/>
                <w:szCs w:val="12"/>
                <w:color w:val="auto"/>
              </w:rPr>
              <w:t>Jonas Grossman</w:t>
            </w:r>
          </w:p>
        </w:tc>
      </w:tr>
      <w:tr>
        <w:trPr>
          <w:trHeight w:val="155"/>
        </w:trPr>
        <w:tc>
          <w:tcPr>
            <w:tcW w:w="33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86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450"/>
        </w:trPr>
        <w:tc>
          <w:tcPr>
            <w:tcW w:w="33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6361430</wp:posOffset>
            </wp:positionH>
            <wp:positionV relativeFrom="paragraph">
              <wp:posOffset>104775</wp:posOffset>
            </wp:positionV>
            <wp:extent cx="811530" cy="508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1530" cy="50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Dragonfly Energy, a Leading Energy Storage Company, to Publicly List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on Nasdaq through Business Combination with Chardan NexTech</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Acquisition 2 Corp.</w:t>
      </w:r>
    </w:p>
    <w:p>
      <w:pPr>
        <w:spacing w:after="0" w:line="139" w:lineRule="exact"/>
        <w:rPr>
          <w:sz w:val="20"/>
          <w:szCs w:val="20"/>
          <w:color w:val="auto"/>
        </w:rPr>
      </w:pPr>
    </w:p>
    <w:p>
      <w:pPr>
        <w:ind w:left="420" w:hanging="212"/>
        <w:spacing w:after="0" w:line="279"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Dragonfly has entered into a definitive business combination agreement with Chardan NexTech Acquisition 2 Corp. (Nasdaq: CNTQ); upon closing, the combined company will be listed on the Nasdaq under the new ticker DFLI.</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Dragonfly has a track record of top line growth and has produced 17 quarters of profitability. 2021 revenue and adjusted EBITDA were $78 million and $8.7 million, respectively, both representing an 80+% CAGR since 2018.</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 forma enterprise value of the combined company is expected to be approximately $500 million. All Dragonfly shareholders will roll 100% of their equity holdings into the new combined company.</w:t>
      </w:r>
    </w:p>
    <w:p>
      <w:pPr>
        <w:spacing w:after="0" w:line="150" w:lineRule="exact"/>
        <w:rPr>
          <w:rFonts w:ascii="Times New Roman" w:cs="Times New Roman" w:eastAsia="Times New Roman" w:hAnsi="Times New Roman"/>
          <w:sz w:val="12"/>
          <w:szCs w:val="12"/>
          <w:color w:val="auto"/>
        </w:rPr>
      </w:pPr>
    </w:p>
    <w:p>
      <w:pPr>
        <w:ind w:left="420" w:hanging="212"/>
        <w:spacing w:after="0" w:line="297"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Funding to support the business combination includes $128 million cash from trust (assuming no redemptions), a $75 million senior secured term loan for which Energy Impact Partners is lead arranger and a $5 million equity investment from CNTQ’s Sponsor. The transaction is further supported by a $150 million Chardan Equity Facility (ChEF</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2"/>
          <w:szCs w:val="12"/>
          <w:color w:val="auto"/>
        </w:rPr>
        <w:t>).</w:t>
      </w:r>
    </w:p>
    <w:p>
      <w:pPr>
        <w:spacing w:after="0" w:line="17"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Dragonfly intends to use the proceeds from the transaction to accelerate the market penetration of its existing business and commercialize its proprietary and patented All-Solid-State-Battery technology that will dramatically reduce reliance on the power grid.</w:t>
      </w:r>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RENO, NEVADA (May 16, 2022) — </w:t>
      </w:r>
      <w:r>
        <w:rPr>
          <w:rFonts w:ascii="Times New Roman" w:cs="Times New Roman" w:eastAsia="Times New Roman" w:hAnsi="Times New Roman"/>
          <w:sz w:val="12"/>
          <w:szCs w:val="12"/>
          <w:color w:val="auto"/>
        </w:rPr>
        <w:t>Dragonfly Energy Corp. (“Dragonfly” or the “Company”), a leader in energy storage and producer of deep cycle lithium-ion storage batteries, and Chardan NexTech Acquisition 2 Corp.</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(“CNTQ”) (Nasdaq: CNTQ), a publicly traded special purpose acquisition company, today announced a definitive agreement for a business combination that will result in Dragonfly becoming a publicly listed company. Upon closing of the transaction, the combined company will be renamed Dragonfly Energy and is expected to be listed on the Nasdaq under the new ticker symbol “DFLI.”</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Creating a New Standard for Environmentally Impactful Energy Storage</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Dragonfly has created state-of-the-art lithium-ion batteries equipped with a proprietary battery management system that are currently used in recreational vehicles (“RVs”), marine vessels, material handling, and off-grid residences and solar applications. Dragonfly’s integrated lithium-ion products replace large and environmentally toxic lead-acid batteries and provide safe, efficient, and affordable energy storage solutions for a clean, renewable future.</w:t>
      </w:r>
    </w:p>
    <w:p>
      <w:pPr>
        <w:spacing w:after="0" w:line="11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2"/>
          <w:szCs w:val="12"/>
          <w:color w:val="auto"/>
        </w:rPr>
        <w:t>Sold direct-to-consumers under the Battle Born Batteries™ brand and to original equipment manufacturers (“OEMs”), such as Keystone RV, a subsidiary of Thor Industries (NYSE: THO), and Midwest Automotive, a subsidiary of REV Group (NYSE: REVG), under the Dragonfly Energy</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2"/>
          <w:szCs w:val="12"/>
          <w:color w:val="auto"/>
        </w:rPr>
        <w:t xml:space="preserve"> brand, Dragonfly generated $78 million of revenue and nearly $9 million of adjusted EBITDA in 2021, both representing an 80+% CAGR since 2018. As Dragonfly penetrates new and existing markets, the Company anticipates continued growth with 2022 and 2023 revenue forecasts of $115 million and $255 million, respectively, and 2022 and 2023 adjusted EBITDA forecasts of $12 million and $41 million, respectively. CNTQ believes that an investment in Dragonfly presents a compelling opportunity at a 32% discount to its peers’ 2023 revenue multiples.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6" w:name="page7"/>
    <w:bookmarkEnd w:id="6"/>
    <w:p>
      <w:pPr>
        <w:spacing w:after="0" w:line="3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6551930</wp:posOffset>
            </wp:positionH>
            <wp:positionV relativeFrom="page">
              <wp:posOffset>420370</wp:posOffset>
            </wp:positionV>
            <wp:extent cx="811530" cy="5086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11530" cy="508635"/>
                    </a:xfrm>
                    <a:prstGeom prst="rect">
                      <a:avLst/>
                    </a:prstGeom>
                    <a:noFill/>
                  </pic:spPr>
                </pic:pic>
              </a:graphicData>
            </a:graphic>
          </wp:anchor>
        </w:drawing>
      </w:r>
    </w:p>
    <w:p>
      <w:pPr>
        <w:jc w:val="both"/>
        <w:spacing w:after="0" w:line="279" w:lineRule="auto"/>
        <w:rPr>
          <w:sz w:val="20"/>
          <w:szCs w:val="20"/>
          <w:color w:val="auto"/>
        </w:rPr>
      </w:pPr>
      <w:r>
        <w:rPr>
          <w:rFonts w:ascii="Times New Roman" w:cs="Times New Roman" w:eastAsia="Times New Roman" w:hAnsi="Times New Roman"/>
          <w:sz w:val="12"/>
          <w:szCs w:val="12"/>
          <w:color w:val="auto"/>
        </w:rPr>
        <w:t>Dragonfly intends to use a portion of the proceeds raised from this transaction to accelerate the development and commercialization of its revolutionary All-Solid-State-Battery technology. All-Solid-State-Batteries are non-flammable and are designed to allow for efficient, distributed energy storage that enables renewables to be cost competitive with fossil fuels while further stabilizing the power grid.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Dragonfly Co-Founder, Chairman &amp; Chief Executive Officer, Dr. Denis Phares, and the current management team are expected to continue to lead the combined company.</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Dr. Phares said: “CNTQ shares our vision for providing the safe and cost-effective distributed storage solution required for our renewable energy future and supports our unique customer-centric approach to technology and innovation. This transaction will help us grow our core business and facilitate the development and large-scale deployment of our All-Solid-State-Battery technology.”</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Jonas Grossman, Chief Executive Officer and Director of CNTQ, added, “As an innovator in the battery space, Dragonfly can transform distributed energy storage with the growth and commercialization of its All-Solid-State-Battery technology. We are excited to support the team as they become a public company.”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Transaction Overview</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business combination values Dragonfly at an implied $500.1 million pro forma enterprise value. Estimated cash proceeds to the combined company are expected to consist of CNTQ’s approximately $128 million of cash in trust (assuming no redemptions) and an additional $230 million consisting of $75 million senior secured term loan (used in part to refinance approximately $45 million of outstanding Dragonfly indebtedness), a $5 million equity investment at $10.00 per share from CNTQ’s Sponsor, Chardan NexTech Investments 2 LLC, and a $150 million Chardan Equity Facility (ChEF</w:t>
      </w:r>
      <w:r>
        <w:rPr>
          <w:rFonts w:ascii="Times New Roman" w:cs="Times New Roman" w:eastAsia="Times New Roman" w:hAnsi="Times New Roman"/>
          <w:sz w:val="19"/>
          <w:szCs w:val="19"/>
          <w:color w:val="auto"/>
          <w:vertAlign w:val="superscript"/>
        </w:rPr>
        <w:t>TM</w:t>
      </w:r>
      <w:r>
        <w:rPr>
          <w:rFonts w:ascii="Times New Roman" w:cs="Times New Roman" w:eastAsia="Times New Roman" w:hAnsi="Times New Roman"/>
          <w:sz w:val="12"/>
          <w:szCs w:val="12"/>
          <w:color w:val="auto"/>
        </w:rPr>
        <w:t>) from Chardan, an affiliate of CNTQ’s sponsor.</w:t>
      </w:r>
    </w:p>
    <w:p>
      <w:pPr>
        <w:spacing w:after="0" w:line="2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transaction includes an earn-out provision for up to an additional 40 million shares as follows: 15 million issued if both 2023 audited Revenue and Operating Income reach $250 million and $35 million, respectively; 12.5 million issued at a price target of $22.50 by December 31, 2026; 12.5 million issued at a price target of $32.50 by December 31, 2028. All Dragonfly stockholders will roll 100% of their equity holdings into the new combined company.</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 commitment letter and term sheet have been agreed in connection with the $75 million term loan and $150 million equity facility, respectively. The availability of these facilities is subject to the negotiation and execution of related definitive documentation, customary funding conditions and closing of the business combination.</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Boards of Directors of each of Dragonfly and CNTQ have unanimously approved the transaction, the Board of Directors of CNTQ has unanimously recommended to CNTQ stockholders the approval of the transaction, and the requisite stockholders of Dragonfly have approved the transaction. The transaction will require the approval of the stockholders of CNTQ, and is subject to satisfaction or waiver of the conditions stated in the merger agreement and other customary closing conditions, including the receipt of certain regulatory approvals. The transaction is currently expected to close in the second half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7" w:name="page8"/>
    <w:bookmarkEnd w:id="7"/>
    <w:p>
      <w:pPr>
        <w:spacing w:after="0" w:line="3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6551930</wp:posOffset>
            </wp:positionH>
            <wp:positionV relativeFrom="page">
              <wp:posOffset>420370</wp:posOffset>
            </wp:positionV>
            <wp:extent cx="811530" cy="508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811530" cy="508635"/>
                    </a:xfrm>
                    <a:prstGeom prst="rect">
                      <a:avLst/>
                    </a:prstGeom>
                    <a:noFill/>
                  </pic:spPr>
                </pic:pic>
              </a:graphicData>
            </a:graphic>
          </wp:anchor>
        </w:drawing>
      </w: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Additional information about the proposed transaction, including a copy of the merger agreement and investor presentation, will be provided in a Current Report on Form 8-K to be filed by CNTQ with the Securities and Exchange Commission (“SEC”) and will be available on the Dragonfly investor relations page at </w:t>
      </w:r>
      <w:r>
        <w:rPr>
          <w:rFonts w:ascii="Times New Roman" w:cs="Times New Roman" w:eastAsia="Times New Roman" w:hAnsi="Times New Roman"/>
          <w:sz w:val="12"/>
          <w:szCs w:val="12"/>
          <w:u w:val="single" w:color="auto"/>
          <w:color w:val="auto"/>
        </w:rPr>
        <w:t>www.dragonflyenergy.com/investors</w:t>
      </w:r>
      <w:r>
        <w:rPr>
          <w:rFonts w:ascii="Times New Roman" w:cs="Times New Roman" w:eastAsia="Times New Roman" w:hAnsi="Times New Roman"/>
          <w:sz w:val="12"/>
          <w:szCs w:val="12"/>
          <w:color w:val="auto"/>
        </w:rPr>
        <w:t xml:space="preserve"> and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More information about the proposed transaction will also be described in CNTQ’s proxy statement/prospectus relation to the business combination, which it will file with the SEC.</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Advisors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Stifel, Nicolaus &amp; Company, Incorporated is serving as financial advisor. O’Melveny &amp; Myers, LLP and Parsons Beble &amp; Latimer are serving as legal counsel to Dragonfly.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Chardan is serving as financial advisor, Stifel and Chardan are acting as joint placement agents, Skadden, Arps, Slate, Meagher &amp; Flom LLP and Brownstein Hyatt Farber Schreck, LLP are serving as legal counsel to CNTQ.</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Energy Impact Partners is serving as lead arranger of the senior secured term loan. Chapman and Cutler LLP is serving as legal counsel to Energy Impact Partners.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Conference Call Information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Dragonfly and CNTQ will host a joint investor conference call at 8:30AM EDT today, May 16, 2022, to discuss the proposed transaction. To listen to the prepared remarks via telephone dial (844) 512-2921 (U.S.) or +1 (412) 317-6671 (International) and utilize the pin number: 150206. The telephone replay will be available utilizing this same number, through May 30, 2022 at 11:59 PM ET.</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A transcript of this conference call can also be found on Dragonfly’s Investor page and will be filed by CNTQ with the SEC, which will be available on the SEC’s website at www.sec.gov. Additionally, CNTQ will file the investor presentation and a transcript of the investor conference call with the SEC as an exhibit to a Current Report on Form 8-K, which will be available on the SEC’s website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Dragonfly</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Dragonfly Energy Corp., headquartered in Reno, Nevada, is a leading manufacturer of deep cycle lithium-ion batteries. Dragonfly’s battery products are designed and assembled in the USA, and the Company’s research and development initiatives are revolutionizing the energy storage industry through innovative technologies and manufacturing processes. Today, Dragonfly’s non-toxic deep cycle lithium-ion batteries are displacing lead-acid batteries across a wide range of end-markets, including RVs, marine vessels, off-grid installations, and other storage applications. Dragonfly is also focused on delivering an energy storage solution that enables a more sustainable and reliable smart grid through the future deployment of the Company’s proprietary and patented solid-state cell technology. To learn more, visit </w:t>
      </w:r>
      <w:r>
        <w:rPr>
          <w:rFonts w:ascii="Times New Roman" w:cs="Times New Roman" w:eastAsia="Times New Roman" w:hAnsi="Times New Roman"/>
          <w:sz w:val="12"/>
          <w:szCs w:val="12"/>
          <w:u w:val="single" w:color="auto"/>
          <w:color w:val="auto"/>
        </w:rPr>
        <w:t>www.dragonflyenergy.com/investors</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8" w:name="page9"/>
    <w:bookmarkEnd w:id="8"/>
    <w:p>
      <w:pPr>
        <w:spacing w:after="0" w:line="3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6551930</wp:posOffset>
            </wp:positionH>
            <wp:positionV relativeFrom="page">
              <wp:posOffset>420370</wp:posOffset>
            </wp:positionV>
            <wp:extent cx="811530" cy="508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811530" cy="5086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About Chardan NexTech Acquisition 2 Corp.</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Chardan NexTech Acquisition 2 Corp. (Nasdaq ‘CNTQ’) is a blank check company led by its Chairman of the Board of Directors, Kerry Propper, its Chief Executive Officer and Director, Jonas Grossman, and its Chief Financial Officer and Director, Alex Weil. The company was formed for the purpose of effecting a merger, share exchange, asset acquisition, stock purchase, recapitalization, reorganization or similar business combination with one or more businesses. The Company has focused its search for a target business operating in disruptive technologies. To learn more, visit </w:t>
      </w:r>
      <w:r>
        <w:rPr>
          <w:rFonts w:ascii="Times New Roman" w:cs="Times New Roman" w:eastAsia="Times New Roman" w:hAnsi="Times New Roman"/>
          <w:sz w:val="12"/>
          <w:szCs w:val="12"/>
          <w:u w:val="single" w:color="auto"/>
          <w:color w:val="auto"/>
        </w:rPr>
        <w:t>https://www.cnaq.com/</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2"/>
          <w:szCs w:val="12"/>
          <w:color w:val="auto"/>
        </w:rPr>
        <w:t xml:space="preserve">This press release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press release,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Dragonfly,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its effect on business and financial conditions; 22) inability to complete the PIPE investment, the term loan and equity line (ChEF) in connection with the business combination; and 23) other risks and uncertainties set forth in the sections entitled “Risk Factors” and “Cautionary Note Regarding Forward-Looking Statements” in CNTQ’s Form S-1 (File Nos. 333-252449 and 333-253016), Annual Report on Form 10-K for the year ended December 31, 2021 and registration statement on Form S-4 with the SEC, which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press release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which will be provided in a Current Report on Form 8-K to be filed by CNTQ with the SEC and available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9" w:name="page10"/>
    <w:bookmarkEnd w:id="9"/>
    <w:p>
      <w:pPr>
        <w:spacing w:after="0" w:line="3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6551930</wp:posOffset>
            </wp:positionH>
            <wp:positionV relativeFrom="page">
              <wp:posOffset>420370</wp:posOffset>
            </wp:positionV>
            <wp:extent cx="811530" cy="508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811530" cy="5086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Financial Information; Non-GAAP Measures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Certain financial information and data contained in this press release is unaudited and may not conform to Regulation S-X. Such information and data may not be included in, may be adjusted in or may be presented differently in the registration statement to be filed relating to the proposed business combination and the proxy statement/prospectus contained therein.</w:t>
      </w:r>
    </w:p>
    <w:p>
      <w:pPr>
        <w:spacing w:after="0" w:line="1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This press release also includes certain financial measures not presented in accordance with generally accepted accounting principles (“GAAP”) including, but not limited to, Adjusted EBITDA. These non-GAAP financial measures, and other measures that are calculated using these non-GAAP measures, are not measures of financial performance in accordance with GAAP and may exclude items that are significant in understanding and assessing Dragonfly’s financial results. Therefore, these measures should not be considered in isolation or as an alternative to net income, cash flows from operations or other measures of profitability, liquidity or performance under GAAP. You should be aware that Dragonfly’s presentation of these measures may not be comparable to similarly-titled measures used by other companies. Dragonfly believes these non-GAAP measures of financial results provide useful information to management and investors regarding certain financial and business trends relating to Dragonfly’s financial condition and results of operations. CNTQ and Dragonfly believe that the use of these non-GAAP financial measures provides an additional tool for investors to use in evaluating ongoing operating results and trends and in comparing Dragonfly’s financial measures with other similar companies, many of which present similar non-GAAP financial measures to investors. These non-GAAP financial measures are subject to inherent limitations as they reflect the exercise of judgments by management about which expense and income are excluded or included in determining these non-GAAP financial measures.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press release may also include certain projections of non-GAAP financial measures. See ‘Use of Projections”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0" w:name="page11"/>
    <w:bookmarkEnd w:id="10"/>
    <w:p>
      <w:pPr>
        <w:spacing w:after="0" w:line="3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6551930</wp:posOffset>
            </wp:positionH>
            <wp:positionV relativeFrom="page">
              <wp:posOffset>420370</wp:posOffset>
            </wp:positionV>
            <wp:extent cx="811530" cy="5086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811530" cy="5086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Use of Projections</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This press release may contain financial forecasts of Dragonfly. Neither Dragonfly’s independent auditors, nor the independent registered public accounting firm of CNTQ, audited, reviewed, compiled or performed any procedures with respect to the projections for the purpose of their inclusion in this press release, and accordingly, neither of them expressed an opinion or provided any other form of assurance with respect thereto for the purpose of this press release. These projections are forward-looking statements and should not be relied upon as being necessarily indicative of future results. The projected financial information contained in this press release constitutes forward-looking information. The assumptions and estimates underlying such projected financial information are inherently uncertain and are subject to a wide variety of significant business, economic, competitive and other risks and uncertainties that could cause actual results to differ materially from those contained in the prospective financial information. See “Forward-Looking Statements” above. Accordingly, there can be no assurance that the prospective results are indicative of future performance of Dragonfly or that actual results will not differ materially from the results presented in the prospective financial information contained in this press release. Actual results may differ materially from the results contemplated by the projected financial information contained in this press release. The inclusion of such information in this press release should not be regarded as a representation by any person that the results reflected in such projections will be achieved.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This press release relates to a proposed transaction between CNTQ and Dragonfly. CNTQ intends to file a registration statement on Form S-4 with the SEC, which will include a document that serves as a prospectus and proxy statement of CNTQ, referred to as a proxy statement/prospectus. A proxy statement/prospectus will be sent to all CNTQ stockholders. CNTQ also will file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Investors and security holders will be able to obtain free copies of the registration statement, the proxy statement/prospectus and all other relevant documents filed or that will be filed with the SEC by CNTQ through the website maintained by the SEC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documents filed by CNTQ with the SEC also may be obtained by contacting Chardan NexTech Acquisition 2 Corp. at 17 State Street, 21st Floor, New York, New York 10004, or by calling (646) 465-9001.</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NEITHER THE SEC NOR ANY STATE SECURITIES REGULATORY AGENCY HAS APPROVED OR DISAPPROVED THE TRANSACTIONS DESCRIBED IN THIS PRESS RELEASE, PASSED UPON THE MERITS OR FAIRNESS OF THE BUSINESS COMBINATION OR RELATED TRANSACTIONS OR PASSED UPON THE ADEQUACY OR ACCURACY OF THE DISCLOSURE IN THIS PRESS RELEASE. ANY REPRESENTATION TO THE CONTRARY CONSTITUTES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1" w:name="page12"/>
    <w:bookmarkEnd w:id="11"/>
    <w:p>
      <w:pPr>
        <w:spacing w:after="0" w:line="3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6551930</wp:posOffset>
            </wp:positionH>
            <wp:positionV relativeFrom="page">
              <wp:posOffset>420370</wp:posOffset>
            </wp:positionV>
            <wp:extent cx="811530" cy="5086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811530" cy="5086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Dragonfly, CNTQ and certain of their respective directors, executive officers and other members of management and employees may, under SEC rules, be deemed to be participants in the solicitation of proxies from CNTQ’s shareholders in connection with the proposed business combination. A list of the names of such persons and information regarding their interests in the proposed business combination will be contained in the proxy statement/prospectus when available. You may obtain free copies of these documents free of charge by directing a written request to CNTQ or Dragonfly. The definitive proxy statement will be mailed to CNTQ’s shareholders as of a record date to be established for voting on the proposed business combination when it becomes available.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This press release is and the information contained therein are not intended to and does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Relations – Dragonfly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Sioban Hickie, ICR,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DragonflyIR@icrinc.com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Public Relations, Media – Dragonfly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Zach Gorin, ICR,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DragonflyPR@icrinc.com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2" w:name="page13"/>
    <w:bookmarkEnd w:id="12"/>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20320</wp:posOffset>
            </wp:positionV>
            <wp:extent cx="7172960" cy="4531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4603750</wp:posOffset>
            </wp:positionV>
            <wp:extent cx="6800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085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4603750</wp:posOffset>
            </wp:positionV>
            <wp:extent cx="6800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085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319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2960" cy="45319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2022-05-16T07:28:57Z</dcterms:created>
  <dcterms:modified xsi:type="dcterms:W3CDTF">2022-05-16T07:28:57Z</dcterms:modified>
</cp:coreProperties>
</file>