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UNITED STATES</w:t>
      </w:r>
    </w:p>
    <w:p>
      <w:pPr>
        <w:jc w:val="center"/>
        <w:spacing w:after="0" w:line="226" w:lineRule="auto"/>
        <w:rPr>
          <w:sz w:val="20"/>
          <w:szCs w:val="20"/>
          <w:color w:val="auto"/>
        </w:rPr>
      </w:pPr>
      <w:r>
        <w:rPr>
          <w:rFonts w:ascii="Arial" w:cs="Arial" w:eastAsia="Arial" w:hAnsi="Arial"/>
          <w:sz w:val="14"/>
          <w:szCs w:val="14"/>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10-Q</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(Mark One)</w:t>
      </w:r>
    </w:p>
    <w:p>
      <w:pPr>
        <w:spacing w:after="0" w:line="82" w:lineRule="exact"/>
        <w:rPr>
          <w:sz w:val="24"/>
          <w:szCs w:val="24"/>
          <w:color w:val="auto"/>
        </w:rPr>
      </w:pPr>
    </w:p>
    <w:p>
      <w:pPr>
        <w:jc w:val="center"/>
        <w:ind w:left="3540" w:right="1640" w:hanging="1921"/>
        <w:spacing w:after="0" w:line="465" w:lineRule="auto"/>
        <w:tabs>
          <w:tab w:leader="none" w:pos="1799" w:val="left"/>
        </w:tabs>
        <w:numPr>
          <w:ilvl w:val="1"/>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UNDER SECTION 13 OR 15(d) OF THE SECURITIES EXCHANGE ACT OF 1934 For the quarterly period ended September 30, 2021</w:t>
      </w:r>
    </w:p>
    <w:p>
      <w:pPr>
        <w:spacing w:after="0" w:line="24" w:lineRule="exact"/>
        <w:rPr>
          <w:rFonts w:ascii="MS PGothic" w:cs="MS PGothic" w:eastAsia="MS PGothic" w:hAnsi="MS PGothic"/>
          <w:sz w:val="14"/>
          <w:szCs w:val="14"/>
          <w:color w:val="auto"/>
        </w:rPr>
      </w:pPr>
    </w:p>
    <w:p>
      <w:pPr>
        <w:ind w:left="1520" w:hanging="163"/>
        <w:spacing w:after="0"/>
        <w:tabs>
          <w:tab w:leader="none" w:pos="152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163" w:lineRule="exact"/>
        <w:rPr>
          <w:sz w:val="24"/>
          <w:szCs w:val="24"/>
          <w:color w:val="auto"/>
        </w:rPr>
      </w:pPr>
    </w:p>
    <w:p>
      <w:pPr>
        <w:ind w:left="3420"/>
        <w:spacing w:after="0"/>
        <w:tabs>
          <w:tab w:leader="none" w:pos="59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3370580</wp:posOffset>
            </wp:positionH>
            <wp:positionV relativeFrom="paragraph">
              <wp:posOffset>-1270</wp:posOffset>
            </wp:positionV>
            <wp:extent cx="9436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43610" cy="8255"/>
                    </a:xfrm>
                    <a:prstGeom prst="rect">
                      <a:avLst/>
                    </a:prstGeom>
                    <a:noFill/>
                  </pic:spPr>
                </pic:pic>
              </a:graphicData>
            </a:graphic>
          </wp:anchor>
        </w:drawing>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001-40730</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CHARDAN NEXTECH ACQUISITION 2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64890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82"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jc w:val="center"/>
              <w:ind w:left="1448"/>
              <w:spacing w:after="0"/>
              <w:rPr>
                <w:sz w:val="20"/>
                <w:szCs w:val="20"/>
                <w:color w:val="auto"/>
              </w:rPr>
            </w:pPr>
            <w:r>
              <w:rPr>
                <w:rFonts w:ascii="Arial" w:cs="Arial" w:eastAsia="Arial" w:hAnsi="Arial"/>
                <w:sz w:val="14"/>
                <w:szCs w:val="14"/>
                <w:b w:val="1"/>
                <w:bCs w:val="1"/>
                <w:color w:val="auto"/>
                <w:w w:val="94"/>
              </w:rPr>
              <w:t>Delaware</w:t>
            </w:r>
          </w:p>
        </w:tc>
        <w:tc>
          <w:tcPr>
            <w:tcW w:w="6760" w:type="dxa"/>
            <w:vAlign w:val="bottom"/>
            <w:gridSpan w:val="3"/>
          </w:tcPr>
          <w:p>
            <w:pPr>
              <w:jc w:val="right"/>
              <w:ind w:right="2088"/>
              <w:spacing w:after="0"/>
              <w:rPr>
                <w:sz w:val="20"/>
                <w:szCs w:val="20"/>
                <w:color w:val="auto"/>
              </w:rPr>
            </w:pPr>
            <w:r>
              <w:rPr>
                <w:rFonts w:ascii="Arial" w:cs="Arial" w:eastAsia="Arial" w:hAnsi="Arial"/>
                <w:sz w:val="14"/>
                <w:szCs w:val="14"/>
                <w:b w:val="1"/>
                <w:bCs w:val="1"/>
                <w:color w:val="auto"/>
              </w:rPr>
              <w:t>85-1873463</w:t>
            </w:r>
          </w:p>
        </w:tc>
      </w:tr>
      <w:tr>
        <w:trPr>
          <w:trHeight w:val="123"/>
        </w:trPr>
        <w:tc>
          <w:tcPr>
            <w:tcW w:w="3460" w:type="dxa"/>
            <w:vAlign w:val="bottom"/>
            <w:tcBorders>
              <w:top w:val="single" w:sz="8" w:color="auto"/>
            </w:tcBorders>
          </w:tcPr>
          <w:p>
            <w:pPr>
              <w:jc w:val="center"/>
              <w:ind w:left="1448"/>
              <w:spacing w:after="0" w:line="123" w:lineRule="exact"/>
              <w:rPr>
                <w:sz w:val="20"/>
                <w:szCs w:val="20"/>
                <w:color w:val="auto"/>
              </w:rPr>
            </w:pPr>
            <w:r>
              <w:rPr>
                <w:rFonts w:ascii="Arial" w:cs="Arial" w:eastAsia="Arial" w:hAnsi="Arial"/>
                <w:sz w:val="14"/>
                <w:szCs w:val="14"/>
                <w:color w:val="auto"/>
                <w:w w:val="94"/>
              </w:rPr>
              <w:t>(State or other jurisdiction of</w:t>
            </w:r>
          </w:p>
        </w:tc>
        <w:tc>
          <w:tcPr>
            <w:tcW w:w="15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0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(IRS Employer</w:t>
            </w:r>
          </w:p>
        </w:tc>
      </w:tr>
      <w:tr>
        <w:trPr>
          <w:trHeight w:val="182"/>
        </w:trPr>
        <w:tc>
          <w:tcPr>
            <w:tcW w:w="3460" w:type="dxa"/>
            <w:vAlign w:val="bottom"/>
          </w:tcPr>
          <w:p>
            <w:pPr>
              <w:jc w:val="center"/>
              <w:ind w:left="1448"/>
              <w:spacing w:after="0"/>
              <w:rPr>
                <w:sz w:val="20"/>
                <w:szCs w:val="20"/>
                <w:color w:val="auto"/>
              </w:rPr>
            </w:pPr>
            <w:r>
              <w:rPr>
                <w:rFonts w:ascii="Arial" w:cs="Arial" w:eastAsia="Arial" w:hAnsi="Arial"/>
                <w:sz w:val="14"/>
                <w:szCs w:val="14"/>
                <w:color w:val="auto"/>
                <w:w w:val="95"/>
              </w:rPr>
              <w:t>incorporation or organization)</w:t>
            </w: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0" w:type="dxa"/>
            <w:vAlign w:val="bottom"/>
          </w:tcPr>
          <w:p>
            <w:pPr>
              <w:ind w:left="1940"/>
              <w:spacing w:after="0"/>
              <w:rPr>
                <w:sz w:val="20"/>
                <w:szCs w:val="20"/>
                <w:color w:val="auto"/>
              </w:rPr>
            </w:pPr>
            <w:r>
              <w:rPr>
                <w:rFonts w:ascii="Arial" w:cs="Arial" w:eastAsia="Arial" w:hAnsi="Arial"/>
                <w:sz w:val="14"/>
                <w:szCs w:val="14"/>
                <w:color w:val="auto"/>
              </w:rPr>
              <w:t>Identification No.)</w:t>
            </w:r>
          </w:p>
        </w:tc>
      </w:tr>
      <w:tr>
        <w:trPr>
          <w:trHeight w:val="223"/>
        </w:trPr>
        <w:tc>
          <w:tcPr>
            <w:tcW w:w="3460" w:type="dxa"/>
            <w:vAlign w:val="bottom"/>
          </w:tcPr>
          <w:p>
            <w:pPr>
              <w:spacing w:after="0"/>
              <w:rPr>
                <w:sz w:val="19"/>
                <w:szCs w:val="19"/>
                <w:color w:val="auto"/>
              </w:rPr>
            </w:pPr>
          </w:p>
        </w:tc>
        <w:tc>
          <w:tcPr>
            <w:tcW w:w="6760" w:type="dxa"/>
            <w:vAlign w:val="bottom"/>
            <w:gridSpan w:val="3"/>
          </w:tcPr>
          <w:p>
            <w:pPr>
              <w:jc w:val="center"/>
              <w:ind w:right="3388"/>
              <w:spacing w:after="0"/>
              <w:rPr>
                <w:sz w:val="20"/>
                <w:szCs w:val="20"/>
                <w:color w:val="auto"/>
              </w:rPr>
            </w:pPr>
            <w:r>
              <w:rPr>
                <w:rFonts w:ascii="Arial" w:cs="Arial" w:eastAsia="Arial" w:hAnsi="Arial"/>
                <w:sz w:val="14"/>
                <w:szCs w:val="14"/>
                <w:b w:val="1"/>
                <w:bCs w:val="1"/>
                <w:color w:val="auto"/>
                <w:w w:val="91"/>
              </w:rPr>
              <w:t>17 State Street, 21st Floor</w:t>
            </w:r>
          </w:p>
        </w:tc>
      </w:tr>
      <w:tr>
        <w:trPr>
          <w:trHeight w:val="216"/>
        </w:trPr>
        <w:tc>
          <w:tcPr>
            <w:tcW w:w="3460" w:type="dxa"/>
            <w:vAlign w:val="bottom"/>
          </w:tcPr>
          <w:p>
            <w:pPr>
              <w:spacing w:after="0"/>
              <w:rPr>
                <w:sz w:val="18"/>
                <w:szCs w:val="18"/>
                <w:color w:val="auto"/>
              </w:rPr>
            </w:pPr>
          </w:p>
        </w:tc>
        <w:tc>
          <w:tcPr>
            <w:tcW w:w="6760" w:type="dxa"/>
            <w:vAlign w:val="bottom"/>
            <w:gridSpan w:val="3"/>
          </w:tcPr>
          <w:p>
            <w:pPr>
              <w:jc w:val="center"/>
              <w:ind w:right="3388"/>
              <w:spacing w:after="0"/>
              <w:rPr>
                <w:sz w:val="20"/>
                <w:szCs w:val="20"/>
                <w:color w:val="auto"/>
              </w:rPr>
            </w:pPr>
            <w:r>
              <w:rPr>
                <w:rFonts w:ascii="Arial" w:cs="Arial" w:eastAsia="Arial" w:hAnsi="Arial"/>
                <w:sz w:val="14"/>
                <w:szCs w:val="14"/>
                <w:b w:val="1"/>
                <w:bCs w:val="1"/>
                <w:color w:val="auto"/>
                <w:w w:val="97"/>
              </w:rPr>
              <w:t xml:space="preserve">New York, NY </w:t>
            </w:r>
            <w:r>
              <w:rPr>
                <w:rFonts w:ascii="Arial" w:cs="Arial" w:eastAsia="Arial" w:hAnsi="Arial"/>
                <w:sz w:val="17"/>
                <w:szCs w:val="17"/>
                <w:b w:val="1"/>
                <w:bCs w:val="1"/>
                <w:color w:val="auto"/>
                <w:w w:val="97"/>
              </w:rPr>
              <w:t>10004</w:t>
            </w:r>
          </w:p>
        </w:tc>
      </w:tr>
      <w:tr>
        <w:trPr>
          <w:trHeight w:val="182"/>
        </w:trPr>
        <w:tc>
          <w:tcPr>
            <w:tcW w:w="3460" w:type="dxa"/>
            <w:vAlign w:val="bottom"/>
          </w:tcPr>
          <w:p>
            <w:pPr>
              <w:spacing w:after="0"/>
              <w:rPr>
                <w:sz w:val="15"/>
                <w:szCs w:val="15"/>
                <w:color w:val="auto"/>
              </w:rPr>
            </w:pPr>
          </w:p>
        </w:tc>
        <w:tc>
          <w:tcPr>
            <w:tcW w:w="6760" w:type="dxa"/>
            <w:vAlign w:val="bottom"/>
            <w:gridSpan w:val="3"/>
          </w:tcPr>
          <w:p>
            <w:pPr>
              <w:jc w:val="center"/>
              <w:ind w:right="3408"/>
              <w:spacing w:after="0"/>
              <w:rPr>
                <w:sz w:val="20"/>
                <w:szCs w:val="20"/>
                <w:color w:val="auto"/>
              </w:rPr>
            </w:pPr>
            <w:r>
              <w:rPr>
                <w:rFonts w:ascii="Arial" w:cs="Arial" w:eastAsia="Arial" w:hAnsi="Arial"/>
                <w:sz w:val="14"/>
                <w:szCs w:val="14"/>
                <w:color w:val="auto"/>
                <w:w w:val="94"/>
              </w:rPr>
              <w:t>(Address of principal executive offices and zip code)</w:t>
            </w:r>
          </w:p>
        </w:tc>
      </w:tr>
      <w:tr>
        <w:trPr>
          <w:trHeight w:val="223"/>
        </w:trPr>
        <w:tc>
          <w:tcPr>
            <w:tcW w:w="3460" w:type="dxa"/>
            <w:vAlign w:val="bottom"/>
          </w:tcPr>
          <w:p>
            <w:pPr>
              <w:spacing w:after="0"/>
              <w:rPr>
                <w:sz w:val="19"/>
                <w:szCs w:val="19"/>
                <w:color w:val="auto"/>
              </w:rPr>
            </w:pPr>
          </w:p>
        </w:tc>
        <w:tc>
          <w:tcPr>
            <w:tcW w:w="6760" w:type="dxa"/>
            <w:vAlign w:val="bottom"/>
            <w:gridSpan w:val="3"/>
          </w:tcPr>
          <w:p>
            <w:pPr>
              <w:jc w:val="center"/>
              <w:ind w:right="3388"/>
              <w:spacing w:after="0"/>
              <w:rPr>
                <w:sz w:val="20"/>
                <w:szCs w:val="20"/>
                <w:color w:val="auto"/>
              </w:rPr>
            </w:pPr>
            <w:r>
              <w:rPr>
                <w:rFonts w:ascii="Arial" w:cs="Arial" w:eastAsia="Arial" w:hAnsi="Arial"/>
                <w:sz w:val="14"/>
                <w:szCs w:val="14"/>
                <w:b w:val="1"/>
                <w:bCs w:val="1"/>
                <w:color w:val="auto"/>
                <w:w w:val="93"/>
              </w:rPr>
              <w:t>(646) 465-9000</w:t>
            </w:r>
          </w:p>
        </w:tc>
      </w:tr>
      <w:tr>
        <w:trPr>
          <w:trHeight w:val="182"/>
        </w:trPr>
        <w:tc>
          <w:tcPr>
            <w:tcW w:w="3460" w:type="dxa"/>
            <w:vAlign w:val="bottom"/>
          </w:tcPr>
          <w:p>
            <w:pPr>
              <w:spacing w:after="0"/>
              <w:rPr>
                <w:sz w:val="15"/>
                <w:szCs w:val="15"/>
                <w:color w:val="auto"/>
              </w:rPr>
            </w:pPr>
          </w:p>
        </w:tc>
        <w:tc>
          <w:tcPr>
            <w:tcW w:w="6760" w:type="dxa"/>
            <w:vAlign w:val="bottom"/>
            <w:gridSpan w:val="3"/>
          </w:tcPr>
          <w:p>
            <w:pPr>
              <w:jc w:val="center"/>
              <w:ind w:right="3408"/>
              <w:spacing w:after="0"/>
              <w:rPr>
                <w:sz w:val="20"/>
                <w:szCs w:val="20"/>
                <w:color w:val="auto"/>
              </w:rPr>
            </w:pPr>
            <w:r>
              <w:rPr>
                <w:rFonts w:ascii="Arial" w:cs="Arial" w:eastAsia="Arial" w:hAnsi="Arial"/>
                <w:sz w:val="14"/>
                <w:szCs w:val="14"/>
                <w:color w:val="auto"/>
                <w:w w:val="92"/>
              </w:rPr>
              <w:t>(Registrant’s telephone number, including area code)</w:t>
            </w:r>
          </w:p>
        </w:tc>
      </w:tr>
    </w:tbl>
    <w:p>
      <w:pPr>
        <w:spacing w:after="0" w:line="7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w:t>
      </w:r>
    </w:p>
    <w:p>
      <w:pPr>
        <w:spacing w:after="0" w:line="4" w:lineRule="exact"/>
        <w:rPr>
          <w:sz w:val="24"/>
          <w:szCs w:val="24"/>
          <w:color w:val="auto"/>
        </w:rPr>
      </w:pPr>
    </w:p>
    <w:p>
      <w:pPr>
        <w:ind w:left="2740"/>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43"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Title of each class</w:t>
            </w:r>
          </w:p>
        </w:tc>
        <w:tc>
          <w:tcPr>
            <w:tcW w:w="2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Trading Symbol(s)</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23"/>
        </w:trPr>
        <w:tc>
          <w:tcPr>
            <w:tcW w:w="20" w:type="dxa"/>
            <w:vAlign w:val="bottom"/>
          </w:tcPr>
          <w:p>
            <w:pPr>
              <w:spacing w:after="0"/>
              <w:rPr>
                <w:sz w:val="10"/>
                <w:szCs w:val="10"/>
                <w:color w:val="auto"/>
              </w:rPr>
            </w:pPr>
          </w:p>
        </w:tc>
        <w:tc>
          <w:tcPr>
            <w:tcW w:w="41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3"/>
              </w:rPr>
              <w:t>Units, consisting of one share of Common Stock, par value $0.0001 per</w:t>
            </w:r>
          </w:p>
        </w:tc>
        <w:tc>
          <w:tcPr>
            <w:tcW w:w="280" w:type="dxa"/>
            <w:vAlign w:val="bottom"/>
          </w:tcPr>
          <w:p>
            <w:pPr>
              <w:spacing w:after="0"/>
              <w:rPr>
                <w:sz w:val="10"/>
                <w:szCs w:val="10"/>
                <w:color w:val="auto"/>
              </w:rPr>
            </w:pPr>
          </w:p>
        </w:tc>
        <w:tc>
          <w:tcPr>
            <w:tcW w:w="19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CNTQU</w:t>
            </w:r>
          </w:p>
        </w:tc>
        <w:tc>
          <w:tcPr>
            <w:tcW w:w="280" w:type="dxa"/>
            <w:vAlign w:val="bottom"/>
          </w:tcPr>
          <w:p>
            <w:pPr>
              <w:spacing w:after="0"/>
              <w:rPr>
                <w:sz w:val="10"/>
                <w:szCs w:val="10"/>
                <w:color w:val="auto"/>
              </w:rPr>
            </w:pPr>
          </w:p>
        </w:tc>
        <w:tc>
          <w:tcPr>
            <w:tcW w:w="36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5"/>
              </w:rPr>
              <w:t>The Nasdaq Stock Market LLC</w:t>
            </w:r>
          </w:p>
        </w:tc>
      </w:tr>
      <w:tr>
        <w:trPr>
          <w:trHeight w:val="148"/>
        </w:trPr>
        <w:tc>
          <w:tcPr>
            <w:tcW w:w="20" w:type="dxa"/>
            <w:vAlign w:val="bottom"/>
          </w:tcPr>
          <w:p>
            <w:pPr>
              <w:spacing w:after="0"/>
              <w:rPr>
                <w:sz w:val="12"/>
                <w:szCs w:val="12"/>
                <w:color w:val="auto"/>
              </w:rPr>
            </w:pPr>
          </w:p>
        </w:tc>
        <w:tc>
          <w:tcPr>
            <w:tcW w:w="4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share, and three-quarters of one Redeemable Warrant</w:t>
            </w: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Common Stock, par value $0.0001 per share, included as part of the</w:t>
            </w:r>
          </w:p>
        </w:tc>
        <w:tc>
          <w:tcPr>
            <w:tcW w:w="21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rPr>
              <w:t>CNTQ</w:t>
            </w:r>
          </w:p>
        </w:tc>
        <w:tc>
          <w:tcPr>
            <w:tcW w:w="3600" w:type="dxa"/>
            <w:vAlign w:val="bottom"/>
          </w:tcPr>
          <w:p>
            <w:pPr>
              <w:jc w:val="center"/>
              <w:spacing w:after="0" w:line="149" w:lineRule="exact"/>
              <w:rPr>
                <w:sz w:val="20"/>
                <w:szCs w:val="20"/>
                <w:color w:val="auto"/>
              </w:rPr>
            </w:pPr>
            <w:r>
              <w:rPr>
                <w:rFonts w:ascii="Arial" w:cs="Arial" w:eastAsia="Arial" w:hAnsi="Arial"/>
                <w:sz w:val="14"/>
                <w:szCs w:val="14"/>
                <w:color w:val="auto"/>
                <w:w w:val="95"/>
              </w:rPr>
              <w:t>The Nasdaq Stock Market LLC</w:t>
            </w:r>
          </w:p>
        </w:tc>
      </w:tr>
      <w:tr>
        <w:trPr>
          <w:trHeight w:val="148"/>
        </w:trPr>
        <w:tc>
          <w:tcPr>
            <w:tcW w:w="20" w:type="dxa"/>
            <w:vAlign w:val="bottom"/>
          </w:tcPr>
          <w:p>
            <w:pPr>
              <w:spacing w:after="0"/>
              <w:rPr>
                <w:sz w:val="12"/>
                <w:szCs w:val="12"/>
                <w:color w:val="auto"/>
              </w:rPr>
            </w:pPr>
          </w:p>
        </w:tc>
        <w:tc>
          <w:tcPr>
            <w:tcW w:w="4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3"/>
              </w:rPr>
              <w:t>Units</w:t>
            </w: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0" w:type="dxa"/>
            <w:vAlign w:val="bottom"/>
          </w:tcPr>
          <w:p>
            <w:pPr>
              <w:spacing w:after="0"/>
              <w:rPr>
                <w:sz w:val="12"/>
                <w:szCs w:val="12"/>
                <w:color w:val="auto"/>
              </w:rPr>
            </w:pPr>
          </w:p>
        </w:tc>
      </w:tr>
      <w:tr>
        <w:trPr>
          <w:trHeight w:val="149"/>
        </w:trPr>
        <w:tc>
          <w:tcPr>
            <w:tcW w:w="444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1"/>
              </w:rPr>
              <w:t>Redeemable Warrants included as part of the Units, each exercisable for</w:t>
            </w:r>
          </w:p>
        </w:tc>
        <w:tc>
          <w:tcPr>
            <w:tcW w:w="21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8"/>
              </w:rPr>
              <w:t>CNTQW</w:t>
            </w:r>
          </w:p>
        </w:tc>
        <w:tc>
          <w:tcPr>
            <w:tcW w:w="3600" w:type="dxa"/>
            <w:vAlign w:val="bottom"/>
          </w:tcPr>
          <w:p>
            <w:pPr>
              <w:jc w:val="center"/>
              <w:spacing w:after="0" w:line="149" w:lineRule="exact"/>
              <w:rPr>
                <w:sz w:val="20"/>
                <w:szCs w:val="20"/>
                <w:color w:val="auto"/>
              </w:rPr>
            </w:pPr>
            <w:r>
              <w:rPr>
                <w:rFonts w:ascii="Arial" w:cs="Arial" w:eastAsia="Arial" w:hAnsi="Arial"/>
                <w:sz w:val="14"/>
                <w:szCs w:val="14"/>
                <w:color w:val="auto"/>
                <w:w w:val="95"/>
              </w:rPr>
              <w:t>The Nasdaq Stock Market LLC</w:t>
            </w:r>
          </w:p>
        </w:tc>
      </w:tr>
      <w:tr>
        <w:trPr>
          <w:trHeight w:val="182"/>
        </w:trPr>
        <w:tc>
          <w:tcPr>
            <w:tcW w:w="20" w:type="dxa"/>
            <w:vAlign w:val="bottom"/>
          </w:tcPr>
          <w:p>
            <w:pPr>
              <w:spacing w:after="0"/>
              <w:rPr>
                <w:sz w:val="15"/>
                <w:szCs w:val="15"/>
                <w:color w:val="auto"/>
              </w:rPr>
            </w:pPr>
          </w:p>
        </w:tc>
        <w:tc>
          <w:tcPr>
            <w:tcW w:w="442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one share of Common Stock for $11.50 per share</w:t>
            </w:r>
          </w:p>
        </w:tc>
        <w:tc>
          <w:tcPr>
            <w:tcW w:w="1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0" w:type="dxa"/>
            <w:vAlign w:val="bottom"/>
          </w:tcPr>
          <w:p>
            <w:pPr>
              <w:spacing w:after="0"/>
              <w:rPr>
                <w:sz w:val="15"/>
                <w:szCs w:val="15"/>
                <w:color w:val="auto"/>
              </w:rPr>
            </w:pPr>
          </w:p>
        </w:tc>
      </w:tr>
    </w:tbl>
    <w:p>
      <w:pPr>
        <w:spacing w:after="0" w:line="47" w:lineRule="exact"/>
        <w:rPr>
          <w:sz w:val="24"/>
          <w:szCs w:val="24"/>
          <w:color w:val="auto"/>
        </w:rPr>
      </w:pPr>
    </w:p>
    <w:p>
      <w:pPr>
        <w:jc w:val="both"/>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5"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(Section 232.405 of this chapter) during the preceding 12 months (or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5" w:lineRule="exact"/>
        <w:rPr>
          <w:sz w:val="24"/>
          <w:szCs w:val="24"/>
          <w:color w:val="auto"/>
        </w:rPr>
      </w:pPr>
    </w:p>
    <w:p>
      <w:pPr>
        <w:jc w:val="both"/>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5" w:right="839" w:bottom="1440" w:gutter="0" w:footer="0" w:header="0"/>
        </w:sectPr>
      </w:pPr>
    </w:p>
    <w:p>
      <w:pPr>
        <w:spacing w:after="0" w:line="16"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46"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76" w:lineRule="exact"/>
        <w:rPr>
          <w:sz w:val="24"/>
          <w:szCs w:val="24"/>
          <w:color w:val="auto"/>
        </w:rPr>
      </w:pPr>
    </w:p>
    <w:p>
      <w:pPr>
        <w:sectPr>
          <w:pgSz w:w="11900" w:h="16838" w:orient="portrait"/>
          <w:cols w:equalWidth="0" w:num="2">
            <w:col w:w="3900" w:space="720"/>
            <w:col w:w="5600"/>
          </w:cols>
          <w:pgMar w:left="840" w:top="665" w:right="839" w:bottom="1440" w:gutter="0" w:footer="0" w:header="0"/>
          <w:type w:val="continuous"/>
        </w:sectPr>
      </w:pPr>
    </w:p>
    <w:p>
      <w:pPr>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82" w:lineRule="exact"/>
        <w:rPr>
          <w:sz w:val="24"/>
          <w:szCs w:val="24"/>
          <w:color w:val="auto"/>
        </w:rPr>
      </w:pPr>
    </w:p>
    <w:p>
      <w:pPr>
        <w:sectPr>
          <w:pgSz w:w="11900" w:h="16838" w:orient="portrait"/>
          <w:cols w:equalWidth="0" w:num="2">
            <w:col w:w="3900" w:space="720"/>
            <w:col w:w="5600"/>
          </w:cols>
          <w:pgMar w:left="840" w:top="665" w:right="839" w:bottom="1440" w:gutter="0" w:footer="0" w:header="0"/>
          <w:type w:val="continuous"/>
        </w:sect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As of November 10, 2021, there were 15,812,500 shares of the registrant’s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483870</wp:posOffset>
            </wp:positionV>
            <wp:extent cx="649795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55245</wp:posOffset>
            </wp:positionV>
            <wp:extent cx="6497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98425</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900" w:type="dxa"/>
            <w:vAlign w:val="bottom"/>
            <w:gridSpan w:val="22"/>
          </w:tcPr>
          <w:p>
            <w:pPr>
              <w:jc w:val="center"/>
              <w:ind w:right="1420"/>
              <w:spacing w:after="0"/>
              <w:rPr>
                <w:sz w:val="20"/>
                <w:szCs w:val="20"/>
                <w:color w:val="auto"/>
              </w:rPr>
            </w:pPr>
            <w:r>
              <w:rPr>
                <w:rFonts w:ascii="Arial" w:cs="Arial" w:eastAsia="Arial" w:hAnsi="Arial"/>
                <w:sz w:val="18"/>
                <w:szCs w:val="18"/>
                <w:b w:val="1"/>
                <w:bCs w:val="1"/>
                <w:color w:val="auto"/>
              </w:rPr>
              <w:t>CHARDAN NEXTECH ACQUISITION 2 CORP.</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40" w:type="dxa"/>
            <w:vAlign w:val="bottom"/>
            <w:gridSpan w:val="14"/>
          </w:tcPr>
          <w:p>
            <w:pPr>
              <w:jc w:val="center"/>
              <w:ind w:right="2580"/>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100" w:type="dxa"/>
            <w:vAlign w:val="bottom"/>
            <w:gridSpan w:val="30"/>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1 - FINANCIAL INFORMATION</w:t>
              </w:r>
            </w:hyperlink>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8100" w:type="dxa"/>
            <w:vAlign w:val="bottom"/>
            <w:gridSpan w:val="30"/>
            <w:vMerge w:val="continue"/>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760" w:type="dxa"/>
            <w:vAlign w:val="bottom"/>
            <w:tcBorders>
              <w:top w:val="single" w:sz="8" w:color="0000EE"/>
            </w:tcBorders>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2380" w:type="dxa"/>
            <w:vAlign w:val="bottom"/>
            <w:tcBorders>
              <w:top w:val="single" w:sz="8" w:color="0000EE"/>
            </w:tcBorders>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960" w:type="dxa"/>
            <w:vAlign w:val="bottom"/>
            <w:gridSpan w:val="16"/>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40" w:type="dxa"/>
            <w:vAlign w:val="bottom"/>
            <w:gridSpan w:val="2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Balance Sheets as of September 30, 2021 (unaudited) and December 31, 2020</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20" w:type="dxa"/>
            <w:vAlign w:val="bottom"/>
            <w:tcBorders>
              <w:bottom w:val="single" w:sz="8" w:color="0000EE"/>
            </w:tcBorders>
            <w:gridSpan w:val="2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Statements of Operations for the Three and Nine Months ended September</w:t>
              </w:r>
            </w:hyperlink>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4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30, 2021, the Three Months ended September 30, 2020 and for the period from June 23, 2020</w:t>
              </w:r>
            </w:hyperlink>
          </w:p>
        </w:tc>
        <w:tc>
          <w:tcPr>
            <w:tcW w:w="60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(inception) through September 30, 2020</w:t>
              </w:r>
            </w:hyperlink>
          </w:p>
        </w:tc>
        <w:tc>
          <w:tcPr>
            <w:tcW w:w="4460" w:type="dxa"/>
            <w:vAlign w:val="bottom"/>
            <w:gridSpan w:val="13"/>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40" w:type="dxa"/>
            <w:vAlign w:val="bottom"/>
            <w:gridSpan w:val="2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Statements of Changes in Stockholders’ (Deficit) Equity for the Three and Nine</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2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Months ended September 30, 2021 and for the period from June 23, 2020 (inception) through</w:t>
              </w:r>
            </w:hyperlink>
          </w:p>
        </w:tc>
        <w:tc>
          <w:tcPr>
            <w:tcW w:w="620" w:type="dxa"/>
            <w:vAlign w:val="bottom"/>
            <w:gridSpan w:val="4"/>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September 30, 2020</w:t>
              </w:r>
            </w:hyperlink>
          </w:p>
        </w:tc>
        <w:tc>
          <w:tcPr>
            <w:tcW w:w="5900" w:type="dxa"/>
            <w:vAlign w:val="bottom"/>
            <w:gridSpan w:val="22"/>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80" w:type="dxa"/>
            <w:vAlign w:val="bottom"/>
            <w:tcBorders>
              <w:bottom w:val="single" w:sz="8" w:color="0000EE"/>
            </w:tcBorders>
            <w:gridSpan w:val="24"/>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Condensed Statements of Cash Flows for the Nine Months ended September 30, 2021</w:t>
              </w:r>
            </w:hyperlink>
          </w:p>
        </w:tc>
        <w:tc>
          <w:tcPr>
            <w:tcW w:w="36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40" w:type="dxa"/>
            <w:vAlign w:val="bottom"/>
            <w:gridSpan w:val="2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and for the period from June 23, 2020 (inception) through September 30, 2020</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40" w:type="dxa"/>
            <w:vAlign w:val="bottom"/>
            <w:tcBorders>
              <w:top w:val="single" w:sz="8" w:color="0000EE"/>
            </w:tcBorders>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Financial Statements</w:t>
              </w:r>
            </w:hyperlink>
          </w:p>
        </w:tc>
        <w:tc>
          <w:tcPr>
            <w:tcW w:w="1700" w:type="dxa"/>
            <w:vAlign w:val="bottom"/>
            <w:gridSpan w:val="10"/>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2.</w:t>
              </w:r>
            </w:hyperlink>
          </w:p>
        </w:tc>
        <w:tc>
          <w:tcPr>
            <w:tcW w:w="7340" w:type="dxa"/>
            <w:vAlign w:val="bottom"/>
            <w:gridSpan w:val="2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RESULTS OF OPERATIONS</w:t>
              </w:r>
            </w:hyperlink>
          </w:p>
        </w:tc>
        <w:tc>
          <w:tcPr>
            <w:tcW w:w="4500" w:type="dxa"/>
            <w:vAlign w:val="bottom"/>
            <w:tcBorders>
              <w:top w:val="single" w:sz="8" w:color="0000EE"/>
            </w:tcBorders>
            <w:gridSpan w:val="12"/>
          </w:tcPr>
          <w:p>
            <w:pPr>
              <w:spacing w:after="0"/>
              <w:rPr>
                <w:sz w:val="17"/>
                <w:szCs w:val="17"/>
                <w:color w:val="auto"/>
              </w:rPr>
            </w:pPr>
          </w:p>
        </w:tc>
        <w:tc>
          <w:tcPr>
            <w:tcW w:w="660" w:type="dxa"/>
            <w:vAlign w:val="bottom"/>
            <w:gridSpan w:val="5"/>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3.</w:t>
              </w:r>
            </w:hyperlink>
          </w:p>
        </w:tc>
        <w:tc>
          <w:tcPr>
            <w:tcW w:w="240" w:type="dxa"/>
            <w:vAlign w:val="bottom"/>
            <w:gridSpan w:val="2"/>
          </w:tcPr>
          <w:p>
            <w:pPr>
              <w:spacing w:after="0"/>
              <w:rPr>
                <w:sz w:val="24"/>
                <w:szCs w:val="24"/>
                <w:color w:val="auto"/>
              </w:rPr>
            </w:pPr>
          </w:p>
        </w:tc>
        <w:tc>
          <w:tcPr>
            <w:tcW w:w="6140" w:type="dxa"/>
            <w:vAlign w:val="bottom"/>
            <w:tcBorders>
              <w:bottom w:val="single" w:sz="8" w:color="0000EE"/>
            </w:tcBorders>
            <w:gridSpan w:val="18"/>
          </w:tcPr>
          <w:p>
            <w:pPr>
              <w:spacing w:after="0"/>
              <w:rPr>
                <w:rFonts w:ascii="Arial" w:cs="Arial" w:eastAsia="Arial" w:hAnsi="Arial"/>
                <w:sz w:val="18"/>
                <w:szCs w:val="18"/>
                <w:color w:val="0000EE"/>
                <w:w w:val="98"/>
              </w:rPr>
            </w:pPr>
            <w:hyperlink w:anchor="page26">
              <w:r>
                <w:rPr>
                  <w:rFonts w:ascii="Arial" w:cs="Arial" w:eastAsia="Arial" w:hAnsi="Arial"/>
                  <w:sz w:val="18"/>
                  <w:szCs w:val="18"/>
                  <w:color w:val="0000EE"/>
                  <w:w w:val="98"/>
                </w:rPr>
                <w:t>QUANTITATIVE AND QUALITATIVE DISCLOSURES ABOUT MARKET RISK</w:t>
              </w:r>
            </w:hyperlink>
          </w:p>
        </w:tc>
        <w:tc>
          <w:tcPr>
            <w:tcW w:w="1200" w:type="dxa"/>
            <w:vAlign w:val="bottom"/>
            <w:gridSpan w:val="8"/>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412"/>
        </w:trPr>
        <w:tc>
          <w:tcPr>
            <w:tcW w:w="760" w:type="dxa"/>
            <w:vAlign w:val="bottom"/>
            <w:gridSpan w:val="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4.</w:t>
              </w:r>
            </w:hyperlink>
          </w:p>
        </w:tc>
        <w:tc>
          <w:tcPr>
            <w:tcW w:w="7340" w:type="dxa"/>
            <w:vAlign w:val="bottom"/>
            <w:gridSpan w:val="2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28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100" w:type="dxa"/>
            <w:vAlign w:val="bottom"/>
            <w:gridSpan w:val="30"/>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 OTHER INFORMATION</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1.</w:t>
              </w:r>
            </w:hyperlink>
          </w:p>
        </w:tc>
        <w:tc>
          <w:tcPr>
            <w:tcW w:w="240" w:type="dxa"/>
            <w:vAlign w:val="bottom"/>
            <w:tcBorders>
              <w:top w:val="single" w:sz="8" w:color="0000EE"/>
            </w:tcBorders>
            <w:gridSpan w:val="2"/>
          </w:tcPr>
          <w:p>
            <w:pPr>
              <w:spacing w:after="0"/>
              <w:rPr>
                <w:sz w:val="24"/>
                <w:szCs w:val="24"/>
                <w:color w:val="auto"/>
              </w:rPr>
            </w:pPr>
          </w:p>
        </w:tc>
        <w:tc>
          <w:tcPr>
            <w:tcW w:w="2060" w:type="dxa"/>
            <w:vAlign w:val="bottom"/>
            <w:tcBorders>
              <w:top w:val="single" w:sz="8" w:color="0000EE"/>
            </w:tcBorders>
            <w:gridSpan w:val="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5280" w:type="dxa"/>
            <w:vAlign w:val="bottom"/>
            <w:gridSpan w:val="19"/>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28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4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Item 1A.</w:t>
              </w:r>
            </w:hyperlink>
          </w:p>
        </w:tc>
        <w:tc>
          <w:tcPr>
            <w:tcW w:w="120" w:type="dxa"/>
            <w:vAlign w:val="bottom"/>
          </w:tcPr>
          <w:p>
            <w:pPr>
              <w:spacing w:after="0"/>
              <w:rPr>
                <w:sz w:val="24"/>
                <w:szCs w:val="24"/>
                <w:color w:val="auto"/>
              </w:rPr>
            </w:pPr>
          </w:p>
        </w:tc>
        <w:tc>
          <w:tcPr>
            <w:tcW w:w="124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RISK FACTORS</w:t>
              </w:r>
            </w:hyperlink>
          </w:p>
        </w:tc>
        <w:tc>
          <w:tcPr>
            <w:tcW w:w="6100" w:type="dxa"/>
            <w:vAlign w:val="bottom"/>
            <w:gridSpan w:val="23"/>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2.</w:t>
              </w:r>
            </w:hyperlink>
          </w:p>
        </w:tc>
        <w:tc>
          <w:tcPr>
            <w:tcW w:w="240" w:type="dxa"/>
            <w:vAlign w:val="bottom"/>
            <w:gridSpan w:val="2"/>
          </w:tcPr>
          <w:p>
            <w:pPr>
              <w:spacing w:after="0"/>
              <w:rPr>
                <w:sz w:val="24"/>
                <w:szCs w:val="24"/>
                <w:color w:val="auto"/>
              </w:rPr>
            </w:pPr>
          </w:p>
        </w:tc>
        <w:tc>
          <w:tcPr>
            <w:tcW w:w="6060" w:type="dxa"/>
            <w:vAlign w:val="bottom"/>
            <w:tcBorders>
              <w:bottom w:val="single" w:sz="8" w:color="0000EE"/>
            </w:tcBorders>
            <w:gridSpan w:val="17"/>
          </w:tcPr>
          <w:p>
            <w:pPr>
              <w:spacing w:after="0"/>
              <w:rPr>
                <w:rFonts w:ascii="Arial" w:cs="Arial" w:eastAsia="Arial" w:hAnsi="Arial"/>
                <w:sz w:val="18"/>
                <w:szCs w:val="18"/>
                <w:color w:val="0000EE"/>
                <w:w w:val="94"/>
              </w:rPr>
            </w:pPr>
            <w:hyperlink w:anchor="page28">
              <w:r>
                <w:rPr>
                  <w:rFonts w:ascii="Arial" w:cs="Arial" w:eastAsia="Arial" w:hAnsi="Arial"/>
                  <w:sz w:val="18"/>
                  <w:szCs w:val="18"/>
                  <w:color w:val="0000EE"/>
                  <w:w w:val="94"/>
                </w:rPr>
                <w:t>UNREGISTERED SALES OF EQUITY SECURITIES AND USE OF PROCEEDS</w:t>
              </w:r>
            </w:hyperlink>
          </w:p>
        </w:tc>
        <w:tc>
          <w:tcPr>
            <w:tcW w:w="1280" w:type="dxa"/>
            <w:vAlign w:val="bottom"/>
            <w:gridSpan w:val="9"/>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3.</w:t>
              </w:r>
            </w:hyperlink>
          </w:p>
        </w:tc>
        <w:tc>
          <w:tcPr>
            <w:tcW w:w="240" w:type="dxa"/>
            <w:vAlign w:val="bottom"/>
            <w:gridSpan w:val="2"/>
          </w:tcPr>
          <w:p>
            <w:pPr>
              <w:spacing w:after="0"/>
              <w:rPr>
                <w:sz w:val="24"/>
                <w:szCs w:val="24"/>
                <w:color w:val="auto"/>
              </w:rPr>
            </w:pPr>
          </w:p>
        </w:tc>
        <w:tc>
          <w:tcPr>
            <w:tcW w:w="3180" w:type="dxa"/>
            <w:vAlign w:val="bottom"/>
            <w:tcBorders>
              <w:bottom w:val="single" w:sz="8" w:color="0000EE"/>
            </w:tcBorders>
            <w:gridSpan w:val="14"/>
          </w:tcPr>
          <w:p>
            <w:pPr>
              <w:spacing w:after="0"/>
              <w:rPr>
                <w:rFonts w:ascii="Arial" w:cs="Arial" w:eastAsia="Arial" w:hAnsi="Arial"/>
                <w:sz w:val="18"/>
                <w:szCs w:val="18"/>
                <w:color w:val="0000EE"/>
                <w:w w:val="93"/>
              </w:rPr>
            </w:pPr>
            <w:hyperlink w:anchor="page28">
              <w:r>
                <w:rPr>
                  <w:rFonts w:ascii="Arial" w:cs="Arial" w:eastAsia="Arial" w:hAnsi="Arial"/>
                  <w:sz w:val="18"/>
                  <w:szCs w:val="18"/>
                  <w:color w:val="0000EE"/>
                  <w:w w:val="93"/>
                </w:rPr>
                <w:t>DEFAULTS UPON SENIOR SECURITIES</w:t>
              </w:r>
            </w:hyperlink>
          </w:p>
        </w:tc>
        <w:tc>
          <w:tcPr>
            <w:tcW w:w="4160" w:type="dxa"/>
            <w:vAlign w:val="bottom"/>
            <w:gridSpan w:val="12"/>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4.</w:t>
              </w:r>
            </w:hyperlink>
          </w:p>
        </w:tc>
        <w:tc>
          <w:tcPr>
            <w:tcW w:w="240" w:type="dxa"/>
            <w:vAlign w:val="bottom"/>
            <w:gridSpan w:val="2"/>
          </w:tcPr>
          <w:p>
            <w:pPr>
              <w:spacing w:after="0"/>
              <w:rPr>
                <w:sz w:val="24"/>
                <w:szCs w:val="24"/>
                <w:color w:val="auto"/>
              </w:rPr>
            </w:pPr>
          </w:p>
        </w:tc>
        <w:tc>
          <w:tcPr>
            <w:tcW w:w="244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28">
              <w:r>
                <w:rPr>
                  <w:rFonts w:ascii="Arial" w:cs="Arial" w:eastAsia="Arial" w:hAnsi="Arial"/>
                  <w:sz w:val="18"/>
                  <w:szCs w:val="18"/>
                  <w:color w:val="0000EE"/>
                  <w:w w:val="95"/>
                </w:rPr>
                <w:t>MINE SAFETY DISCLOSURES</w:t>
              </w:r>
            </w:hyperlink>
          </w:p>
        </w:tc>
        <w:tc>
          <w:tcPr>
            <w:tcW w:w="4900" w:type="dxa"/>
            <w:vAlign w:val="bottom"/>
            <w:gridSpan w:val="15"/>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5.</w:t>
              </w:r>
            </w:hyperlink>
          </w:p>
        </w:tc>
        <w:tc>
          <w:tcPr>
            <w:tcW w:w="240" w:type="dxa"/>
            <w:vAlign w:val="bottom"/>
            <w:gridSpan w:val="2"/>
          </w:tcPr>
          <w:p>
            <w:pPr>
              <w:spacing w:after="0"/>
              <w:rPr>
                <w:sz w:val="24"/>
                <w:szCs w:val="24"/>
                <w:color w:val="auto"/>
              </w:rPr>
            </w:pPr>
          </w:p>
        </w:tc>
        <w:tc>
          <w:tcPr>
            <w:tcW w:w="188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28">
              <w:r>
                <w:rPr>
                  <w:rFonts w:ascii="Arial" w:cs="Arial" w:eastAsia="Arial" w:hAnsi="Arial"/>
                  <w:sz w:val="18"/>
                  <w:szCs w:val="18"/>
                  <w:color w:val="0000EE"/>
                  <w:w w:val="95"/>
                </w:rPr>
                <w:t>OTHER INFORMATION</w:t>
              </w:r>
            </w:hyperlink>
          </w:p>
        </w:tc>
        <w:tc>
          <w:tcPr>
            <w:tcW w:w="5460" w:type="dxa"/>
            <w:vAlign w:val="bottom"/>
            <w:gridSpan w:val="20"/>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6.</w:t>
              </w:r>
            </w:hyperlink>
          </w:p>
        </w:tc>
        <w:tc>
          <w:tcPr>
            <w:tcW w:w="240" w:type="dxa"/>
            <w:vAlign w:val="bottom"/>
            <w:gridSpan w:val="2"/>
          </w:tcPr>
          <w:p>
            <w:pPr>
              <w:spacing w:after="0"/>
              <w:rPr>
                <w:sz w:val="24"/>
                <w:szCs w:val="24"/>
                <w:color w:val="auto"/>
              </w:rPr>
            </w:pPr>
          </w:p>
        </w:tc>
        <w:tc>
          <w:tcPr>
            <w:tcW w:w="820" w:type="dxa"/>
            <w:vAlign w:val="bottom"/>
            <w:tcBorders>
              <w:bottom w:val="single" w:sz="8" w:color="0000EE"/>
            </w:tcBorders>
            <w:gridSpan w:val="2"/>
          </w:tcPr>
          <w:p>
            <w:pPr>
              <w:spacing w:after="0"/>
              <w:rPr>
                <w:rFonts w:ascii="Arial" w:cs="Arial" w:eastAsia="Arial" w:hAnsi="Arial"/>
                <w:sz w:val="18"/>
                <w:szCs w:val="18"/>
                <w:color w:val="0000EE"/>
                <w:w w:val="97"/>
              </w:rPr>
            </w:pPr>
            <w:hyperlink w:anchor="page29">
              <w:r>
                <w:rPr>
                  <w:rFonts w:ascii="Arial" w:cs="Arial" w:eastAsia="Arial" w:hAnsi="Arial"/>
                  <w:sz w:val="18"/>
                  <w:szCs w:val="18"/>
                  <w:color w:val="0000EE"/>
                  <w:w w:val="97"/>
                </w:rPr>
                <w:t>EXHIBITS</w:t>
              </w:r>
            </w:hyperlink>
          </w:p>
        </w:tc>
        <w:tc>
          <w:tcPr>
            <w:tcW w:w="6520" w:type="dxa"/>
            <w:vAlign w:val="bottom"/>
            <w:gridSpan w:val="24"/>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412"/>
        </w:trPr>
        <w:tc>
          <w:tcPr>
            <w:tcW w:w="1160" w:type="dxa"/>
            <w:vAlign w:val="bottom"/>
            <w:tcBorders>
              <w:bottom w:val="single" w:sz="8" w:color="0000EE"/>
            </w:tcBorders>
            <w:gridSpan w:val="5"/>
          </w:tcPr>
          <w:p>
            <w:pPr>
              <w:spacing w:after="0"/>
              <w:rPr>
                <w:rFonts w:ascii="Arial" w:cs="Arial" w:eastAsia="Arial" w:hAnsi="Arial"/>
                <w:sz w:val="18"/>
                <w:szCs w:val="18"/>
                <w:b w:val="1"/>
                <w:bCs w:val="1"/>
                <w:color w:val="0000EE"/>
                <w:w w:val="96"/>
              </w:rPr>
            </w:pPr>
            <w:hyperlink w:anchor="page30">
              <w:r>
                <w:rPr>
                  <w:rFonts w:ascii="Arial" w:cs="Arial" w:eastAsia="Arial" w:hAnsi="Arial"/>
                  <w:sz w:val="18"/>
                  <w:szCs w:val="18"/>
                  <w:b w:val="1"/>
                  <w:bCs w:val="1"/>
                  <w:color w:val="0000EE"/>
                  <w:w w:val="96"/>
                </w:rPr>
                <w:t>SIGNATURES</w:t>
              </w:r>
            </w:hyperlink>
          </w:p>
        </w:tc>
        <w:tc>
          <w:tcPr>
            <w:tcW w:w="6940" w:type="dxa"/>
            <w:vAlign w:val="bottom"/>
            <w:gridSpan w:val="25"/>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1 –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73"/>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3"/>
              <w:spacing w:after="0" w:line="142" w:lineRule="exact"/>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Cash</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887,208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366,584</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1,253,792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Investments held in Trust Account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128,404,523</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0"/>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129,658,315</w:t>
            </w:r>
          </w:p>
        </w:tc>
        <w:tc>
          <w:tcPr>
            <w:tcW w:w="16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300" w:type="dxa"/>
            <w:vAlign w:val="bottom"/>
          </w:tcPr>
          <w:p>
            <w:pPr>
              <w:spacing w:after="0" w:line="198" w:lineRule="exact"/>
              <w:rPr>
                <w:sz w:val="20"/>
                <w:szCs w:val="20"/>
                <w:color w:val="auto"/>
              </w:rPr>
            </w:pPr>
            <w:r>
              <w:rPr>
                <w:rFonts w:ascii="Arial" w:cs="Arial" w:eastAsia="Arial" w:hAnsi="Arial"/>
                <w:sz w:val="18"/>
                <w:szCs w:val="18"/>
                <w:b w:val="1"/>
                <w:bCs w:val="1"/>
                <w:color w:val="auto"/>
              </w:rPr>
              <w:t>LIABILITIES, COMMON STOCK SUBJECT TO POSSIBLE REDEMPTION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00" w:type="dxa"/>
            <w:vAlign w:val="bottom"/>
          </w:tcPr>
          <w:p>
            <w:pPr>
              <w:ind w:left="100"/>
              <w:spacing w:after="0"/>
              <w:rPr>
                <w:sz w:val="20"/>
                <w:szCs w:val="20"/>
                <w:color w:val="auto"/>
              </w:rPr>
            </w:pPr>
            <w:r>
              <w:rPr>
                <w:rFonts w:ascii="Arial" w:cs="Arial" w:eastAsia="Arial" w:hAnsi="Arial"/>
                <w:sz w:val="18"/>
                <w:szCs w:val="18"/>
                <w:b w:val="1"/>
                <w:bCs w:val="1"/>
                <w:color w:val="auto"/>
              </w:rPr>
              <w:t>AND STOCKHOLDERS’ (DEFICIT) EQUITY</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80"/>
              <w:spacing w:after="0"/>
              <w:rPr>
                <w:sz w:val="20"/>
                <w:szCs w:val="20"/>
                <w:color w:val="auto"/>
              </w:rPr>
            </w:pPr>
            <w:r>
              <w:rPr>
                <w:rFonts w:ascii="Arial" w:cs="Arial" w:eastAsia="Arial" w:hAnsi="Arial"/>
                <w:sz w:val="18"/>
                <w:szCs w:val="18"/>
                <w:color w:val="auto"/>
              </w:rPr>
              <w:t>Accrued expenses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Franchise tax payable</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24,034</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1,480,915</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1,505,949</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$0.0001 par value; 12,650,000 and 0 shares at redemption value of</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$10.15 at September 30, 2021 and December 31, 2020, respectively</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128,397,500</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(Deficit)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tcPr>
          <w:p>
            <w:pPr>
              <w:ind w:left="80"/>
              <w:spacing w:after="0" w:line="201" w:lineRule="exact"/>
              <w:rPr>
                <w:sz w:val="20"/>
                <w:szCs w:val="20"/>
                <w:color w:val="auto"/>
              </w:rPr>
            </w:pPr>
            <w:r>
              <w:rPr>
                <w:rFonts w:ascii="Arial" w:cs="Arial" w:eastAsia="Arial" w:hAnsi="Arial"/>
                <w:sz w:val="18"/>
                <w:szCs w:val="18"/>
                <w:color w:val="auto"/>
                <w:w w:val="96"/>
              </w:rPr>
              <w:t>Preferred stock, $0.0001 par value; 1,000,000 shares authorized; none issued or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tcPr>
          <w:p>
            <w:pPr>
              <w:ind w:left="220"/>
              <w:spacing w:after="0"/>
              <w:rPr>
                <w:sz w:val="20"/>
                <w:szCs w:val="20"/>
                <w:color w:val="auto"/>
              </w:rPr>
            </w:pPr>
            <w:r>
              <w:rPr>
                <w:rFonts w:ascii="Arial" w:cs="Arial" w:eastAsia="Arial" w:hAnsi="Arial"/>
                <w:sz w:val="18"/>
                <w:szCs w:val="18"/>
                <w:color w:val="auto"/>
              </w:rPr>
              <w:t>outstanding at September 30, 2021 and December 31, 2021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2"/>
              </w:rPr>
              <w:t>Common stock, $0.0001 par value; 50,000,000 shares authorized; 3,162,500 shares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issued and outstanding (excluding 12,650,000 and 0 shares subject to possible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redemption) at September 30, 2021 and December 31, 2020, respectively</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(245,451)</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(Deficit) Equity</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(245,134)</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24,000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30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Total Liabilities, Common Stock Subject to Possible Redemption and</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129,658,315</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25,000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3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Stockholders’ (Deficit) Equity</w:t>
            </w:r>
          </w:p>
        </w:tc>
        <w:tc>
          <w:tcPr>
            <w:tcW w:w="32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6"/>
              <w:spacing w:after="0"/>
              <w:rPr>
                <w:sz w:val="20"/>
                <w:szCs w:val="20"/>
                <w:color w:val="auto"/>
              </w:rPr>
            </w:pPr>
            <w:r>
              <w:rPr>
                <w:rFonts w:ascii="Arial" w:cs="Arial" w:eastAsia="Arial" w:hAnsi="Arial"/>
                <w:sz w:val="14"/>
                <w:szCs w:val="14"/>
                <w:b w:val="1"/>
                <w:bCs w:val="1"/>
                <w:color w:val="auto"/>
                <w:w w:val="96"/>
              </w:rPr>
              <w:t>For the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4"/>
              </w:rPr>
              <w:t>Three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9"/>
              </w:rPr>
              <w:t>June 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Three Months Ended</w:t>
            </w:r>
          </w:p>
        </w:tc>
        <w:tc>
          <w:tcPr>
            <w:tcW w:w="14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6"/>
              </w:rPr>
              <w:t>Months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4"/>
              </w:rPr>
              <w:t>(Inception)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w w:val="96"/>
              </w:rPr>
              <w:t>September 30,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ind w:right="133"/>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2"/>
                <w:szCs w:val="12"/>
                <w:color w:val="auto"/>
              </w:rPr>
            </w:pPr>
          </w:p>
        </w:tc>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6"/>
              </w:rPr>
              <w:t>September 30,</w:t>
            </w:r>
          </w:p>
        </w:tc>
        <w:tc>
          <w:tcPr>
            <w:tcW w:w="1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Operating and formation costs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93,068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Franchise tax expense</w:t>
            </w:r>
          </w:p>
        </w:tc>
        <w:tc>
          <w:tcPr>
            <w:tcW w:w="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24,034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24,034</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(117,102)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Warrant issuance costs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(18,797)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private warrants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(1,253,929)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(1,253,929)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w w:val="99"/>
              </w:rPr>
              <w:t>Net gain on investments held in Trust Account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4,072,514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4,072,514</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680" w:type="dxa"/>
            <w:vAlign w:val="bottom"/>
            <w:tcBorders>
              <w:bottom w:val="single" w:sz="8" w:color="CCEEFF"/>
            </w:tcBorders>
          </w:tcPr>
          <w:p>
            <w:pPr>
              <w:ind w:left="80"/>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2,690,543</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2,689,709</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weighted average shares outstanding</w:t>
            </w:r>
          </w:p>
        </w:tc>
        <w:tc>
          <w:tcPr>
            <w:tcW w:w="3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9,453,125</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5,008,929</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9"/>
              </w:rPr>
              <w:t>Basic net income (loss) per common share</w:t>
            </w:r>
          </w:p>
        </w:tc>
        <w:tc>
          <w:tcPr>
            <w:tcW w:w="3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0.28</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0.54</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shares outstanding</w:t>
            </w: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0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9,672,826</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5,356,456</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Diluted net income (loss) per common share</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0.28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0.50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THREE AND NINE MONTHS ENDED SEPTEMBER 30, 2021 AND FOR THE PERIOD FROM JUNE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23, 2020 (INCEPTION) THROUGH 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400" w:type="dxa"/>
            <w:vAlign w:val="bottom"/>
            <w:gridSpan w:val="4"/>
            <w:vMerge w:val="restart"/>
          </w:tcPr>
          <w:p>
            <w:pPr>
              <w:jc w:val="right"/>
              <w:ind w:right="159"/>
              <w:spacing w:after="0"/>
              <w:rPr>
                <w:sz w:val="20"/>
                <w:szCs w:val="20"/>
                <w:color w:val="auto"/>
              </w:rPr>
            </w:pPr>
            <w:r>
              <w:rPr>
                <w:rFonts w:ascii="Arial" w:cs="Arial" w:eastAsia="Arial" w:hAnsi="Arial"/>
                <w:sz w:val="14"/>
                <w:szCs w:val="14"/>
                <w:b w:val="1"/>
                <w:bCs w:val="1"/>
                <w:color w:val="auto"/>
              </w:rPr>
              <w:t>Common Stock</w:t>
            </w:r>
          </w:p>
        </w:tc>
        <w:tc>
          <w:tcPr>
            <w:tcW w:w="13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95"/>
              </w:rPr>
              <w:t>Additional Paid-in</w:t>
            </w:r>
          </w:p>
        </w:tc>
        <w:tc>
          <w:tcPr>
            <w:tcW w:w="140" w:type="dxa"/>
            <w:vAlign w:val="bottom"/>
          </w:tcPr>
          <w:p>
            <w:pPr>
              <w:spacing w:after="0"/>
              <w:rPr>
                <w:sz w:val="14"/>
                <w:szCs w:val="14"/>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4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4020" w:type="dxa"/>
            <w:vAlign w:val="bottom"/>
          </w:tcPr>
          <w:p>
            <w:pPr>
              <w:spacing w:after="0"/>
              <w:rPr>
                <w:sz w:val="14"/>
                <w:szCs w:val="14"/>
                <w:color w:val="auto"/>
              </w:rPr>
            </w:pPr>
          </w:p>
        </w:tc>
        <w:tc>
          <w:tcPr>
            <w:tcW w:w="1400" w:type="dxa"/>
            <w:vAlign w:val="bottom"/>
            <w:tcBorders>
              <w:bottom w:val="single" w:sz="8" w:color="auto"/>
            </w:tcBorders>
            <w:gridSpan w:val="4"/>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740" w:type="dxa"/>
            <w:vAlign w:val="bottom"/>
          </w:tcPr>
          <w:p>
            <w:pPr>
              <w:jc w:val="right"/>
              <w:ind w:right="101"/>
              <w:spacing w:after="0" w:line="142" w:lineRule="exact"/>
              <w:rPr>
                <w:sz w:val="20"/>
                <w:szCs w:val="20"/>
                <w:color w:val="auto"/>
              </w:rPr>
            </w:pPr>
            <w:r>
              <w:rPr>
                <w:rFonts w:ascii="Arial" w:cs="Arial" w:eastAsia="Arial" w:hAnsi="Arial"/>
                <w:sz w:val="14"/>
                <w:szCs w:val="14"/>
                <w:b w:val="1"/>
                <w:bCs w:val="1"/>
                <w:color w:val="auto"/>
              </w:rPr>
              <w:t>Shares</w:t>
            </w:r>
          </w:p>
        </w:tc>
        <w:tc>
          <w:tcPr>
            <w:tcW w:w="66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ind w:right="280"/>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40"/>
              <w:spacing w:after="0" w:line="142" w:lineRule="exact"/>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61"/>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June 23, 2020 (inception)</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020" w:type="dxa"/>
            <w:vAlign w:val="bottom"/>
          </w:tcPr>
          <w:p>
            <w:pPr>
              <w:ind w:left="100"/>
              <w:spacing w:after="0"/>
              <w:rPr>
                <w:sz w:val="20"/>
                <w:szCs w:val="20"/>
                <w:color w:val="auto"/>
              </w:rPr>
            </w:pPr>
            <w:r>
              <w:rPr>
                <w:rFonts w:ascii="Arial" w:cs="Arial" w:eastAsia="Arial" w:hAnsi="Arial"/>
                <w:sz w:val="16"/>
                <w:szCs w:val="16"/>
                <w:color w:val="auto"/>
              </w:rPr>
              <w:t>Issuance of common stock to Sponsor</w:t>
            </w:r>
          </w:p>
        </w:tc>
        <w:tc>
          <w:tcPr>
            <w:tcW w:w="740" w:type="dxa"/>
            <w:vAlign w:val="bottom"/>
          </w:tcPr>
          <w:p>
            <w:pPr>
              <w:jc w:val="right"/>
              <w:spacing w:after="0"/>
              <w:rPr>
                <w:sz w:val="20"/>
                <w:szCs w:val="20"/>
                <w:color w:val="auto"/>
              </w:rPr>
            </w:pPr>
            <w:r>
              <w:rPr>
                <w:rFonts w:ascii="Arial" w:cs="Arial" w:eastAsia="Arial" w:hAnsi="Arial"/>
                <w:sz w:val="16"/>
                <w:szCs w:val="16"/>
                <w:color w:val="auto"/>
                <w:w w:val="92"/>
              </w:rPr>
              <w:t>3,162,500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317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24,683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loss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96"/>
        </w:trPr>
        <w:tc>
          <w:tcPr>
            <w:tcW w:w="4020" w:type="dxa"/>
            <w:vAlign w:val="bottom"/>
          </w:tcPr>
          <w:p>
            <w:pPr>
              <w:spacing w:after="0"/>
              <w:rPr>
                <w:sz w:val="20"/>
                <w:szCs w:val="20"/>
                <w:color w:val="auto"/>
              </w:rPr>
            </w:pPr>
            <w:r>
              <w:rPr>
                <w:rFonts w:ascii="Arial" w:cs="Arial" w:eastAsia="Arial" w:hAnsi="Arial"/>
                <w:sz w:val="16"/>
                <w:szCs w:val="16"/>
                <w:b w:val="1"/>
                <w:bCs w:val="1"/>
                <w:color w:val="auto"/>
              </w:rPr>
              <w:t>Balance at June 30, 2020 (unaudited)</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w w:val="92"/>
              </w:rPr>
              <w:t>3,162,500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317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24,683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(1,000)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24,000</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loss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020" w:type="dxa"/>
            <w:vAlign w:val="bottom"/>
          </w:tcPr>
          <w:p>
            <w:pPr>
              <w:spacing w:after="0"/>
              <w:rPr>
                <w:sz w:val="20"/>
                <w:szCs w:val="20"/>
                <w:color w:val="auto"/>
              </w:rPr>
            </w:pPr>
            <w:r>
              <w:rPr>
                <w:rFonts w:ascii="Arial" w:cs="Arial" w:eastAsia="Arial" w:hAnsi="Arial"/>
                <w:sz w:val="16"/>
                <w:szCs w:val="16"/>
                <w:b w:val="1"/>
                <w:bCs w:val="1"/>
                <w:color w:val="auto"/>
              </w:rPr>
              <w:t>Balance at September 30, 2020 (unaudited)</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3,162,500</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317</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24,683</w:t>
            </w: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(1,000)</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24,000</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020" w:type="dxa"/>
            <w:vAlign w:val="bottom"/>
          </w:tcPr>
          <w:p>
            <w:pPr>
              <w:spacing w:after="0"/>
              <w:rPr>
                <w:sz w:val="24"/>
                <w:szCs w:val="24"/>
                <w:color w:val="auto"/>
              </w:rPr>
            </w:pPr>
          </w:p>
        </w:tc>
        <w:tc>
          <w:tcPr>
            <w:tcW w:w="1400" w:type="dxa"/>
            <w:vAlign w:val="bottom"/>
            <w:gridSpan w:val="4"/>
            <w:vMerge w:val="restart"/>
          </w:tcPr>
          <w:p>
            <w:pPr>
              <w:jc w:val="right"/>
              <w:ind w:right="159"/>
              <w:spacing w:after="0"/>
              <w:rPr>
                <w:sz w:val="20"/>
                <w:szCs w:val="20"/>
                <w:color w:val="auto"/>
              </w:rPr>
            </w:pPr>
            <w:r>
              <w:rPr>
                <w:rFonts w:ascii="Arial" w:cs="Arial" w:eastAsia="Arial" w:hAnsi="Arial"/>
                <w:sz w:val="14"/>
                <w:szCs w:val="14"/>
                <w:b w:val="1"/>
                <w:bCs w:val="1"/>
                <w:color w:val="auto"/>
              </w:rPr>
              <w:t>Common Stock</w:t>
            </w:r>
          </w:p>
        </w:tc>
        <w:tc>
          <w:tcPr>
            <w:tcW w:w="13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95"/>
              </w:rPr>
              <w:t>Additional Paid-in</w:t>
            </w:r>
          </w:p>
        </w:tc>
        <w:tc>
          <w:tcPr>
            <w:tcW w:w="140" w:type="dxa"/>
            <w:vAlign w:val="bottom"/>
          </w:tcPr>
          <w:p>
            <w:pPr>
              <w:spacing w:after="0"/>
              <w:rPr>
                <w:sz w:val="24"/>
                <w:szCs w:val="24"/>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ind w:right="4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4020" w:type="dxa"/>
            <w:vAlign w:val="bottom"/>
          </w:tcPr>
          <w:p>
            <w:pPr>
              <w:spacing w:after="0"/>
              <w:rPr>
                <w:sz w:val="14"/>
                <w:szCs w:val="14"/>
                <w:color w:val="auto"/>
              </w:rPr>
            </w:pPr>
          </w:p>
        </w:tc>
        <w:tc>
          <w:tcPr>
            <w:tcW w:w="1400" w:type="dxa"/>
            <w:vAlign w:val="bottom"/>
            <w:tcBorders>
              <w:bottom w:val="single" w:sz="8" w:color="auto"/>
            </w:tcBorders>
            <w:gridSpan w:val="4"/>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740" w:type="dxa"/>
            <w:vAlign w:val="bottom"/>
          </w:tcPr>
          <w:p>
            <w:pPr>
              <w:jc w:val="right"/>
              <w:ind w:right="101"/>
              <w:spacing w:after="0" w:line="142" w:lineRule="exact"/>
              <w:rPr>
                <w:sz w:val="20"/>
                <w:szCs w:val="20"/>
                <w:color w:val="auto"/>
              </w:rPr>
            </w:pPr>
            <w:r>
              <w:rPr>
                <w:rFonts w:ascii="Arial" w:cs="Arial" w:eastAsia="Arial" w:hAnsi="Arial"/>
                <w:sz w:val="14"/>
                <w:szCs w:val="14"/>
                <w:b w:val="1"/>
                <w:bCs w:val="1"/>
                <w:color w:val="auto"/>
              </w:rPr>
              <w:t>Shares</w:t>
            </w:r>
          </w:p>
        </w:tc>
        <w:tc>
          <w:tcPr>
            <w:tcW w:w="66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ind w:right="280"/>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40"/>
              <w:spacing w:after="0" w:line="142" w:lineRule="exact"/>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2"/>
                <w:szCs w:val="12"/>
                <w:color w:val="auto"/>
              </w:rPr>
            </w:pPr>
          </w:p>
        </w:tc>
        <w:tc>
          <w:tcPr>
            <w:tcW w:w="10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7"/>
              </w:rPr>
              <w:t>Equity (Deficit)</w:t>
            </w:r>
          </w:p>
        </w:tc>
        <w:tc>
          <w:tcPr>
            <w:tcW w:w="0" w:type="dxa"/>
            <w:vAlign w:val="bottom"/>
          </w:tcPr>
          <w:p>
            <w:pPr>
              <w:spacing w:after="0"/>
              <w:rPr>
                <w:sz w:val="1"/>
                <w:szCs w:val="1"/>
                <w:color w:val="auto"/>
              </w:rPr>
            </w:pPr>
          </w:p>
        </w:tc>
      </w:tr>
      <w:tr>
        <w:trPr>
          <w:trHeight w:val="196"/>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2020</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3,162,500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24,683</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24,000</w:t>
            </w:r>
          </w:p>
        </w:tc>
        <w:tc>
          <w:tcPr>
            <w:tcW w:w="0" w:type="dxa"/>
            <w:vAlign w:val="bottom"/>
          </w:tcPr>
          <w:p>
            <w:pPr>
              <w:spacing w:after="0"/>
              <w:rPr>
                <w:sz w:val="1"/>
                <w:szCs w:val="1"/>
                <w:color w:val="auto"/>
              </w:rPr>
            </w:pPr>
          </w:p>
        </w:tc>
      </w:tr>
      <w:tr>
        <w:trPr>
          <w:trHeight w:val="203"/>
        </w:trPr>
        <w:tc>
          <w:tcPr>
            <w:tcW w:w="40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Net loss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March 31, 2021 (unaudited)</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3,162,500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317</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24,683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24,000</w:t>
            </w:r>
          </w:p>
        </w:tc>
        <w:tc>
          <w:tcPr>
            <w:tcW w:w="0" w:type="dxa"/>
            <w:vAlign w:val="bottom"/>
          </w:tcPr>
          <w:p>
            <w:pPr>
              <w:spacing w:after="0"/>
              <w:rPr>
                <w:sz w:val="1"/>
                <w:szCs w:val="1"/>
                <w:color w:val="auto"/>
              </w:rPr>
            </w:pPr>
          </w:p>
        </w:tc>
      </w:tr>
      <w:tr>
        <w:trPr>
          <w:trHeight w:val="203"/>
        </w:trPr>
        <w:tc>
          <w:tcPr>
            <w:tcW w:w="40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Net loss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w:t>
            </w:r>
          </w:p>
        </w:tc>
        <w:tc>
          <w:tcPr>
            <w:tcW w:w="0" w:type="dxa"/>
            <w:vAlign w:val="bottom"/>
          </w:tcPr>
          <w:p>
            <w:pPr>
              <w:spacing w:after="0"/>
              <w:rPr>
                <w:sz w:val="1"/>
                <w:szCs w:val="1"/>
                <w:color w:val="auto"/>
              </w:rPr>
            </w:pPr>
          </w:p>
        </w:tc>
      </w:tr>
      <w:tr>
        <w:trPr>
          <w:trHeight w:val="196"/>
        </w:trPr>
        <w:tc>
          <w:tcPr>
            <w:tcW w:w="4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June 30, 2021 (unaudited)</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3,162,500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317</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24,683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(1,834)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23,166</w:t>
            </w:r>
          </w:p>
        </w:tc>
        <w:tc>
          <w:tcPr>
            <w:tcW w:w="0" w:type="dxa"/>
            <w:vAlign w:val="bottom"/>
          </w:tcPr>
          <w:p>
            <w:pPr>
              <w:spacing w:after="0"/>
              <w:rPr>
                <w:sz w:val="1"/>
                <w:szCs w:val="1"/>
                <w:color w:val="auto"/>
              </w:rPr>
            </w:pPr>
          </w:p>
        </w:tc>
      </w:tr>
      <w:tr>
        <w:trPr>
          <w:trHeight w:val="193"/>
        </w:trPr>
        <w:tc>
          <w:tcPr>
            <w:tcW w:w="4020" w:type="dxa"/>
            <w:vAlign w:val="bottom"/>
          </w:tcPr>
          <w:p>
            <w:pPr>
              <w:ind w:left="100"/>
              <w:spacing w:after="0"/>
              <w:rPr>
                <w:sz w:val="20"/>
                <w:szCs w:val="20"/>
                <w:color w:val="auto"/>
              </w:rPr>
            </w:pPr>
            <w:r>
              <w:rPr>
                <w:rFonts w:ascii="Arial" w:cs="Arial" w:eastAsia="Arial" w:hAnsi="Arial"/>
                <w:sz w:val="16"/>
                <w:szCs w:val="16"/>
                <w:color w:val="auto"/>
              </w:rPr>
              <w:t>Proceeds from Initial Public Offering Costs allocated to</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20" w:type="dxa"/>
            <w:vAlign w:val="bottom"/>
          </w:tcPr>
          <w:p>
            <w:pPr>
              <w:ind w:left="240"/>
              <w:spacing w:after="0"/>
              <w:rPr>
                <w:sz w:val="20"/>
                <w:szCs w:val="20"/>
                <w:color w:val="auto"/>
              </w:rPr>
            </w:pPr>
            <w:r>
              <w:rPr>
                <w:rFonts w:ascii="Arial" w:cs="Arial" w:eastAsia="Arial" w:hAnsi="Arial"/>
                <w:sz w:val="16"/>
                <w:szCs w:val="16"/>
                <w:color w:val="auto"/>
              </w:rPr>
              <w:t>Public Warrants (net of offering costs)</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15,052,646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99"/>
              </w:rPr>
              <w:t>15,052,646</w:t>
            </w:r>
          </w:p>
        </w:tc>
        <w:tc>
          <w:tcPr>
            <w:tcW w:w="0" w:type="dxa"/>
            <w:vAlign w:val="bottom"/>
          </w:tcPr>
          <w:p>
            <w:pPr>
              <w:spacing w:after="0"/>
              <w:rPr>
                <w:sz w:val="1"/>
                <w:szCs w:val="1"/>
                <w:color w:val="auto"/>
              </w:rPr>
            </w:pPr>
          </w:p>
        </w:tc>
      </w:tr>
      <w:tr>
        <w:trPr>
          <w:trHeight w:val="205"/>
        </w:trPr>
        <w:tc>
          <w:tcPr>
            <w:tcW w:w="40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Accretion of common stock to redemption amount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(15,077,329)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(2,934,160)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(18,011,489)</w:t>
            </w:r>
          </w:p>
        </w:tc>
        <w:tc>
          <w:tcPr>
            <w:tcW w:w="0" w:type="dxa"/>
            <w:vAlign w:val="bottom"/>
          </w:tcPr>
          <w:p>
            <w:pPr>
              <w:spacing w:after="0"/>
              <w:rPr>
                <w:sz w:val="1"/>
                <w:szCs w:val="1"/>
                <w:color w:val="auto"/>
              </w:rPr>
            </w:pPr>
          </w:p>
        </w:tc>
      </w:tr>
      <w:tr>
        <w:trPr>
          <w:trHeight w:val="203"/>
        </w:trPr>
        <w:tc>
          <w:tcPr>
            <w:tcW w:w="40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Net income</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2,690,543</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2,690,543</w:t>
            </w:r>
          </w:p>
        </w:tc>
        <w:tc>
          <w:tcPr>
            <w:tcW w:w="0" w:type="dxa"/>
            <w:vAlign w:val="bottom"/>
          </w:tcPr>
          <w:p>
            <w:pPr>
              <w:spacing w:after="0"/>
              <w:rPr>
                <w:sz w:val="1"/>
                <w:szCs w:val="1"/>
                <w:color w:val="auto"/>
              </w:rPr>
            </w:pPr>
          </w:p>
        </w:tc>
      </w:tr>
      <w:tr>
        <w:trPr>
          <w:trHeight w:val="196"/>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September 30, 2021 (unaudited)</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3,162,500</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317</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(245,451)</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(245,134)</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For the Period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w w:val="92"/>
              </w:rPr>
              <w:t>Nine Months</w:t>
            </w:r>
          </w:p>
        </w:tc>
        <w:tc>
          <w:tcPr>
            <w:tcW w:w="18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from June 23,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180" w:type="dxa"/>
            <w:vAlign w:val="bottom"/>
            <w:gridSpan w:val="3"/>
          </w:tcPr>
          <w:p>
            <w:pPr>
              <w:jc w:val="center"/>
              <w:ind w:left="99"/>
              <w:spacing w:after="0" w:line="149" w:lineRule="exact"/>
              <w:rPr>
                <w:sz w:val="20"/>
                <w:szCs w:val="20"/>
                <w:color w:val="auto"/>
              </w:rPr>
            </w:pPr>
            <w:r>
              <w:rPr>
                <w:rFonts w:ascii="Arial" w:cs="Arial" w:eastAsia="Arial" w:hAnsi="Arial"/>
                <w:sz w:val="14"/>
                <w:szCs w:val="14"/>
                <w:b w:val="1"/>
                <w:bCs w:val="1"/>
                <w:color w:val="auto"/>
                <w:w w:val="93"/>
              </w:rPr>
              <w:t>2020 (Inception)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0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2021</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Net income (loss)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2,689,709</w:t>
            </w:r>
          </w:p>
        </w:tc>
        <w:tc>
          <w:tcPr>
            <w:tcW w:w="3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Adjustments to reconcile net income (loss) to net cash used in operations: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80"/>
              <w:spacing w:after="0"/>
              <w:rPr>
                <w:sz w:val="20"/>
                <w:szCs w:val="20"/>
                <w:color w:val="auto"/>
              </w:rPr>
            </w:pPr>
            <w:r>
              <w:rPr>
                <w:rFonts w:ascii="Arial" w:cs="Arial" w:eastAsia="Arial" w:hAnsi="Arial"/>
                <w:sz w:val="18"/>
                <w:szCs w:val="18"/>
                <w:color w:val="auto"/>
              </w:rPr>
              <w:t>Warrant issuance costs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18,797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gain on investments held in Trust Account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80"/>
              <w:spacing w:after="0"/>
              <w:rPr>
                <w:sz w:val="20"/>
                <w:szCs w:val="20"/>
                <w:color w:val="auto"/>
              </w:rPr>
            </w:pPr>
            <w:r>
              <w:rPr>
                <w:rFonts w:ascii="Arial" w:cs="Arial" w:eastAsia="Arial" w:hAnsi="Arial"/>
                <w:sz w:val="18"/>
                <w:szCs w:val="18"/>
                <w:color w:val="auto"/>
              </w:rPr>
              <w:t>Loss on sale of private warrants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1,253,928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Change in fair value of warrant liability</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(4,072,514)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80"/>
              <w:spacing w:after="0"/>
              <w:rPr>
                <w:sz w:val="20"/>
                <w:szCs w:val="20"/>
                <w:color w:val="auto"/>
              </w:rPr>
            </w:pPr>
            <w:r>
              <w:rPr>
                <w:rFonts w:ascii="Arial" w:cs="Arial" w:eastAsia="Arial" w:hAnsi="Arial"/>
                <w:sz w:val="18"/>
                <w:szCs w:val="18"/>
                <w:color w:val="auto"/>
              </w:rPr>
              <w:t>Prepaid expenses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(366,584)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Franchise tax payable</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24,034</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bottom w:val="single" w:sz="8" w:color="CCEEFF"/>
            </w:tcBorders>
          </w:tcPr>
          <w:p>
            <w:pPr>
              <w:ind w:left="200"/>
              <w:spacing w:after="0"/>
              <w:rPr>
                <w:sz w:val="20"/>
                <w:szCs w:val="20"/>
                <w:color w:val="auto"/>
              </w:rPr>
            </w:pPr>
            <w:r>
              <w:rPr>
                <w:rFonts w:ascii="Arial" w:cs="Arial" w:eastAsia="Arial" w:hAnsi="Arial"/>
                <w:sz w:val="18"/>
                <w:szCs w:val="18"/>
                <w:b w:val="1"/>
                <w:bCs w:val="1"/>
                <w:color w:val="auto"/>
              </w:rPr>
              <w:t>Net cash used in operating activities</w:t>
            </w:r>
          </w:p>
        </w:tc>
        <w:tc>
          <w:tcPr>
            <w:tcW w:w="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(459,653)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Cash deposited into Trust Account</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(128,397,500)</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bottom w:val="single" w:sz="8" w:color="CCEEFF"/>
            </w:tcBorders>
          </w:tcPr>
          <w:p>
            <w:pPr>
              <w:ind w:left="200"/>
              <w:spacing w:after="0"/>
              <w:rPr>
                <w:sz w:val="20"/>
                <w:szCs w:val="20"/>
                <w:color w:val="auto"/>
              </w:rPr>
            </w:pPr>
            <w:r>
              <w:rPr>
                <w:rFonts w:ascii="Arial" w:cs="Arial" w:eastAsia="Arial" w:hAnsi="Arial"/>
                <w:sz w:val="18"/>
                <w:szCs w:val="18"/>
                <w:b w:val="1"/>
                <w:bCs w:val="1"/>
                <w:color w:val="auto"/>
              </w:rPr>
              <w:t>Net cash used in investing activities</w:t>
            </w:r>
          </w:p>
        </w:tc>
        <w:tc>
          <w:tcPr>
            <w:tcW w:w="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(128,397,500)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initial public offering, net of underwriter’s discount paid</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126,000,000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Proceeds from promissory note - related party</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Repayment of promissory note - related party</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Proceeds from issuance of Founder Shares to Sponsor</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private warrants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4,299,500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Payment of offering costs</w:t>
            </w:r>
          </w:p>
        </w:tc>
        <w:tc>
          <w:tcPr>
            <w:tcW w:w="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(580,139)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Net cash provided by financing activities</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129,719,361</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25,000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862,208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 beginning of period</w:t>
            </w:r>
          </w:p>
        </w:tc>
        <w:tc>
          <w:tcPr>
            <w:tcW w:w="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 end of period</w:t>
            </w:r>
          </w:p>
        </w:tc>
        <w:tc>
          <w:tcPr>
            <w:tcW w:w="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887,208</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CHARDAN NEXTECH ACQUISITION 2 CORP.</w:t>
      </w:r>
    </w:p>
    <w:p>
      <w:pPr>
        <w:spacing w:after="0" w:line="63"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SEPTEMBER 30, 2021</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Chardan NexTech Acquisition 2 Corp (the “Company”) is a blank check company incorporated in Delaware on June 23, 2020. The Company was formed for the purpose of entering into a merger, share exchange, asset acquisition, share purchase, reorganization or similar business combination with one or more businesses (a “Business Combination”). 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92"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As of September 30, 2021, the Company had not yet commenced any operations. All activity through September 30, 2021 relates to the Company’s formation and initial public offering (“Initial Public Offering”) described below, and, subsequent to the Initial Public Offering, identifying a target company for a Business Combination. The Company will not generate any operating revenues until after completion of its initial Business Combination, at the earliest. The Company generates non-operating income in the form of interest income from the proceeds derived from the Initial Public Offering.</w:t>
      </w:r>
    </w:p>
    <w:p>
      <w:pPr>
        <w:spacing w:after="0" w:line="161"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registration statement on Form S-1 (the “Registration Statement”) for the Company’s Initial Public Offering was declared effective on August 10, 2021. On August 13, 2021, the Company consummated the Initial Public Offering of 11,000,000 units (the “Units” and, with respect to the common stock, par value $0.0001 per share, of the Company included in the Units sold, the “Public Shares”, and with respect to the warrants of the Company included in the Units sold, the “Public Warrants”), at $10.00 per Unit, generating gross proceeds of $110,000,000, which is discussed in Note 3.</w:t>
      </w:r>
    </w:p>
    <w:p>
      <w:pPr>
        <w:spacing w:after="0" w:line="16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4,361,456 warrants (the “Private Warrants”, together with the Public Warrants, the “Warrants”) at a price of $0.93 per Private Warrant in a private placement to Chardan NexTech 2 Warrant Holdings LLC, a Delaware limited liability company (“Holdings”), an affiliate of Chardan NexTech Investments 2 LLC, a Delaware limited liability company (the “Sponsor”), generating gross proceeds of $4,052,000, which is described in Note 4.</w:t>
      </w:r>
    </w:p>
    <w:p>
      <w:pPr>
        <w:spacing w:after="0" w:line="188"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Company had granted the underwriters in the Initial Public Offering a 45-day option to purchase up to 1,650,000 Units to cover over-allotments, if any (see Note 6). On August 16, 2021, the underwriters fully exercised the over-allotment option and, on August 18, 2021, purchased an additional 1,650,000 Units (the “Over-Allotment Units”) at a purchase price of $10.00 per Over-Allotment Unit, generating gross proceeds of $16,500,000.</w:t>
      </w:r>
    </w:p>
    <w:p>
      <w:pPr>
        <w:spacing w:after="0" w:line="17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Simultaneously with the closing of the exercise of the over-allotment option, the Company consummated the sale of 266,402 warrants (the “Over-Allotment Private Warrants”) at a purchase price of $0.93 per Over-Allotment Private Warrant in a private placement to Holdings, generating gross proceeds of $247,500.</w:t>
      </w:r>
    </w:p>
    <w:p>
      <w:pPr>
        <w:spacing w:after="0" w:line="18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Following the closing of the Initial Public Offering and underwriters’ over-allotment option, an amount of $128,397,500 from the net proceeds of the sale of the Units and Over-Allotment Units and a portion of the proceeds from the sale of the Private Warrants and Over-Allotment Private Warrants was placed in a trust account (the “Trust Account”) and was invested only in U.S. government securities, within the meaning set forth in Section 2(a)(16) of the Investment Company Act of 1940, as amended (the “Investment Company Act”), with a maturity of 185 days or in money market funds meeting certain conditions under Rule 2a-7 promulgated under the Investment Company Act which invest only in direct U.S. government treasury obligations, until the earlier of: (i) the completion of a Business Combination and (ii) the distribution of the funds held in the Trust Account, as described below.</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Transaction costs related to the issuances described above amounted to $1,080,139, consisting of $500,000 of cash underwriting fees and $580,139 of other offering costs.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00" w:right="1680"/>
        <w:spacing w:after="0" w:line="266" w:lineRule="auto"/>
        <w:rPr>
          <w:sz w:val="20"/>
          <w:szCs w:val="20"/>
          <w:color w:val="auto"/>
        </w:rPr>
      </w:pPr>
      <w:r>
        <w:rPr>
          <w:rFonts w:ascii="Arial" w:cs="Arial" w:eastAsia="Arial" w:hAnsi="Arial"/>
          <w:sz w:val="18"/>
          <w:szCs w:val="18"/>
          <w:b w:val="1"/>
          <w:bCs w:val="1"/>
          <w:color w:val="auto"/>
        </w:rPr>
        <w:t>CHARDAN NEXTECH ACQUISITION 2 CORP. NOTES TO UNAUDITED CONDENSED FINANCIAL STATEMENTS SEPTEMBER 30, 2021</w:t>
      </w:r>
    </w:p>
    <w:p>
      <w:pPr>
        <w:spacing w:after="0" w:line="153"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 xml:space="preserve">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anticipated to be $10.15 per Public Share, plus any pro rata interest earned on the funds held in the Trust Account and not previously released to the Company to pay its tax obligations). The Public Shares subject to redemption was recorded at redemption value and classified as temporary equity upon the completion of the Initial Public Offering in accordance with the Financial Accounting Standards Board’s (“FASB”) Accounting Standards Codification (“ASC”) Topic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(“ASC 480”).</w:t>
      </w:r>
    </w:p>
    <w:p>
      <w:pPr>
        <w:spacing w:after="0" w:line="168" w:lineRule="exact"/>
        <w:rPr>
          <w:sz w:val="20"/>
          <w:szCs w:val="20"/>
          <w:color w:val="auto"/>
        </w:rPr>
      </w:pPr>
    </w:p>
    <w:p>
      <w:pPr>
        <w:jc w:val="both"/>
        <w:ind w:left="60" w:right="59"/>
        <w:spacing w:after="0" w:line="283" w:lineRule="auto"/>
        <w:rPr>
          <w:sz w:val="20"/>
          <w:szCs w:val="20"/>
          <w:color w:val="auto"/>
        </w:rPr>
      </w:pPr>
      <w:r>
        <w:rPr>
          <w:rFonts w:ascii="Arial" w:cs="Arial" w:eastAsia="Arial" w:hAnsi="Arial"/>
          <w:sz w:val="16"/>
          <w:szCs w:val="16"/>
          <w:color w:val="auto"/>
        </w:rPr>
        <w:t>The Company will proceed with a Business Combination only if the Company has net tangible assets of at least $5,000,001 either prior to or upon such consummation of a Business Combination and, if the Company seeks stockholder approval, a majority of the shares voted are voted in favor of the Business Combination. If a stockholder vote is not required by law and the Company does not decide to hold a stockholder vote for business or other reasons, the Company will, pursuant to its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has agreed to vote its Founder Shares (as defined in Note</w:t>
      </w:r>
    </w:p>
    <w:p>
      <w:pPr>
        <w:spacing w:after="0" w:line="5" w:lineRule="exact"/>
        <w:rPr>
          <w:sz w:val="20"/>
          <w:szCs w:val="20"/>
          <w:color w:val="auto"/>
        </w:rPr>
      </w:pPr>
    </w:p>
    <w:p>
      <w:pPr>
        <w:jc w:val="both"/>
        <w:ind w:left="60" w:right="59" w:hanging="10"/>
        <w:spacing w:after="0" w:line="255" w:lineRule="auto"/>
        <w:tabs>
          <w:tab w:leader="none" w:pos="308" w:val="left"/>
        </w:tabs>
        <w:numPr>
          <w:ilvl w:val="0"/>
          <w:numId w:val="2"/>
        </w:numPr>
        <w:rPr>
          <w:rFonts w:ascii="Arial" w:cs="Arial" w:eastAsia="Arial" w:hAnsi="Arial"/>
          <w:sz w:val="18"/>
          <w:szCs w:val="18"/>
          <w:color w:val="auto"/>
        </w:rPr>
      </w:pPr>
      <w:r>
        <w:rPr>
          <w:rFonts w:ascii="Arial" w:cs="Arial" w:eastAsia="Arial" w:hAnsi="Arial"/>
          <w:sz w:val="18"/>
          <w:szCs w:val="18"/>
          <w:color w:val="auto"/>
        </w:rPr>
        <w:t>and any Public Shares purchased during or after the Initial Public Offering in favor of approving a Business Combination. Additionally, each public stockholder may elect to redeem their Public Shares irrespective of whether they vote for or against the proposed transaction.</w:t>
      </w:r>
    </w:p>
    <w:p>
      <w:pPr>
        <w:spacing w:after="0" w:line="190"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Notwithstanding the above, 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78"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Company will have 12 months, or August 13, 2022, from the closing of the Initial Public Offering to consummate an initial Business Combination. However, if the Company anticipates that it may not be able to consummate an initial Business Combination within 12 months, the Company’s insiders or their affiliates may, but are not obligated to, extend the period of time to consummate a Business Combination up to two times by an additional three months each time (for a total of up to 18 months, or February 13, 2023, to complete a Business Combination). If the Company is unable to consummate an initial Business Combination within the above time period, the Company will distribute the aggregate amount then on deposit in the Trust Account, pro rata to the Company’s public stockholders, by way of the redemption of their shares and thereafter cease all operations except for the purposes of winding up of the Company’s affairs. In such event, the warrants will expire and be worthless.</w:t>
      </w:r>
    </w:p>
    <w:p>
      <w:pPr>
        <w:spacing w:after="0" w:line="181"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initial stockholders have agreed to waive their redemption rights with respect to any shares they own in connection with the consummation of the initial Business Combination, including their Founder Shares and Public Shares that they purchase during or after the offering, if any. In addition, the initial stockholders have agreed to waive their rights to liquidating distributions with respect to their Founder Shares if the Company fails to consummate an initial Business Combination within 18 months (assuming both of the three-month extensions were executed) from the closing of this offering. However, if the initial stockholders acquire Public Shares in or after the Initial Public Offering, they will be entitled to receive liquidating distributions with respect to such Public Shares if the Company fails to consummate an initial Business Combination within the required time period.</w:t>
      </w:r>
    </w:p>
    <w:p>
      <w:pPr>
        <w:sectPr>
          <w:pgSz w:w="11900" w:h="16838" w:orient="portrait"/>
          <w:cols w:equalWidth="0" w:num="1">
            <w:col w:w="9019"/>
          </w:cols>
          <w:pgMar w:left="1440" w:top="611"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59"/>
        <w:spacing w:after="0" w:line="266" w:lineRule="auto"/>
        <w:rPr>
          <w:sz w:val="20"/>
          <w:szCs w:val="20"/>
          <w:color w:val="auto"/>
        </w:rPr>
      </w:pPr>
      <w:r>
        <w:rPr>
          <w:rFonts w:ascii="Arial" w:cs="Arial" w:eastAsia="Arial" w:hAnsi="Arial"/>
          <w:sz w:val="18"/>
          <w:szCs w:val="18"/>
          <w:b w:val="1"/>
          <w:bCs w:val="1"/>
          <w:color w:val="auto"/>
        </w:rPr>
        <w:t>CHARDAN NEXTECH ACQUISITION 2 CORP. NOTES TO UNAUDITED CONDENSED FINANCIAL STATEMENTS SEPTEMBER 30, 2021</w:t>
      </w:r>
    </w:p>
    <w:p>
      <w:pPr>
        <w:spacing w:after="0" w:line="153"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In order to protect the amounts held in the Trust Account, the Sponsor has agreed to be liable to the Company if and to the extent any claims by a third party (other than the Company’s independent registered accounting firm) for services rendered or products sold to the Company, or a prospective target business with which the Company has discussed entering into a transaction agreement, reduce the amount of funds in the Trust Account to below (1) $10.15 per Public Share or (2) the actual amount per Public Share held in the Trust Account as of the date of the liquidation of the Trust Account due to reductions in the value of the trust assets, in each case net of the interest which may be withdrawn to pay the Company’s taxes,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Going Concern Consideration</w:t>
      </w:r>
    </w:p>
    <w:p>
      <w:pPr>
        <w:spacing w:after="0" w:line="22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As of September 30, 2021, the Company had $887,208 in cash held outside of the Trust Account and working capital of $1,228,758. The Company has incurred and expects to continue to incur significant costs in pursuit of its acquisition plans. These conditions raise substantial doubt about the Company’s ability to continue as a going concern for a period of time within one year after the date that the financial statements are issued. Management plans to address this uncertainty through the Business Combination as discussed above. There is no assurance that the Company’s plans to consummate the Business Combination will be successful or successful within the Combination Period. The financial statements do not include any adjustments that might result from the outcome of this uncertainty.</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prospective partner company, the specific impact is not readily determinable as of the date of these financial statements. The financial statements do not include any adjustments that might result from the outcome of this uncertainty.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59"/>
        <w:spacing w:after="0" w:line="266" w:lineRule="auto"/>
        <w:rPr>
          <w:sz w:val="20"/>
          <w:szCs w:val="20"/>
          <w:color w:val="auto"/>
        </w:rPr>
      </w:pPr>
      <w:r>
        <w:rPr>
          <w:rFonts w:ascii="Arial" w:cs="Arial" w:eastAsia="Arial" w:hAnsi="Arial"/>
          <w:sz w:val="18"/>
          <w:szCs w:val="18"/>
          <w:b w:val="1"/>
          <w:bCs w:val="1"/>
          <w:color w:val="auto"/>
        </w:rPr>
        <w:t>CHARDAN NEXTECH ACQUISITION 2 CORP. NOTES TO UNAUDITED CONDENSED FINANCIAL STATEMENTS SEPTEMBER 30, 2021</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BASIS OF PRESENTATION AND SUMMARY OF SIGNIFICANT ACCOUNTING POLICIES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The accompanying unaudited condensed financial statements of the Company are presented in conformity with accounting principles generally accepted in the United States of America (“GAAP”) and pursuant to the rules and regulations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 The accompanying unaudited condensed financial statements should be read in conjunction with the Company’s final prospectus for its Initial Public Offering as filed with the SEC on August 12, 2021, as well as the Company’s Current Reports on Form 8-K, as filed with the SEC on August 13, 2021, August 19, 2021 and August 23, 2021. The interim results for the three and nine months ended September 30, 2021 are not necessarily indicative of the results to be expected for the year ending December 31, 2021 or for any future periods.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Revision of Previously Issued Financial Statements</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 revised its previously issued financial statements to classify redeemable common stock in temporary equity. In accordance with Securities and Exchange Commission ("SEC") and its staff’s guidance on redeemable equity instruments, which has been codified in ASC 480-10-S99, redemption provisions not solely within the control of the Company require common stock subject to redemption to be classified outside of permanent equity. The Company had previously classified a portion of the redeemable common stock in permanent equity. Although the Company did not specify a maximum redemption threshold, its charter provides that currently, the Company will not redeem its public shares in an amount that would cause its net tangible assets to be less than $5,000,001. The Company revised its financial statements to classify all redeemable common stock as temporary equity and any related impact, as the threshold in its charter would not change the nature of the underlying shares as redeemable and thus would be required to be disclosed outside of permanent equity.</w:t>
      </w:r>
    </w:p>
    <w:p>
      <w:pPr>
        <w:spacing w:after="0" w:line="185"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 reclassification of amounts from permanent equity to temporary equity result in non-cash financial statement corrections and will have no impact on the Company’s current or previously reported cash position, operating expenses or total operating, investing or financing cash flows.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59"/>
        <w:spacing w:after="0" w:line="266" w:lineRule="auto"/>
        <w:rPr>
          <w:sz w:val="20"/>
          <w:szCs w:val="20"/>
          <w:color w:val="auto"/>
        </w:rPr>
      </w:pPr>
      <w:r>
        <w:rPr>
          <w:rFonts w:ascii="Arial" w:cs="Arial" w:eastAsia="Arial" w:hAnsi="Arial"/>
          <w:sz w:val="18"/>
          <w:szCs w:val="18"/>
          <w:b w:val="1"/>
          <w:bCs w:val="1"/>
          <w:color w:val="auto"/>
        </w:rPr>
        <w:t>CHARDAN NEXTECH ACQUISITION 2 CORP. NOTES TO UNAUDITED CONDENSED FINANCIAL STATEMENTS SEPTEMBER 30, 2021</w:t>
      </w:r>
    </w:p>
    <w:p>
      <w:pPr>
        <w:spacing w:after="0" w:line="153"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tables summarize the effect of the revision on each financial statement line item as of the dates, and for the periods, indicated: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August 13, 2021</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As Previously</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04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Reported</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9"/>
              </w:rPr>
              <w:t>Adjustments</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7"/>
              </w:rPr>
              <w:t>As Revised</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(audited)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Common stock subject to possible redemption</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102,760,650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(5,960,650)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96,800,000</w:t>
            </w:r>
          </w:p>
        </w:tc>
        <w:tc>
          <w:tcPr>
            <w:tcW w:w="0" w:type="dxa"/>
            <w:vAlign w:val="bottom"/>
          </w:tcPr>
          <w:p>
            <w:pPr>
              <w:spacing w:after="0"/>
              <w:rPr>
                <w:sz w:val="1"/>
                <w:szCs w:val="1"/>
                <w:color w:val="auto"/>
              </w:rPr>
            </w:pPr>
          </w:p>
        </w:tc>
      </w:tr>
      <w:tr>
        <w:trPr>
          <w:trHeight w:val="202"/>
        </w:trPr>
        <w:tc>
          <w:tcPr>
            <w:tcW w:w="50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6"/>
              </w:rPr>
              <w:t>Allocation of underwriter’s discounts, offering costs and deferred</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fees to common shares</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(932,386)</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(932,386)</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Immediate accretion to redemption value</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15,782,386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15,782,386</w:t>
            </w:r>
          </w:p>
        </w:tc>
        <w:tc>
          <w:tcPr>
            <w:tcW w:w="0" w:type="dxa"/>
            <w:vAlign w:val="bottom"/>
          </w:tcPr>
          <w:p>
            <w:pPr>
              <w:spacing w:after="0"/>
              <w:rPr>
                <w:sz w:val="1"/>
                <w:szCs w:val="1"/>
                <w:color w:val="auto"/>
              </w:rPr>
            </w:pPr>
          </w:p>
        </w:tc>
      </w:tr>
      <w:tr>
        <w:trPr>
          <w:trHeight w:val="209"/>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common stock subject to possible redemption</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102,760,650</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8,889,350</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111,650,000</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405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6,204,399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(6,204,399)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(1,204,802)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(2,684,863)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(3,889,665)</w:t>
            </w: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(8,889,350)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(3,889,348)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92"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periods.</w:t>
      </w:r>
    </w:p>
    <w:p>
      <w:pPr>
        <w:spacing w:after="0" w:line="16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ectPr>
          <w:pgSz w:w="11900" w:h="16838" w:orient="portrait"/>
          <w:cols w:equalWidth="0" w:num="1">
            <w:col w:w="9019"/>
          </w:cols>
          <w:pgMar w:left="1440" w:top="611" w:right="1440"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00" w:right="1680"/>
        <w:spacing w:after="0" w:line="266" w:lineRule="auto"/>
        <w:rPr>
          <w:sz w:val="20"/>
          <w:szCs w:val="20"/>
          <w:color w:val="auto"/>
        </w:rPr>
      </w:pPr>
      <w:r>
        <w:rPr>
          <w:rFonts w:ascii="Arial" w:cs="Arial" w:eastAsia="Arial" w:hAnsi="Arial"/>
          <w:sz w:val="18"/>
          <w:szCs w:val="18"/>
          <w:b w:val="1"/>
          <w:bCs w:val="1"/>
          <w:color w:val="auto"/>
        </w:rPr>
        <w:t>CHARDAN NEXTECH ACQUISITION 2 CORP. NOTES TO UNAUDITED CONDENSED FINANCIAL STATEMENTS SEPTEMBER 30, 2021</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60" w:right="79"/>
        <w:spacing w:after="0" w:line="342" w:lineRule="auto"/>
        <w:rPr>
          <w:sz w:val="20"/>
          <w:szCs w:val="20"/>
          <w:color w:val="auto"/>
        </w:rPr>
      </w:pPr>
      <w:r>
        <w:rPr>
          <w:rFonts w:ascii="Arial" w:cs="Arial" w:eastAsia="Arial" w:hAnsi="Arial"/>
          <w:sz w:val="16"/>
          <w:szCs w:val="16"/>
          <w:color w:val="auto"/>
        </w:rPr>
        <w:t>The Company considers all short-term investments with an original maturity of three months or less when purchased to be cash equivalents. The Company did not have any cash equivalents as of September 30, 2021 and December 31, 2020.</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Investments Held in Trust Account</w:t>
      </w:r>
    </w:p>
    <w:p>
      <w:pPr>
        <w:spacing w:after="0" w:line="229" w:lineRule="exact"/>
        <w:rPr>
          <w:sz w:val="20"/>
          <w:szCs w:val="20"/>
          <w:color w:val="auto"/>
        </w:rPr>
      </w:pPr>
    </w:p>
    <w:p>
      <w:pPr>
        <w:ind w:left="60" w:right="159"/>
        <w:spacing w:after="0" w:line="269" w:lineRule="auto"/>
        <w:rPr>
          <w:sz w:val="20"/>
          <w:szCs w:val="20"/>
          <w:color w:val="auto"/>
        </w:rPr>
      </w:pPr>
      <w:r>
        <w:rPr>
          <w:rFonts w:ascii="Arial" w:cs="Arial" w:eastAsia="Arial" w:hAnsi="Arial"/>
          <w:sz w:val="17"/>
          <w:szCs w:val="17"/>
          <w:color w:val="auto"/>
        </w:rPr>
        <w:t>The Company’s portfolio of investments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sheets at fair value at the end of each reporting period. Gains and losses resulting from the change in fair value of these securities is included in Net income (loss) from investments held in Trust Account in the accompanying unaudited condensed statement of operations. The estimated fair values of investments held in the Trust Account are determined using available market information.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 accounts for its Class common stock subject to possible redemption in accordance with the guidance in ASC Topic 480 "Distinguishing Liabilities from Equity." Class A common stock subject to mandatory redemption (if any) are classified as liability instruments and are measured at fair value. Conditionally redeemable Class A common stock (including Class A common stock that feature redemption rights that are either within the control of the holder or subject to redemption upon occurrence of uncertain events not solely within the Company's control) are classified as temporary equity. At all other times, Class A common stock are classified as shareholders' equity. The Company's Class A common stock feature certain redemption rights that are considered to be outside of the Company's control and subject to the occurrence of uncertain future events. Accordingly, as of September 31, 2021, 12,650,000 shares common stock subject to possible redemption are presented as temporary equity, outside of the shareholders' equity section of the Company's unaudited condensed balance sheet. Effective with the closing of the Initial Public Offering, the Company recognized the accretion from the initial book value to redemption amount, which resulted in charges against additional paid-in capital (to the extent available) and accumulated deficit.</w:t>
      </w:r>
    </w:p>
    <w:p>
      <w:pPr>
        <w:spacing w:after="0" w:line="17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paid-in capital and accumulated deficit.</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of September 30, 2021, the common stock reflected in the condensed balance sheet are reconciled in the following table:</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proceeds</w:t>
            </w:r>
          </w:p>
        </w:tc>
        <w:tc>
          <w:tcPr>
            <w:tcW w:w="37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0"/>
              <w:spacing w:after="0"/>
              <w:rPr>
                <w:sz w:val="20"/>
                <w:szCs w:val="20"/>
                <w:color w:val="auto"/>
              </w:rPr>
            </w:pPr>
            <w:r>
              <w:rPr>
                <w:rFonts w:ascii="Arial" w:cs="Arial" w:eastAsia="Arial" w:hAnsi="Arial"/>
                <w:sz w:val="18"/>
                <w:szCs w:val="18"/>
                <w:color w:val="auto"/>
              </w:rPr>
              <w:t>Less:</w:t>
            </w:r>
          </w:p>
        </w:tc>
        <w:tc>
          <w:tcPr>
            <w:tcW w:w="3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allocated to Public Warrants</w:t>
            </w:r>
          </w:p>
        </w:tc>
        <w:tc>
          <w:tcPr>
            <w:tcW w:w="3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20"/>
              <w:spacing w:after="0"/>
              <w:rPr>
                <w:sz w:val="20"/>
                <w:szCs w:val="20"/>
                <w:color w:val="auto"/>
              </w:rPr>
            </w:pPr>
            <w:r>
              <w:rPr>
                <w:rFonts w:ascii="Arial" w:cs="Arial" w:eastAsia="Arial" w:hAnsi="Arial"/>
                <w:sz w:val="18"/>
                <w:szCs w:val="18"/>
                <w:color w:val="auto"/>
              </w:rPr>
              <w:t>Issuance costs allocated to common stock</w:t>
            </w:r>
          </w:p>
        </w:tc>
        <w:tc>
          <w:tcPr>
            <w:tcW w:w="3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(933,989)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w:t>
            </w:r>
          </w:p>
        </w:tc>
        <w:tc>
          <w:tcPr>
            <w:tcW w:w="3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Accretion of carrying value to redemption value</w:t>
            </w:r>
          </w:p>
        </w:tc>
        <w:tc>
          <w:tcPr>
            <w:tcW w:w="34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18,011,489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8"/>
              </w:rPr>
              <w:t>Common stock subject to possible redemption</w:t>
            </w:r>
          </w:p>
        </w:tc>
        <w:tc>
          <w:tcPr>
            <w:tcW w:w="34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128,397,500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440" w:type="dxa"/>
            <w:vAlign w:val="bottom"/>
            <w:vMerge w:val="restart"/>
          </w:tcPr>
          <w:p>
            <w:pPr>
              <w:jc w:val="right"/>
              <w:ind w:right="2770"/>
              <w:spacing w:after="0"/>
              <w:rPr>
                <w:sz w:val="20"/>
                <w:szCs w:val="20"/>
                <w:color w:val="auto"/>
              </w:rPr>
            </w:pPr>
            <w:r>
              <w:rPr>
                <w:rFonts w:ascii="Arial" w:cs="Arial" w:eastAsia="Arial" w:hAnsi="Arial"/>
                <w:sz w:val="18"/>
                <w:szCs w:val="18"/>
                <w:color w:val="auto"/>
              </w:rPr>
              <w:t>10</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98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9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11"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59"/>
        <w:spacing w:after="0" w:line="266" w:lineRule="auto"/>
        <w:rPr>
          <w:sz w:val="20"/>
          <w:szCs w:val="20"/>
          <w:color w:val="auto"/>
        </w:rPr>
      </w:pPr>
      <w:r>
        <w:rPr>
          <w:rFonts w:ascii="Arial" w:cs="Arial" w:eastAsia="Arial" w:hAnsi="Arial"/>
          <w:sz w:val="18"/>
          <w:szCs w:val="18"/>
          <w:b w:val="1"/>
          <w:bCs w:val="1"/>
          <w:color w:val="auto"/>
        </w:rPr>
        <w:t>CHARDAN NEXTECH ACQUISITION 2 CORP. NOTES TO UNAUDITED CONDENSED FINANCIAL STATEMENTS SEPTEMBER 30, 2021</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Offering Costs associated with the Initial Public Offering</w:t>
      </w:r>
    </w:p>
    <w:p>
      <w:pPr>
        <w:spacing w:after="0" w:line="16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 xml:space="preserve">The Company complies with the requirements of ASC 340-10-S99-1 and SEC Staff Accounting Bulletin Topic 5A - </w:t>
      </w:r>
      <w:r>
        <w:rPr>
          <w:rFonts w:ascii="Arial" w:cs="Arial" w:eastAsia="Arial" w:hAnsi="Arial"/>
          <w:sz w:val="17"/>
          <w:szCs w:val="17"/>
          <w:i w:val="1"/>
          <w:iCs w:val="1"/>
          <w:color w:val="auto"/>
        </w:rPr>
        <w:t>Expenses of Offering</w:t>
      </w:r>
      <w:r>
        <w:rPr>
          <w:rFonts w:ascii="Arial" w:cs="Arial" w:eastAsia="Arial" w:hAnsi="Arial"/>
          <w:sz w:val="17"/>
          <w:szCs w:val="17"/>
          <w:color w:val="auto"/>
        </w:rPr>
        <w:t>. Offering costs consist principally of professional and registration fees incurred through the balance</w:t>
      </w:r>
      <w:r>
        <w:rPr>
          <w:rFonts w:ascii="Arial" w:cs="Arial" w:eastAsia="Arial" w:hAnsi="Arial"/>
          <w:sz w:val="17"/>
          <w:szCs w:val="17"/>
          <w:i w:val="1"/>
          <w:iCs w:val="1"/>
          <w:color w:val="auto"/>
        </w:rPr>
        <w:t xml:space="preserve"> </w:t>
      </w:r>
      <w:r>
        <w:rPr>
          <w:rFonts w:ascii="Arial" w:cs="Arial" w:eastAsia="Arial" w:hAnsi="Arial"/>
          <w:sz w:val="17"/>
          <w:szCs w:val="17"/>
          <w:color w:val="auto"/>
        </w:rPr>
        <w:t>sheet date that are related to the Initial Public Offering. Offering costs directly attributable to the issuance of an equity contract to be classified in equity are recorded as a reduction in equity. Offering costs for equity contracts that are classified as assets and liabilities are expensed immediately. The Company incurred offering costs amounting to $1,080,139, consisting of $500,000 of cash underwriting fees and $580,139 of other offering costs. The Company recorded $933,989 of offering costs as a reduction of temporary equity in connection with the redeemable common stock included in the Units. The Company recorded $127,354 as a reduction of permanent equity in connection with the Public Warrants included in the Units and immediately expensed $18,797 of offering costs in connection with the Private Warrants that were classified as liabilities.</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Warrant Liabilities</w:t>
      </w:r>
    </w:p>
    <w:p>
      <w:pPr>
        <w:spacing w:after="0" w:line="17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 xml:space="preserve">The Company accounts for warrants as either equity-classified or liability-classified instruments based on an assessment of the warrant’s specific terms and applicable authoritative guidance in ASC 480 and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6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will be recognized as a non-cash gain or loss on the statements of operations.</w:t>
      </w:r>
    </w:p>
    <w:p>
      <w:pPr>
        <w:spacing w:after="0" w:line="18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 xml:space="preserve">The Company accounts for the Private Warrants issued concurrently in connection with the Initial Public Offering in accordance with ASC 815-40, under which the Private Warrants will not meet the criteria for equity classification and must be recorded as liabilities. As the Private Warrants meet the definition of a derivative as contemplated in ASC 815, the Private Warrants will be measured at fair value at inception and at each reporting date in accordance with ASC 820, </w:t>
      </w:r>
      <w:r>
        <w:rPr>
          <w:rFonts w:ascii="Arial" w:cs="Arial" w:eastAsia="Arial" w:hAnsi="Arial"/>
          <w:sz w:val="18"/>
          <w:szCs w:val="18"/>
          <w:i w:val="1"/>
          <w:iCs w:val="1"/>
          <w:color w:val="auto"/>
        </w:rPr>
        <w:t>Fair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Value Measurement </w:t>
      </w:r>
      <w:r>
        <w:rPr>
          <w:rFonts w:ascii="Arial" w:cs="Arial" w:eastAsia="Arial" w:hAnsi="Arial"/>
          <w:sz w:val="18"/>
          <w:szCs w:val="18"/>
          <w:color w:val="auto"/>
        </w:rPr>
        <w:t>(“ASC 820”), with changes in fair value recognized in the statements of operations in the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change.</w:t>
      </w:r>
    </w:p>
    <w:p>
      <w:pPr>
        <w:spacing w:after="0" w:line="19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Public Warrants are not precluded from equity classification, and are accounted for as such on the date of issuance, and each balance sheet date thereafter.</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 xml:space="preserve">The Company complies with the accounting and reporting requirements of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 Deferred tax assets were deemed to be de minimis as of September 30, 2021 and December 31, 2020.</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59"/>
        <w:spacing w:after="0" w:line="266" w:lineRule="auto"/>
        <w:rPr>
          <w:sz w:val="20"/>
          <w:szCs w:val="20"/>
          <w:color w:val="auto"/>
        </w:rPr>
      </w:pPr>
      <w:r>
        <w:rPr>
          <w:rFonts w:ascii="Arial" w:cs="Arial" w:eastAsia="Arial" w:hAnsi="Arial"/>
          <w:sz w:val="18"/>
          <w:szCs w:val="18"/>
          <w:b w:val="1"/>
          <w:bCs w:val="1"/>
          <w:color w:val="auto"/>
        </w:rPr>
        <w:t>CHARDAN NEXTECH ACQUISITION 2 CORP. NOTES TO UNAUDITED CONDENSED FINANCIAL STATEMENTS SEPTEMBER 30, 2021</w:t>
      </w:r>
    </w:p>
    <w:p>
      <w:pPr>
        <w:spacing w:after="0" w:line="153"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September 30,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6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The provision for income taxes was deemed to be de minimis for the three and nine months ended September 30, 2021, the three months ended September 30, 2020 and for the period June 23, 2020 (inception) through September 30, 2020.</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Income (Loss) Per Share of Common Stock</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Net income (loss) per common share is computed by dividing net earnings by the weighted average number of shares of common stock outstanding during the period. The Company has not considered the effect of the Warrants sold in the Initial Public Offering and private placement to purchase an aggregate of 10,586,519 shares in the calculation of diluted income per share, since the exercise of the Warrants are contingent upon the occurrence of future events and the inclusion of such Warrants would be anti-dilutive.</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reflects the calculation of basic and diluted net income (loss) per common share (in dollars, except per share amounts):</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20"/>
              <w:spacing w:after="0"/>
              <w:rPr>
                <w:sz w:val="20"/>
                <w:szCs w:val="20"/>
                <w:color w:val="auto"/>
              </w:rPr>
            </w:pPr>
            <w:r>
              <w:rPr>
                <w:rFonts w:ascii="Arial" w:cs="Arial" w:eastAsia="Arial" w:hAnsi="Arial"/>
                <w:sz w:val="14"/>
                <w:szCs w:val="14"/>
                <w:b w:val="1"/>
                <w:bCs w:val="1"/>
                <w:color w:val="auto"/>
                <w:w w:val="96"/>
              </w:rPr>
              <w:t>For the</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ind w:right="2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June 23,</w:t>
            </w:r>
          </w:p>
        </w:tc>
        <w:tc>
          <w:tcPr>
            <w:tcW w:w="0" w:type="dxa"/>
            <w:vAlign w:val="bottom"/>
          </w:tcPr>
          <w:p>
            <w:pPr>
              <w:spacing w:after="0"/>
              <w:rPr>
                <w:sz w:val="1"/>
                <w:szCs w:val="1"/>
                <w:color w:val="auto"/>
              </w:rPr>
            </w:pPr>
          </w:p>
        </w:tc>
      </w:tr>
      <w:tr>
        <w:trPr>
          <w:trHeight w:val="183"/>
        </w:trPr>
        <w:tc>
          <w:tcPr>
            <w:tcW w:w="3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20"/>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12"/>
        </w:trPr>
        <w:tc>
          <w:tcPr>
            <w:tcW w:w="3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Three Months</w:t>
            </w:r>
          </w:p>
        </w:tc>
        <w:tc>
          <w:tcPr>
            <w:tcW w:w="18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Nine Months</w:t>
            </w:r>
          </w:p>
        </w:tc>
        <w:tc>
          <w:tcPr>
            <w:tcW w:w="20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w:t>
            </w:r>
          </w:p>
        </w:tc>
        <w:tc>
          <w:tcPr>
            <w:tcW w:w="16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(Inception)</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215"/>
              <w:spacing w:after="0" w:line="149" w:lineRule="exact"/>
              <w:rPr>
                <w:sz w:val="20"/>
                <w:szCs w:val="20"/>
                <w:color w:val="auto"/>
              </w:rPr>
            </w:pPr>
            <w:r>
              <w:rPr>
                <w:rFonts w:ascii="Arial" w:cs="Arial" w:eastAsia="Arial" w:hAnsi="Arial"/>
                <w:sz w:val="14"/>
                <w:szCs w:val="14"/>
                <w:b w:val="1"/>
                <w:bCs w:val="1"/>
                <w:color w:val="auto"/>
              </w:rPr>
              <w:t>Ended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6"/>
              </w:rPr>
              <w:t>September 30,</w:t>
            </w:r>
          </w:p>
        </w:tc>
        <w:tc>
          <w:tcPr>
            <w:tcW w:w="180" w:type="dxa"/>
            <w:vAlign w:val="bottom"/>
          </w:tcPr>
          <w:p>
            <w:pPr>
              <w:spacing w:after="0"/>
              <w:rPr>
                <w:sz w:val="12"/>
                <w:szCs w:val="12"/>
                <w:color w:val="auto"/>
              </w:rPr>
            </w:pPr>
          </w:p>
        </w:tc>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6"/>
              </w:rPr>
              <w:t>September 30,</w:t>
            </w:r>
          </w:p>
        </w:tc>
        <w:tc>
          <w:tcPr>
            <w:tcW w:w="20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38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share:</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Numerator:</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2,690,543</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2,689,709</w:t>
            </w: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Denominator:</w:t>
            </w: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9,453,125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5,008,929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Basic net income (loss) per common share</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0.28</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0.54</w:t>
            </w:r>
          </w:p>
        </w:tc>
        <w:tc>
          <w:tcPr>
            <w:tcW w:w="3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9,672,826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5,356,456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Diluted net income (loss) per common share</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0.28</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0.50</w:t>
            </w:r>
          </w:p>
        </w:tc>
        <w:tc>
          <w:tcPr>
            <w:tcW w:w="3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Corporation coverage limit of $250,000. The Company has not experienced losses on this account and management believes the Company is not exposed to significant risks on such account.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59"/>
        <w:spacing w:after="0" w:line="266" w:lineRule="auto"/>
        <w:rPr>
          <w:sz w:val="20"/>
          <w:szCs w:val="20"/>
          <w:color w:val="auto"/>
        </w:rPr>
      </w:pPr>
      <w:r>
        <w:rPr>
          <w:rFonts w:ascii="Arial" w:cs="Arial" w:eastAsia="Arial" w:hAnsi="Arial"/>
          <w:sz w:val="18"/>
          <w:szCs w:val="18"/>
          <w:b w:val="1"/>
          <w:bCs w:val="1"/>
          <w:color w:val="auto"/>
        </w:rPr>
        <w:t>CHARDAN NEXTECH ACQUISITION 2 CORP. NOTES TO UNAUDITED CONDENSED FINANCIAL STATEMENTS SEPTEMBER 30, 2021</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8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carrying amounts reflected in the balance sheet for current assets and current liabilities approximate fair value due to their short-term nature.</w:t>
      </w:r>
    </w:p>
    <w:p>
      <w:pPr>
        <w:spacing w:after="0" w:line="170"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Level 1 — Assets and liabilities with unadjusted, quoted prices listed on active market exchanges. Inputs to the fair value measurement are observable inputs, such as quoted prices in active markets for identical assets or liabilities.</w:t>
      </w:r>
    </w:p>
    <w:p>
      <w:pPr>
        <w:spacing w:after="0" w:line="14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8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Level 3 — Inputs to the fair value measurement are unobservable inputs, such as estimates, assumptions, and valuation techniques when little or no market data exists for the assets or liabilities.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 9 for additional information on assets and liabilities measured at fair value.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 xml:space="preserve">In August 2020, the Financial Accounting Standards Board (“FASB”) issued Accounting Standards Update (“ASU”) 2020-06, </w:t>
      </w:r>
      <w:r>
        <w:rPr>
          <w:rFonts w:ascii="Arial" w:cs="Arial" w:eastAsia="Arial" w:hAnsi="Arial"/>
          <w:sz w:val="17"/>
          <w:szCs w:val="17"/>
          <w:i w:val="1"/>
          <w:iCs w:val="1"/>
          <w:color w:val="auto"/>
        </w:rPr>
        <w:t>Debt — Debt with Conversion and Other Options (Subtopic 470-20) and Derivatives and Hedging — Contracts 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Entity’s Own Equity (Subtopic 815-40) </w:t>
      </w:r>
      <w:r>
        <w:rPr>
          <w:rFonts w:ascii="Arial" w:cs="Arial" w:eastAsia="Arial" w:hAnsi="Arial"/>
          <w:sz w:val="17"/>
          <w:szCs w:val="17"/>
          <w:color w:val="auto"/>
        </w:rPr>
        <w:t>(“ASU 2020-06”) to simplify accounting for certain financial instruments. ASU</w:t>
      </w:r>
      <w:r>
        <w:rPr>
          <w:rFonts w:ascii="Arial" w:cs="Arial" w:eastAsia="Arial" w:hAnsi="Arial"/>
          <w:sz w:val="17"/>
          <w:szCs w:val="17"/>
          <w:i w:val="1"/>
          <w:iCs w:val="1"/>
          <w:color w:val="auto"/>
        </w:rPr>
        <w:t xml:space="preserve"> </w:t>
      </w:r>
      <w:r>
        <w:rPr>
          <w:rFonts w:ascii="Arial" w:cs="Arial" w:eastAsia="Arial" w:hAnsi="Arial"/>
          <w:sz w:val="17"/>
          <w:szCs w:val="17"/>
          <w:color w:val="auto"/>
        </w:rPr>
        <w:t>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 January 1, 2021. The Company is currently assessing the impact, if any, that ASU 2020-06 would have on its financial position, results of operations or cash flows.</w:t>
      </w:r>
    </w:p>
    <w:p>
      <w:pPr>
        <w:spacing w:after="0" w:line="182"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The Company’s management does not believe that any recently issued, but not yet effective, accounting standards, if currently adopted, would have a material effect on the accompanying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59"/>
        <w:spacing w:after="0" w:line="266" w:lineRule="auto"/>
        <w:rPr>
          <w:sz w:val="20"/>
          <w:szCs w:val="20"/>
          <w:color w:val="auto"/>
        </w:rPr>
      </w:pPr>
      <w:r>
        <w:rPr>
          <w:rFonts w:ascii="Arial" w:cs="Arial" w:eastAsia="Arial" w:hAnsi="Arial"/>
          <w:sz w:val="18"/>
          <w:szCs w:val="18"/>
          <w:b w:val="1"/>
          <w:bCs w:val="1"/>
          <w:color w:val="auto"/>
        </w:rPr>
        <w:t>CHARDAN NEXTECH ACQUISITION 2 CORP. NOTES TO UNAUDITED CONDENSED FINANCIAL STATEMENTS SEPTEMBER 30, 2021</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INITIAL PUBLIC OFFERING</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Registration Statement for the Company’s Initial Public Offering was declared effective on August 10, 2021. On August 13, 2021, the Company completed its Initial Public Offering of 11,000,000 Units, at $10.00 per Unit, generating gross proceeds of $110,000,000. Each Unit consisted of one Public Share, and three-quarters of one Public Warrant. Each Public Warrant entitles the holder to purchase one share of common stock at an exercise price of $11.50 per whole share (see Note 7).</w:t>
      </w:r>
    </w:p>
    <w:p>
      <w:pPr>
        <w:spacing w:after="0" w:line="18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 Company had granted the underwriters in the Initial Public Offering a 45-day option to purchase up to 1,650,000 additional Units to cover over-allotments, if any (see Note 6). On August 18, 2021, the underwriters fully exercised the over-allotment option and purchased 1,650,000 Over-Allotment Units, generating gross proceeds of $16,500,000.</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Simultaneously with the closing of the Initial Public Offering, Holdings purchased an aggregate of 4,361,456 Private Warrants at a price of $0.93 per Private Warrant ($4,052,000 in the aggregate). Each Private Warrant entitles the holder to purchase one share of common stock at an exercise price of $11.50 per share (see Note 7).</w:t>
      </w:r>
    </w:p>
    <w:p>
      <w:pPr>
        <w:spacing w:after="0" w:line="16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proceeds from the Private Warrants were added to the proceeds from the Initial Public Offering to be held in the Trust Account. If the Company does not complete a Business Combination within 12 months (or up to 18 months if the Company’s time to complete a Business Combination is extended), the proceeds of the sale of the Private Warrants will be used to fund the redemption of the Public Shares (subject to the requirements of applicable law) and the Private Warrants will expire worthless. The Company classifies the outstanding Private Warrants as warrant liabilities on the balance sheet in accordance with the guidance contained in ASC 815-40.</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Simultaneously with the closing of the exercise of the over-allotment option (see Note 6), the Company consummated the sale of 266,402 Over-Allotment Private Warrants at a purchase price of $0.93 per Over-Allotment Private Warrant in a private placement to Holdings, generating gross proceeds of $247,500.</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RELATED PARTY TRANSACTIONS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On June 23, 2020, the Company issued 1,000,000 shares of common stock for an aggregate price of $25,000 (the “Founder Shares”). On March 4, 2021, the Company effected a 2.875-for-1 stock split of its issued and outstanding shares of common stock, resulting in an aggregate of 2,875,000 shares of common stock issued and outstanding. On August 10, 2021, the Company effectuated a 1.1-for-1 stock split, resulting in an aggregate of 3,162,500 shares of common stock outstanding. Shares and the associated amounts have been retroactively restated in these financial statements to reflect the two stock splits. The Founder Shares include an aggregate of up to 412,500 shares of common stock subject to forfeiture by the initial stockholders to the extent that the underwriters’ over-allotment is not exercised in full or in part, so that the initial stockholders would collectively own, on an as-converted basis, 20% of the Company’s issued and outstanding shares after the Initial Public Offering.</w:t>
      </w:r>
    </w:p>
    <w:p>
      <w:pPr>
        <w:spacing w:after="0" w:line="18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On August 18, 2021, the underwriters’ exercised the over-allotment option in full, thus the Founder Shares are no longer subject to forfeiture (see Note 6).</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59"/>
        <w:spacing w:after="0" w:line="266" w:lineRule="auto"/>
        <w:rPr>
          <w:sz w:val="20"/>
          <w:szCs w:val="20"/>
          <w:color w:val="auto"/>
        </w:rPr>
      </w:pPr>
      <w:r>
        <w:rPr>
          <w:rFonts w:ascii="Arial" w:cs="Arial" w:eastAsia="Arial" w:hAnsi="Arial"/>
          <w:sz w:val="18"/>
          <w:szCs w:val="18"/>
          <w:b w:val="1"/>
          <w:bCs w:val="1"/>
          <w:color w:val="auto"/>
        </w:rPr>
        <w:t>CHARDAN NEXTECH ACQUISITION 2 CORP. NOTES TO UNAUDITED CONDENSED FINANCIAL STATEMENTS SEPTEMBER 30, 2021</w:t>
      </w:r>
    </w:p>
    <w:p>
      <w:pPr>
        <w:spacing w:after="0" w:line="153"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With certain limited exceptions, 50% of the Founder Shares will not be transferred, assigned, sold or released from escrow until the earlier of (i) six months after the date of the consummation of a Business Combination or (ii) the date on which the closing price of the Company’s shares of common stock equals or exceeds $12.50 per share (as adjusted for stock splits) six months after the date of the consummation of a Business Combination, or earlier,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Promissory Note — Related Party</w:t>
      </w:r>
    </w:p>
    <w:p>
      <w:pPr>
        <w:spacing w:after="0" w:line="229" w:lineRule="exact"/>
        <w:rPr>
          <w:sz w:val="20"/>
          <w:szCs w:val="20"/>
          <w:color w:val="auto"/>
        </w:rPr>
      </w:pPr>
    </w:p>
    <w:p>
      <w:pPr>
        <w:ind w:left="60" w:right="119"/>
        <w:spacing w:after="0" w:line="301" w:lineRule="auto"/>
        <w:rPr>
          <w:sz w:val="20"/>
          <w:szCs w:val="20"/>
          <w:color w:val="auto"/>
        </w:rPr>
      </w:pPr>
      <w:r>
        <w:rPr>
          <w:rFonts w:ascii="Arial" w:cs="Arial" w:eastAsia="Arial" w:hAnsi="Arial"/>
          <w:sz w:val="16"/>
          <w:szCs w:val="16"/>
          <w:color w:val="auto"/>
        </w:rPr>
        <w:t>On July 23, 2020, the Sponsor agreed to loan the Company an aggregate of up to $250,000 to cover expenses related to the Initial Public Offering pursuant to a promissory note (the "Promissory Note"). The promissory note was non-interest bearing, unsecured and was repaid at August 19, 2021. As of September 30, 2021 and December 31, 2020, there was no outstanding balance under the note. The Company cannot make any additional draws under this promissory note.</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Administrative Support Agreement</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entered into an agreement, commencing on the effective date of the Initial Public Offering, to pay an affiliate of the Sponsor a total of $10,000 per month for office space, administrative and support services. Upon completion of a Business Combination or liquidation, the Company will cease paying these monthly fees. To date, the Company has not exercised its option to use such services.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In order to finance transaction costs in connection with an intended initial Business Combination, the Company’s initial stockholders, officers and directors or any of their respective affiliates may, but are not obligated to, loan the Company funds as may be required from time to time or at any time, in whatever amount they deem reasonable in their sole discretion. Each loan would be evidenced by a promissory note. The notes would be paid upon consummation of an initial Business Combination, without interest. Loans made by Chardan Capital Markets, LLC or any of its related persons will not be convertible into any of the Company’s securities and Chardan Capital Markets, LLC and its related persons will have no recourse with respect to their ability to convert their loans into any of the Company’s securities. As of September 30, 2021 and December 31, 2020, the Company had no working capital loans outstanding.</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Registration and Stockholder Rights Agreement</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holders of the Founder Shares and Private Warrants (and any shares of common stock issuable upon the exercise of the Private Warrants) will be entitled to registration rights pursuant to an agreement to be signed prior to or on the effective date of the Initial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 consummates a Business Combination.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59"/>
        <w:spacing w:after="0" w:line="266" w:lineRule="auto"/>
        <w:rPr>
          <w:sz w:val="20"/>
          <w:szCs w:val="20"/>
          <w:color w:val="auto"/>
        </w:rPr>
      </w:pPr>
      <w:r>
        <w:rPr>
          <w:rFonts w:ascii="Arial" w:cs="Arial" w:eastAsia="Arial" w:hAnsi="Arial"/>
          <w:sz w:val="18"/>
          <w:szCs w:val="18"/>
          <w:b w:val="1"/>
          <w:bCs w:val="1"/>
          <w:color w:val="auto"/>
        </w:rPr>
        <w:t>CHARDAN NEXTECH ACQUISITION 2 CORP. NOTES TO UNAUDITED CONDENSED FINANCIAL STATEMENTS SEPTEMBER 30, 2021</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Company granted the underwriters a 45-day option to purchase up to 1,650,000 Over-Allotment Units to cover over-allotments at the Initial Public Offering price, less the underwriting discounts and commissions. On August 18, 2021, the underwriters fully exercised the over-allotment option to purchase 1,650,000 Over-Allotment Units at an offering price of $10.00 per Over-Allotment Unit for an aggregate purchase price of $16,500,000. In addition, the underwriters were paid a cash underwriting discount of $500,000 upon the closing of the Initial Public Offering.</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22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Company has engaged Chardan Capital Markets, LLC as an advisor in connection with the Company’s Business Combination to assist the Company in holding meetings with the stockholders to discuss the potential Business Combination and the target business’ attributes, introduce the Company to potential investors that are interested in purchasing the Company’s securities, assist the Company in obtaining stockholder approval for the Business Combination and assist the Company with press releases and public filings in connection with the Business Combination. The Company will pay Chardan Capital Markets, LLC a cash fee for such services upon the consummation of the Company’s initial Business Combination in an amount equal to, in the aggregate, 3.5% of the gross proceeds of the Initial Public Offering. As a result, Chardan Capital Markets, LLC will not be entitled to such fee unless the Company consummates the initial Business Combination.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Related Party Extension Loans</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As discussed in Note 1, the Company may extend the period of time to consummate an initial Business Combination two times, for an additional three months each time (for a total of up to 18 months to complete a Business Combination). In order to extend the time available for the Company to consummate a Business Combination, the initial stockholders or their affiliates or designees must deposit into the Trust Account $1,265,000 ($0.10 per share, or an aggregate of $2,530,000) if extended for each of the full three months), on or prior to the date of the applicable deadline. Any such payments would be made in the form of a loan. The terms of the promissory note to be issued in connection with any such loans have not yet been negotiated. If the Company completes an initial Business Combination, the Company would repay such loaned amounts out of the proceeds of the Trust Account released to the Company. If the Company does not complete an initial Business Combination, the Company will not repay such loans. The initial stockholders and their affiliates or designees are not obligated to fund the Trust Account to extend the time for the Company to complete an initial Business Combination.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WARRANTS</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As of September 30, 2021 and December 31, 2020 there was 9,487,500 and no Public Warrants and 4,627,858 and no Private Warrants outstanding, respectively. Each whole Public Warrant will entitle the holder to purchase one share of common stock at an exercise price of $11.50 per whole share. Each of the Private Warrants is exercisable to purchase one share of common stock at a price of $11.50 per share, subject to adjustment. The proceeds from the sale of the Private Warrants were added to the net proceeds from the Initial Public Offering to be held in the Trust Account. If the Company does not complete a Business Combination within the 12 months (or up to 18 months if the Company’s time to complete a Business Combination is extended), the proceeds from the sale of the Private Warrants will be used to fund the redemption of the Public Shares (and the Private Warrants will expire worthless). The Warrants provide for a cashless exercise which the Company’s management determined to be a net settlement feature with no obligation to settle in cash. The net shares issued in a cashless exercise are based on the fair value of the Company’s common stock at the time the Warrants are exercised.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00" w:right="1680"/>
        <w:spacing w:after="0" w:line="266" w:lineRule="auto"/>
        <w:rPr>
          <w:sz w:val="20"/>
          <w:szCs w:val="20"/>
          <w:color w:val="auto"/>
        </w:rPr>
      </w:pPr>
      <w:r>
        <w:rPr>
          <w:rFonts w:ascii="Arial" w:cs="Arial" w:eastAsia="Arial" w:hAnsi="Arial"/>
          <w:sz w:val="18"/>
          <w:szCs w:val="18"/>
          <w:b w:val="1"/>
          <w:bCs w:val="1"/>
          <w:color w:val="auto"/>
        </w:rPr>
        <w:t>CHARDAN NEXTECH ACQUISITION 2 CORP. NOTES TO UNAUDITED CONDENSED FINANCIAL STATEMENTS SEPTEMBER 30, 2021</w:t>
      </w:r>
    </w:p>
    <w:p>
      <w:pPr>
        <w:spacing w:after="0" w:line="153"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Each Warrant shall, when countersigned by the warrant agent, entitle the registered holder to purchase from the Company the number of shares of common stock at $11.50 per share. The Public Warrants may only be exercised for a whole number of shares of common stock by a registered holder. No fractional shares will be issued.</w:t>
      </w:r>
    </w:p>
    <w:p>
      <w:pPr>
        <w:spacing w:after="0" w:line="16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A Warrant may be exercised only during the period (“Exercise Period”) commencing 30 days after the completion of the Company’s initial Business Combination and terminating at 5:00 p.m., New York City time, on the earlier to occur of (i)</w:t>
      </w:r>
    </w:p>
    <w:p>
      <w:pPr>
        <w:jc w:val="both"/>
        <w:ind w:left="60" w:right="59" w:hanging="10"/>
        <w:spacing w:after="0" w:line="267" w:lineRule="auto"/>
        <w:tabs>
          <w:tab w:leader="none" w:pos="357" w:val="left"/>
        </w:tabs>
        <w:numPr>
          <w:ilvl w:val="0"/>
          <w:numId w:val="3"/>
        </w:numPr>
        <w:rPr>
          <w:rFonts w:ascii="Arial" w:cs="Arial" w:eastAsia="Arial" w:hAnsi="Arial"/>
          <w:sz w:val="17"/>
          <w:szCs w:val="17"/>
          <w:color w:val="auto"/>
        </w:rPr>
      </w:pPr>
      <w:r>
        <w:rPr>
          <w:rFonts w:ascii="Arial" w:cs="Arial" w:eastAsia="Arial" w:hAnsi="Arial"/>
          <w:sz w:val="17"/>
          <w:szCs w:val="17"/>
          <w:color w:val="auto"/>
        </w:rPr>
        <w:t>five years following the completion of the Company’s initial business combination with respect to the Public Warrants, and (B) five years from the effective date of the Registration Statement with respect to the Private Warrants purchased by Holdings, provided that once the Private Warrants are not beneficially owned, directly or indirectly, by Chardan Capital Markets, LLC or any of its related persons anymore, the Private Warrants may not be exercised five years following the completion of the Company’s initial business combination, and (ii) the date fixed for redemption of the Warrants as provided in Section 6 of the Amended and Restated Warrant Agreement (“Expiration Date”). Except with respect to the right to receive the price of $.01 per Warrant (the “Redemption Price”), each Warrant not exercised on or before the Expiration Date shall become void, and all rights thereunder and all rights shall cease at the close of business on the Expiration Date. The Company may extend the duration of the Warrants by delaying the Expiration Date; provided, however, that the Company (i) may not extend the duration of the Private Warrants by delaying the Expiration Date and (ii) will provide written notice of not less than 10 days to registered holders of such extension and that such extension shall be identical in duration among all of the then outstanding Warrants.</w:t>
      </w:r>
    </w:p>
    <w:p>
      <w:pPr>
        <w:spacing w:after="0" w:line="184"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The Company is not required to issue any fraction of a share of common stock in connection with the exercise of Warrants, and in any case where the registered holder would be entitled under the terms of the Warrants to receive a fraction of a share of common stock upon the exercise of such registered holder’s Warrants, issue or cause to be issued only the largest whole number of shares of common stock issuable on such exercise (and such fraction of a share of common stock will be disregarded); provided, that if more than one Warrant certificate is presented for exercise at the same time by the same registered holder, the number of whole shares of common stock which shall be issuable upon the exercise thereof shall be computed on the basis of the aggregate number of shares of common stock issuable on exercise of all such Warrants.</w:t>
      </w:r>
    </w:p>
    <w:p>
      <w:pPr>
        <w:spacing w:after="0" w:line="16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180 days following the effective date of the Registration Statement to anyone other than any member participating in the Initial Public Offering and the officers or partners thereof, if all securities so transferred remain subject to the lock-up restriction for the remainder of the time period.</w:t>
      </w:r>
    </w:p>
    <w:p>
      <w:pPr>
        <w:spacing w:after="0" w:line="178"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All (and not less than all) of the outstanding Warrants may be redeemed, in whole and not in part, at the option of the Company, at any time from and after the Warrants become exercisable, and prior to their expiration, at the office of the warrant agent, at the Redemption Price; provided that the last sales price of the common stock has been equal to or greater than $16.00 per share (subject to adjustment for splits, dividends, recapitalizations and other similar events) (the “Redemption Trigger Price”), for any ten (10) trading days within a thirty (30) trading day period ending on the third business day prior to the date on which notice of redemption is given and provided further that there is a current registration statement in effect with respect to the shares of common stock underlying the Warrants for each day in the aforementioned 30-day trading period and continuing each day thereafter until the date of redemption. For avoidance of doubt, if and when the warrants become redeemable by the Company, the Company may exercise its redemption right, even if it is unable to register or qualify the shares of common stock for sale under all applicable state securities laws.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59"/>
        <w:spacing w:after="0" w:line="266" w:lineRule="auto"/>
        <w:rPr>
          <w:sz w:val="20"/>
          <w:szCs w:val="20"/>
          <w:color w:val="auto"/>
        </w:rPr>
      </w:pPr>
      <w:r>
        <w:rPr>
          <w:rFonts w:ascii="Arial" w:cs="Arial" w:eastAsia="Arial" w:hAnsi="Arial"/>
          <w:sz w:val="18"/>
          <w:szCs w:val="18"/>
          <w:b w:val="1"/>
          <w:bCs w:val="1"/>
          <w:color w:val="auto"/>
        </w:rPr>
        <w:t>CHARDAN NEXTECH ACQUISITION 2 CORP. NOTES TO UNAUDITED CONDENSED FINANCIAL STATEMENTS SEPTEMBER 30, 2021</w:t>
      </w:r>
    </w:p>
    <w:p>
      <w:pPr>
        <w:spacing w:after="0" w:line="153"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The Company accounts for the 4,627,858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liability will be adjusted to its current fair value, with the change in fair value recognized in the Company’s statement of operations. The Company will reassess the classification at each balance sheet date. If the classification changes as a result of events during the period, the warrants will be reclassified as of the date of the event that causes the reclassification.</w:t>
      </w:r>
    </w:p>
    <w:p>
      <w:pPr>
        <w:spacing w:after="0" w:line="16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Public Warrants are not precluded from equity classification. Equity-classified contracts are initially measured at fair value (or allocated value). Subsequent changes in fair value are not recognized as long as the contracts continue to be classified in equity.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STOCKHOLDERS’ EQUITY (DEFICIT)</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The Company is authorized to issue 1,000,000 shares of preferred stock, par value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such designations, voting and other rights and preferences as may be determined from time to time by the Company’s board of directors. As of September 30, 2021 and December 31, 2020, the Company had no issued or outstanding shares of preferred stock.</w:t>
      </w:r>
    </w:p>
    <w:p>
      <w:pPr>
        <w:spacing w:after="0" w:line="18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b w:val="1"/>
          <w:bCs w:val="1"/>
          <w:i w:val="1"/>
          <w:iCs w:val="1"/>
          <w:color w:val="auto"/>
        </w:rPr>
        <w:t>Common stock —</w:t>
      </w:r>
      <w:r>
        <w:rPr>
          <w:rFonts w:ascii="Arial" w:cs="Arial" w:eastAsia="Arial" w:hAnsi="Arial"/>
          <w:sz w:val="17"/>
          <w:szCs w:val="17"/>
          <w:color w:val="auto"/>
        </w:rPr>
        <w:t>The Company is authorized to issue 50,000,000 shares of common stock with a par value of $0.0001 per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 On September 30, 2021 and December 31, 2020, there were 15,812,500 shares of common stock issued and outstanding, including 12,650,000 shares of common stock subject to possible redemption. Of the 15,812,500 shares of common stock outstanding, up to 412,500 shares were subject to forfeiture to the Company by the initial stockholders for no consideration to the extent that the underwriters’ over-allotment option was not exercised in full or in part, so that the initial stockholders would collectively own 20% of the Company’s issued and outstanding common stock after the Initial Public Offering. On August 16, 2021, the underwriters’ exercised the over-allotment option in full (see Note 6), thus these shares are no longer subject to forfeiture.</w:t>
      </w:r>
    </w:p>
    <w:p>
      <w:pPr>
        <w:spacing w:after="0" w:line="17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Common stockholders of record are entitled to one vote for each share held on all matters to be voted on by stockholders. Unless specified in the Amended and Restated Certificate of Incorporation or bylaws, or as required by applicable law or stock exchange rules, the affirmative vote of a majority of the Company’s shares of common stock that are voted is required to approve any such matter voted on by the Company’s stockholders (other than the election of directors).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FAIR VALUE MEASUREMENTS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following table presents information about the Company’s financial liabilities that are measured at fair value on a recurring basis as of September 30, 2021 and December 31, 2020, and indicates the fair value hierarchy of the valuation inputs the Company utilized to determine such fair value:</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5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139"/>
              <w:spacing w:after="0"/>
              <w:rPr>
                <w:sz w:val="20"/>
                <w:szCs w:val="20"/>
                <w:color w:val="auto"/>
              </w:rPr>
            </w:pPr>
            <w:r>
              <w:rPr>
                <w:rFonts w:ascii="Arial" w:cs="Arial" w:eastAsia="Arial" w:hAnsi="Arial"/>
                <w:sz w:val="14"/>
                <w:szCs w:val="14"/>
                <w:b w:val="1"/>
                <w:bCs w:val="1"/>
                <w:color w:val="auto"/>
              </w:rPr>
              <w:t>Amount at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4"/>
                <w:szCs w:val="14"/>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5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Fair Value</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0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held in Trust Account: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20"/>
              <w:spacing w:after="0"/>
              <w:rPr>
                <w:sz w:val="20"/>
                <w:szCs w:val="20"/>
                <w:color w:val="auto"/>
              </w:rPr>
            </w:pPr>
            <w:r>
              <w:rPr>
                <w:rFonts w:ascii="Arial" w:cs="Arial" w:eastAsia="Arial" w:hAnsi="Arial"/>
                <w:sz w:val="18"/>
                <w:szCs w:val="18"/>
                <w:color w:val="auto"/>
              </w:rPr>
              <w:t>Money Market investments</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89"/>
              </w:rPr>
              <w:t>128,404,523</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89"/>
              </w:rPr>
              <w:t>128,404,523</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20"/>
              <w:spacing w:after="0"/>
              <w:rPr>
                <w:sz w:val="20"/>
                <w:szCs w:val="20"/>
                <w:color w:val="auto"/>
              </w:rPr>
            </w:pPr>
            <w:r>
              <w:rPr>
                <w:rFonts w:ascii="Arial" w:cs="Arial" w:eastAsia="Arial" w:hAnsi="Arial"/>
                <w:sz w:val="18"/>
                <w:szCs w:val="18"/>
                <w:color w:val="auto"/>
              </w:rPr>
              <w:t>Warrant liabilities – Private Warrants</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1,480,915</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1,480,915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did not have any assets or liabilities measured at fair value as of December 31, 2020.</w:t>
      </w:r>
    </w:p>
    <w:p>
      <w:pPr>
        <w:sectPr>
          <w:pgSz w:w="11900" w:h="16838" w:orient="portrait"/>
          <w:cols w:equalWidth="0" w:num="1">
            <w:col w:w="9019"/>
          </w:cols>
          <w:pgMar w:left="1440" w:top="6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00" w:right="1680"/>
        <w:spacing w:after="0" w:line="266" w:lineRule="auto"/>
        <w:rPr>
          <w:sz w:val="20"/>
          <w:szCs w:val="20"/>
          <w:color w:val="auto"/>
        </w:rPr>
      </w:pPr>
      <w:r>
        <w:rPr>
          <w:rFonts w:ascii="Arial" w:cs="Arial" w:eastAsia="Arial" w:hAnsi="Arial"/>
          <w:sz w:val="18"/>
          <w:szCs w:val="18"/>
          <w:b w:val="1"/>
          <w:bCs w:val="1"/>
          <w:color w:val="auto"/>
        </w:rPr>
        <w:t>CHARDAN NEXTECH ACQUISITION 2 CORP. NOTES TO UNAUDITED CONDENSED FINANCIAL STATEMENTS SEPTEMBER 30, 2021</w:t>
      </w:r>
    </w:p>
    <w:p>
      <w:pPr>
        <w:spacing w:after="0" w:line="153"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Company utilizes a Black-Scholes method to value the Private Warrants at each reporting period, with changes in fair value recognized in the statement of operations. The estimated fair value of the warrant liability is determined using Level 3 inputs. Inherent in a Black-Scholes model are assumptions related to expected share-price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Private Warrants is assumed to be equivalent to their remaining contractual term. The dividend rate is based on the historical rate, which the Company anticipates to remain at zero.</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table provides the significant inputs to the Black-Scholes method for the fair value of the Private Warrants:</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As of August 13,</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3"/>
              </w:rPr>
              <w:t>As of September</w:t>
            </w:r>
          </w:p>
        </w:tc>
        <w:tc>
          <w:tcPr>
            <w:tcW w:w="0" w:type="dxa"/>
            <w:vAlign w:val="bottom"/>
          </w:tcPr>
          <w:p>
            <w:pPr>
              <w:spacing w:after="0"/>
              <w:rPr>
                <w:sz w:val="1"/>
                <w:szCs w:val="1"/>
                <w:color w:val="auto"/>
              </w:rPr>
            </w:pPr>
          </w:p>
        </w:tc>
      </w:tr>
      <w:tr>
        <w:trPr>
          <w:trHeight w:val="186"/>
        </w:trPr>
        <w:tc>
          <w:tcPr>
            <w:tcW w:w="4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2021 (Initial</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Measurement)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354"/>
              <w:spacing w:after="0"/>
              <w:rPr>
                <w:sz w:val="20"/>
                <w:szCs w:val="20"/>
                <w:color w:val="auto"/>
              </w:rPr>
            </w:pPr>
            <w:r>
              <w:rPr>
                <w:rFonts w:ascii="Arial" w:cs="Arial" w:eastAsia="Arial" w:hAnsi="Arial"/>
                <w:sz w:val="14"/>
                <w:szCs w:val="14"/>
                <w:b w:val="1"/>
                <w:bCs w:val="1"/>
                <w:color w:val="auto"/>
              </w:rPr>
              <w:t>30, 2021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price</w:t>
            </w:r>
          </w:p>
        </w:tc>
        <w:tc>
          <w:tcPr>
            <w:tcW w:w="1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Exercise price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11.50</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Term to Business Combination (years)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19.0 %</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Risk-free rate</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0.81 %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0.95 %</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provides a summary of the changes in the fair value of the Company’s Level 3 financial instruments that are measured at fair value on a recurring basis: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Warrant Liabilities</w:t>
            </w:r>
          </w:p>
        </w:tc>
      </w:tr>
      <w:tr>
        <w:trPr>
          <w:trHeight w:val="21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at June 23, 2020 (inception)</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tcPr>
          <w:p>
            <w:pPr>
              <w:ind w:left="20"/>
              <w:spacing w:after="0"/>
              <w:rPr>
                <w:sz w:val="20"/>
                <w:szCs w:val="20"/>
                <w:color w:val="auto"/>
              </w:rPr>
            </w:pPr>
            <w:r>
              <w:rPr>
                <w:rFonts w:ascii="Arial" w:cs="Arial" w:eastAsia="Arial" w:hAnsi="Arial"/>
                <w:sz w:val="18"/>
                <w:szCs w:val="18"/>
                <w:color w:val="auto"/>
              </w:rPr>
              <w:t>Initial measurement at August 13, 2021</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5,233,747</w:t>
            </w: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measurement of additional warrants issued in over-allotment</w:t>
            </w:r>
          </w:p>
        </w:tc>
        <w:tc>
          <w:tcPr>
            <w:tcW w:w="2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319,682</w:t>
            </w:r>
          </w:p>
        </w:tc>
      </w:tr>
      <w:tr>
        <w:trPr>
          <w:trHeight w:val="209"/>
        </w:trPr>
        <w:tc>
          <w:tcPr>
            <w:tcW w:w="7100" w:type="dxa"/>
            <w:vAlign w:val="bottom"/>
          </w:tcPr>
          <w:p>
            <w:pPr>
              <w:ind w:left="20"/>
              <w:spacing w:after="0"/>
              <w:rPr>
                <w:sz w:val="20"/>
                <w:szCs w:val="20"/>
                <w:color w:val="auto"/>
              </w:rPr>
            </w:pPr>
            <w:r>
              <w:rPr>
                <w:rFonts w:ascii="Arial" w:cs="Arial" w:eastAsia="Arial" w:hAnsi="Arial"/>
                <w:sz w:val="18"/>
                <w:szCs w:val="18"/>
                <w:color w:val="auto"/>
              </w:rPr>
              <w:t>Fair value at August 13, 2021</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5,553,429</w:t>
            </w: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inputs or other assumptions</w:t>
            </w:r>
          </w:p>
        </w:tc>
        <w:tc>
          <w:tcPr>
            <w:tcW w:w="2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(4,072,514)</w:t>
            </w:r>
          </w:p>
        </w:tc>
      </w:tr>
      <w:tr>
        <w:trPr>
          <w:trHeight w:val="210"/>
        </w:trPr>
        <w:tc>
          <w:tcPr>
            <w:tcW w:w="7100" w:type="dxa"/>
            <w:vAlign w:val="bottom"/>
          </w:tcPr>
          <w:p>
            <w:pPr>
              <w:ind w:left="20"/>
              <w:spacing w:after="0"/>
              <w:rPr>
                <w:sz w:val="20"/>
                <w:szCs w:val="20"/>
                <w:color w:val="auto"/>
              </w:rPr>
            </w:pPr>
            <w:r>
              <w:rPr>
                <w:rFonts w:ascii="Arial" w:cs="Arial" w:eastAsia="Arial" w:hAnsi="Arial"/>
                <w:sz w:val="18"/>
                <w:szCs w:val="18"/>
                <w:color w:val="auto"/>
              </w:rPr>
              <w:t>Fair value at September 30, 2021</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1,480,915</w:t>
            </w:r>
          </w:p>
        </w:tc>
      </w:tr>
      <w:tr>
        <w:trPr>
          <w:trHeight w:val="20"/>
        </w:trPr>
        <w:tc>
          <w:tcPr>
            <w:tcW w:w="7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Transfers to/from Levels 1, 2, and 3 are recognized the beginning of the reporting period in which a change in valuation technique or methodology occurs. There were no transfers in or out of Level 3 from other levels in the fair value hierarchy for the period from June 23, 2020 (inception) through September 30, 2021.</w:t>
      </w:r>
    </w:p>
    <w:p>
      <w:pPr>
        <w:spacing w:after="0" w:line="184"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 Company recognized gains in connection with changes in the fair value of warrant liabilities of $4,072,514 within change in fair value of warrant liabilities in the condensed statements of operations during the three and nine months ended September 30, 2021.</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SUBSEQUENT EVENTS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condensed financial statements were issued. The Company did not identify any subsequent events that would have required adjustment or disclosure in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right="17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References in this report (the “Quarterly Report”) to “we,” “our”, “us” or the “Company” refer to Chardan NexTech Acquisition 2 Corp., a Delaware corporation. References to our “management” or our “management team” refer to our officers and directors, and references to the “Sponsor” refer to Chardan NexTech Investments 2 LLC, a Delaware limited liability company. The following discussion and analysis of the Company’s financial condition and results of operations should be read in conjunction with the unaudited condensed financial statements and the notes thereto contained elsewhere in this Quarterly Report. Certain information contained in the discussion and analysis set forth below includes forward-looking statements that involve risks and uncertainties.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This Quarterly Report includes “forward-looking statements” that are not historical facts and involve risks and uncertainties that could cause actual results to differ materially from those expected and projected. All statements, other than statements of historical fact included in this Quarterly Report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final prospectus for its Initial Public Offering (as defined below) filed with the U.S. Securities and Exchange Commission (the “SEC”).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We are a blank check company incorporated on June 23, 2020 in Delaware and formed for the purpose of effectuating a merger, capital stock exchange, asset acquisition, stock purchase, reorganization or similar business combination with one or more target businesses, which we refer to throughout this Quarterly Report as our “initial business combination”. We intend to effectuate our initial business combination using cash from the proceeds of our initial public offering (the “Initial Public Offering”) and the private placement of the Private Warrants (as defined below), the proceeds of the sale of our securities in connection with our initial business combination (pursuant to forward purchase agreements or backstop agreements we may enter into following the consummation of the Initial Public Offering or otherwise), shares issued to the owners of the target, debt issued to bank or other lenders or the owners of the target, or a combination of the foregoing.</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We have neither engaged in any operations nor generated any operating revenues to date. Our only activities for the nine months ended September 30, 2021 were organizational activities, activities necessary to prepare for the Initial Public Offering, described below, and, after the Initial Public Offering, activities related to identifying a target company for a business combination. We do not expect to generate any operating revenues until after the completion of our initial business combination. We will generate non-operating income in the form of interest income on cash and cash equivalents held after the Initial Public Offering. We incur expenses as a result of being a public company (for legal, financial reporting, accounting and auditing compliance), as well as for due diligence expenses.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For the three months ended September 30, 2021, we had net income of $2,690,543, which resulted from by the change in fair value of warrant liabilities of $4,072,514 and a net gain on marketable securities held in Trust Account in the amount of $7,023, which was partially offset by operating and formation costs of $92,234, franchise tax expense of $24,034, loss on sale of Private Warrants of $1,253,929, and warrant issuance costs of $18,797.</w:t>
      </w:r>
    </w:p>
    <w:p>
      <w:pPr>
        <w:spacing w:after="0" w:line="17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For the nine months ended September 30, 2021, we had net income of $2,689,709, which resulted from the change in fair value of warrant liabilities of $4,072,514, and an unrealized gain on marketable securities held in Trust Account in the amount of $7,023, which was partially offset by warrant issuance costs of $18,797 associated with the Initial Public Offering, operating and formation costs of $93,068, loss on sale of Private Warrants of $1,253,929, and franchise tax expense of $24,034.</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For the three months ended September 30, 2020 and the period from June 23, 2020 (inception) through September 30, 2020, we had a net loss of $1,000, which resulted entirely from formation and operating costs.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As of September 30, 2021 and December 31, 2020, the Company had $887,208 and $25,000 in cash held outside of the Trust Account, respectively, and a working capital surplus of $1,228,758 and $24,000, respectively.</w:t>
      </w:r>
    </w:p>
    <w:p>
      <w:pPr>
        <w:spacing w:after="0" w:line="14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Company’s liquidity needs prior to the consummation of the Initial Public Offering were satisfied through the proceeds of $25,000 from the sale of the Founder Shares, and a loan of up to $250,000 under an unsecured and non-interest bearing promissory note. Subsequent to the consummation of the Initial Public Offering, the Company’s liquidity will be satisfied through the net proceeds from the private placement held outside of the Trust Account.</w:t>
      </w:r>
    </w:p>
    <w:p>
      <w:pPr>
        <w:spacing w:after="0" w:line="17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addition, in order to finance transaction costs in connection with a Business Combination, our Sponsor or an affiliate of the Sponsor, or certain of our officers and directors may, but are not obligated to, loan us funds as may be required (“Working Capital Loans”). As of September 30, 2021, there were no amounts outstanding under any Working Capital Loan.</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For the nine months ended September 30, 2021, net cash used in operating activities was $459,653, which was due to the change in fair value of warrants of $4,072,514, changes in operating assets and liabilities of $342,550, and net gain on investments in the Trust Account of $7,023, partially offset by our net income of $2,689,709, loss on sale of Private Warrants of $1,253,929, and expensed offering costs of $18,797.</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For the nine months ended September 30, 2021, net cash used in investing activities was $128,397,500, which was due to the amount of net proceeds from the Initial Public Offering being deposited to the Trust Account.</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For the nine months ended September 30, 2021, net cash provided by financing activities was $129,719,361, which was comprised of $126,000,000 in proceeds from the issuance of units in the Initial Public Offering net of underwriter’s discount paid, $4,299,500 in proceeds from the issuance of warrants in a private placement to Holdings, and proceeds from issuance of a promissory note of $155,000 to our Sponsor, offset in part by payment of $580,139 for offering costs associated with the Initial Public Offering and repayment of the outstanding balance on the promissory note to our Sponsor of $155,000.</w:t>
      </w:r>
    </w:p>
    <w:p>
      <w:pPr>
        <w:spacing w:after="0" w:line="19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For the period from June 18, 2020 (inception) through September 30, 2020, there was proceeds of $25,000 from the sale of Founder Shares to the Sponsor.</w:t>
      </w:r>
    </w:p>
    <w:p>
      <w:pPr>
        <w:spacing w:after="0" w:line="170"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On August 13, 2021, we consummated the Initial Public Offering of 11,000,000 units (the “Units”), at $10.00 per Unit, generating gross proceeds of $110,000,000. Each Unit consisted of one share of common stock, par value $0.0001 per share, of the Company (the “Public Shares”) and three-quarters of one redeemable warrant (“Public Warrant”). Each Public Warrant entitles the holder to purchase one share of common stock at an exercise price of $11.50 per whole share.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Simultaneously with the closing of the Initial Public Offering, Chardan NexTech 2 Warrant Holdings LLC, a Delaware limited liability company and an affiliate of the Sponsor (“Holdings”), purchased an aggregate of 4,361,456 private placement warrants at a price of $0.93 per warrant (the “Private Warrants”) ($4,052,000 in the aggregate). Each Private Warrant entitles the holder to purchase one share of common stock at an exercise price of $11.50 per share.</w:t>
      </w:r>
    </w:p>
    <w:p>
      <w:pPr>
        <w:spacing w:after="0" w:line="171"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On August 18, 2021, the underwriters fully exercised the over-allotment option and, purchased an additional 1,650,000 Units (the “Over-Allotment Units”) at a purchase price of $10.00 per Over-Allotment Unit, generating gross proceeds of $16,500,000.</w:t>
      </w:r>
    </w:p>
    <w:p>
      <w:pPr>
        <w:spacing w:after="0" w:line="184"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Simultaneously with the closing of the exercise of the over-allotment option, we consummated the sale of 266,402 warrants (the “Over-Allotment Private Warrants”) at a purchase price of $0.93 per Over-Allotment Private Warrant in a private placement to Holdings, generating gross proceeds of $247,500.</w:t>
      </w:r>
    </w:p>
    <w:p>
      <w:pPr>
        <w:spacing w:after="0" w:line="18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 portion of the proceeds from the Private Warrants was added to the proceeds from the Initial Public Offering to be held in the trust account (the “Trust Account”). If we do not complete our initial business combination within 12 months (or up to 18 months if our time to complete a business combination is extended), the proceeds of the sale of the Private Warrants will be used to fund the redemption of the Public Shares (subject to the requirements of applicable law) and the Private Warrants and all underlying securities will be worthless. There will be no redemption rights or liquidating distributions from the Trust Account with respect to the Private Warrants.</w:t>
      </w:r>
    </w:p>
    <w:p>
      <w:pPr>
        <w:spacing w:after="0" w:line="178"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intend to use substantially all of the net proceeds of this offering, including the funds held in the Trust Account, to acquire a target business or businesses and to pay our expenses relating thereto. To the extent that our share capital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19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do not believe we will need to raise additional funds following our Initial Public Offering in order to meet the expenditures required for operating our business.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Shares upon completion of our initial business combination, in which case we may issue additional securities or incur debt in connection with such business combination.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did not have any off-balance sheet arrangements as of September 30,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60" w:right="259"/>
        <w:spacing w:after="0" w:line="311" w:lineRule="auto"/>
        <w:rPr>
          <w:sz w:val="20"/>
          <w:szCs w:val="20"/>
          <w:color w:val="auto"/>
        </w:rPr>
      </w:pPr>
      <w:r>
        <w:rPr>
          <w:rFonts w:ascii="Arial" w:cs="Arial" w:eastAsia="Arial" w:hAnsi="Arial"/>
          <w:sz w:val="16"/>
          <w:szCs w:val="16"/>
          <w:color w:val="auto"/>
        </w:rPr>
        <w:t>As of September 30, 2021, we did not have any long-term debt, capital or operating lease obligations. We entered into an administrative services agreement pursuant to which we will pay our Sponsor for office space and secretarial and administrative services provided to members of our management team, in an amount not to exceed $10,000 per month.</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left="60" w:right="79"/>
        <w:spacing w:after="0" w:line="257" w:lineRule="auto"/>
        <w:rPr>
          <w:sz w:val="20"/>
          <w:szCs w:val="20"/>
          <w:color w:val="auto"/>
        </w:rPr>
      </w:pPr>
      <w:r>
        <w:rPr>
          <w:rFonts w:ascii="Arial" w:cs="Arial" w:eastAsia="Arial" w:hAnsi="Arial"/>
          <w:sz w:val="18"/>
          <w:szCs w:val="18"/>
          <w:color w:val="auto"/>
        </w:rPr>
        <w:t>The preparation of condensed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r>
        <w:rPr>
          <w:rFonts w:ascii="Arial" w:cs="Arial" w:eastAsia="Arial" w:hAnsi="Arial"/>
          <w:sz w:val="18"/>
          <w:szCs w:val="18"/>
          <w:i w:val="1"/>
          <w:iCs w:val="1"/>
          <w:color w:val="auto"/>
        </w:rPr>
        <w: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Warrant Liabilities</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 xml:space="preserve">The Company accounts for warrants as either equity-classified or liability-classified instruments based on an assessment of the warrant’s specific terms and applicable authoritative guidance in ASC 480 and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6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will be recognized as a non-cash gain or loss on the statements of operations.</w:t>
      </w:r>
    </w:p>
    <w:p>
      <w:pPr>
        <w:spacing w:after="0" w:line="18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 xml:space="preserve">The Company will account for the Private Warrants issued concurrently in connection with the Initial Public Offering in accordance with ASC 815-40, under which the Private Warrants will not meet the criteria for equity classification and must be recorded as liabilities. As the Private Warrants meet the definition of a derivative as contemplated in ASC 815, the Private Warrants will be measured at fair value at inception and at each reporting date in accordance with ASC 820, </w:t>
      </w:r>
      <w:r>
        <w:rPr>
          <w:rFonts w:ascii="Arial" w:cs="Arial" w:eastAsia="Arial" w:hAnsi="Arial"/>
          <w:sz w:val="18"/>
          <w:szCs w:val="18"/>
          <w:i w:val="1"/>
          <w:iCs w:val="1"/>
          <w:color w:val="auto"/>
        </w:rPr>
        <w:t>Fair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Value Measurement </w:t>
      </w:r>
      <w:r>
        <w:rPr>
          <w:rFonts w:ascii="Arial" w:cs="Arial" w:eastAsia="Arial" w:hAnsi="Arial"/>
          <w:sz w:val="18"/>
          <w:szCs w:val="18"/>
          <w:color w:val="auto"/>
        </w:rPr>
        <w:t>(“ASC 820”), with changes in fair value recognized in the statements of operations in the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change.</w:t>
      </w:r>
    </w:p>
    <w:p>
      <w:pPr>
        <w:spacing w:after="0" w:line="19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Public Warrants are not precluded from equity classification, and are accounted for as such on the date of issuance, and each balance sheet date thereafter.</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Common stock subject to possible redemption</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All of the 12,650,000 shares common stock sold as part of the Units in the Initial Public Offering contain a redemption feature which allows for the redemption of such Public Shares in connection with the Company’s liquidation, if there is a stockholder vote or tender offer in connection with the Business Combination and in connection with certain amendments to the Company’s second amended and restated certificate of incorporation. In accordance with SEC and its staff’s guidance on redeemable equity instruments, which has been codified in ASC 480-10-S99, redemption provisions not solely within the control of the Company require common stock subject to redemption to be classified outside of permanent equity. Therefore, all Public Shares have been classified outside of permanent equity.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paid-in capital and accumulated deficit.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Income (Loss) Per Common Share</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Net income (loss) per common share is computed by dividing net earnings by the weighted average number of shares of common stock outstanding during the period. The Company has not considered the effect of the Warrants sold in the Initial Public Offering and private placement to purchase an aggregate of 10,586,519 shares in the calculation of diluted income per share, since the exercise of the Warrants are contingent upon the occurrence of future events and the inclusion of such Warrants would be anti-dilutive.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 Accounting Standards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 xml:space="preserve">In August 2020, the Financial Accounting Standards Board (“FASB”) issued Accounting Standards Update (“ASU”) 2020-06, </w:t>
      </w:r>
      <w:r>
        <w:rPr>
          <w:rFonts w:ascii="Arial" w:cs="Arial" w:eastAsia="Arial" w:hAnsi="Arial"/>
          <w:sz w:val="17"/>
          <w:szCs w:val="17"/>
          <w:i w:val="1"/>
          <w:iCs w:val="1"/>
          <w:color w:val="auto"/>
        </w:rPr>
        <w:t>Debt — Debt with Conversion and Other Options (Subtopic 470-20) and Derivatives and Hedging — Contracts 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Entity’s Own Equity (Subtopic 815-40) </w:t>
      </w:r>
      <w:r>
        <w:rPr>
          <w:rFonts w:ascii="Arial" w:cs="Arial" w:eastAsia="Arial" w:hAnsi="Arial"/>
          <w:sz w:val="17"/>
          <w:szCs w:val="17"/>
          <w:color w:val="auto"/>
        </w:rPr>
        <w:t>(“ASU 2020-06”) to simplify accounting for certain financial instruments. ASU</w:t>
      </w:r>
      <w:r>
        <w:rPr>
          <w:rFonts w:ascii="Arial" w:cs="Arial" w:eastAsia="Arial" w:hAnsi="Arial"/>
          <w:sz w:val="17"/>
          <w:szCs w:val="17"/>
          <w:i w:val="1"/>
          <w:iCs w:val="1"/>
          <w:color w:val="auto"/>
        </w:rPr>
        <w:t xml:space="preserve"> </w:t>
      </w:r>
      <w:r>
        <w:rPr>
          <w:rFonts w:ascii="Arial" w:cs="Arial" w:eastAsia="Arial" w:hAnsi="Arial"/>
          <w:sz w:val="17"/>
          <w:szCs w:val="17"/>
          <w:color w:val="auto"/>
        </w:rPr>
        <w:t>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 January 1, 2021. The Company is currently assessing the impact, if any, that ASU 2020-06 would have on its financial position, results of operations or cash flows.</w:t>
      </w:r>
    </w:p>
    <w:p>
      <w:pPr>
        <w:spacing w:after="0" w:line="18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our condensed financial statements.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September 30, 2021, we were not subject to any market or interest rate risk.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As required by Rules 13a-15 and 15d-15 under the Exchange Act, our Chief Executive Officer and Chief Financial Officer carried out an evaluation of the effectiveness of the design and operation of our disclosure controls and procedures. Based upon their evaluation, our Chief Executive Officer and Chief Financial Officer concluded that our disclosure controls and procedures were not effective as of September 30, 2021, due to the revision related to the classification of redeemable Class A common stock, which constitutes a material weakness in our internal control over financial reporting.</w:t>
      </w:r>
    </w:p>
    <w:p>
      <w:pPr>
        <w:spacing w:after="0" w:line="161"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Regarding the revision, certain redemption provisions not solely within the control of the Company require common stock subject to redemption to be classified outside of permanent equity. The Company had previously classified a portion of the Class A common stock in permanent equity. The Company revised its financial statements to classify all Class A common stock as temporary equity and any related impact, as the threshold in its charter would not change the nature of the underlying shares as redeemable and thus would be required to be disclosed outside of permanent equity. In light of this material weakness, we performed additional analysis as deemed necessary to ensure that our unaudited interim financial statements were prepared in accordance with U.S. generally accepted accounting principles. Accordingly, management believes that the financial statements included in this Quarterly Report on Form 10-Q present fairly in all material respects our financial position, results of operations and cash flows for the period presented.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Other than the implementation of the remediation activities regarding the revision during the most recently completed fiscal quarter, there has been no change in our internal control over financial reporting (as defined in Rules 13a-15(f) and 15d-15(f) under the Exchange Act) that has materially affected, or is reasonably likely to materially affect, our internal control over financial reporting. Management has enhanced our processes to identify and appropriately apply applicable accounting requirements to better evaluate and understand the nuances of the complex accounting standards that apply to our financial statements. Our updated processes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Factors that could cause our actual results to differ materially from those in this Quarterly Report are any of the risks described in our final prospectus for our Initial Public Offering filed with the SEC on August 12, 2021. Any of these factors could result in a significant or material adverse effect on our results of operations or financial condition. Additional risk factors not presently known to us or that we currently deem immaterial may also impair our business or results of operations. As of the date of this Quarterly Report, there have been no material changes to the risk factors disclosed in our final prospectus for our Initial Public Offering filed with the SEC on August 12, 2021.</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exhibits are filed as part of, or incorporated by reference into, this Quarterly Report on Form 10-Q.</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7840" w:type="dxa"/>
            <w:vAlign w:val="bottom"/>
            <w:gridSpan w:val="8"/>
          </w:tcPr>
          <w:p>
            <w:pPr>
              <w:spacing w:after="0"/>
              <w:rPr>
                <w:sz w:val="20"/>
                <w:szCs w:val="20"/>
                <w:color w:val="auto"/>
              </w:rPr>
            </w:pPr>
            <w:r>
              <w:rPr>
                <w:rFonts w:ascii="Arial" w:cs="Arial" w:eastAsia="Arial" w:hAnsi="Arial"/>
                <w:sz w:val="14"/>
                <w:szCs w:val="14"/>
                <w:b w:val="1"/>
                <w:bCs w:val="1"/>
                <w:color w:val="auto"/>
              </w:rPr>
              <w:t>Description</w:t>
            </w:r>
          </w:p>
        </w:tc>
      </w:tr>
      <w:tr>
        <w:trPr>
          <w:trHeight w:val="169"/>
        </w:trPr>
        <w:tc>
          <w:tcPr>
            <w:tcW w:w="88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31.1*</w:t>
            </w:r>
          </w:p>
        </w:tc>
        <w:tc>
          <w:tcPr>
            <w:tcW w:w="180" w:type="dxa"/>
            <w:vAlign w:val="bottom"/>
          </w:tcPr>
          <w:p>
            <w:pPr>
              <w:spacing w:after="0"/>
              <w:rPr>
                <w:sz w:val="14"/>
                <w:szCs w:val="14"/>
                <w:color w:val="auto"/>
              </w:rPr>
            </w:pPr>
          </w:p>
        </w:tc>
        <w:tc>
          <w:tcPr>
            <w:tcW w:w="7840" w:type="dxa"/>
            <w:vAlign w:val="bottom"/>
            <w:tcBorders>
              <w:top w:val="single" w:sz="8" w:color="auto"/>
            </w:tcBorders>
            <w:gridSpan w:val="8"/>
          </w:tcPr>
          <w:p>
            <w:pPr>
              <w:spacing w:after="0" w:line="169" w:lineRule="exact"/>
              <w:rPr>
                <w:rFonts w:ascii="Arial" w:cs="Arial" w:eastAsia="Arial" w:hAnsi="Arial"/>
                <w:sz w:val="18"/>
                <w:szCs w:val="18"/>
                <w:color w:val="0000EE"/>
                <w:w w:val="98"/>
              </w:rPr>
            </w:pPr>
            <w:hyperlink w:anchor="page31">
              <w:r>
                <w:rPr>
                  <w:rFonts w:ascii="Arial" w:cs="Arial" w:eastAsia="Arial" w:hAnsi="Arial"/>
                  <w:sz w:val="18"/>
                  <w:szCs w:val="18"/>
                  <w:color w:val="0000EE"/>
                  <w:w w:val="98"/>
                </w:rPr>
                <w:t>Certification of Principal Executive Officer Pursuant to Securities Exchange Act Rules 13a-14(a) and</w:t>
              </w:r>
            </w:hyperlink>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15(d)-14(a), as adopted Pursuant to Section 302 of the Sarbanes-Oxley Act of 2002</w:t>
              </w:r>
            </w:hyperlink>
          </w:p>
        </w:tc>
        <w:tc>
          <w:tcPr>
            <w:tcW w:w="540" w:type="dxa"/>
            <w:vAlign w:val="bottom"/>
            <w:gridSpan w:val="3"/>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880" w:type="dxa"/>
            <w:vAlign w:val="bottom"/>
          </w:tcPr>
          <w:p>
            <w:pPr>
              <w:ind w:left="20"/>
              <w:spacing w:after="0" w:line="196" w:lineRule="exact"/>
              <w:rPr>
                <w:sz w:val="20"/>
                <w:szCs w:val="20"/>
                <w:color w:val="auto"/>
              </w:rPr>
            </w:pPr>
            <w:r>
              <w:rPr>
                <w:rFonts w:ascii="Arial" w:cs="Arial" w:eastAsia="Arial" w:hAnsi="Arial"/>
                <w:sz w:val="18"/>
                <w:szCs w:val="18"/>
                <w:color w:val="auto"/>
              </w:rPr>
              <w:t>31.2*</w:t>
            </w:r>
          </w:p>
        </w:tc>
        <w:tc>
          <w:tcPr>
            <w:tcW w:w="180" w:type="dxa"/>
            <w:vAlign w:val="bottom"/>
          </w:tcPr>
          <w:p>
            <w:pPr>
              <w:spacing w:after="0"/>
              <w:rPr>
                <w:sz w:val="17"/>
                <w:szCs w:val="17"/>
                <w:color w:val="auto"/>
              </w:rPr>
            </w:pPr>
          </w:p>
        </w:tc>
        <w:tc>
          <w:tcPr>
            <w:tcW w:w="72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Certification of Principal Financial Officer Pursuant to Securities Exchange Act Rules 13a-14(a) and</w:t>
              </w:r>
            </w:hyperlink>
          </w:p>
        </w:tc>
        <w:tc>
          <w:tcPr>
            <w:tcW w:w="580" w:type="dxa"/>
            <w:vAlign w:val="bottom"/>
            <w:gridSpan w:val="4"/>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8"/>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15(d)-14(a), as adopted Pursuant to Section 302 of the Sarbanes-Oxley Act of 2002</w:t>
              </w:r>
            </w:hyperlink>
          </w:p>
        </w:tc>
      </w:tr>
      <w:tr>
        <w:trPr>
          <w:trHeight w:val="20"/>
        </w:trPr>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880" w:type="dxa"/>
            <w:vAlign w:val="bottom"/>
          </w:tcPr>
          <w:p>
            <w:pPr>
              <w:ind w:left="20"/>
              <w:spacing w:after="0" w:line="196" w:lineRule="exact"/>
              <w:rPr>
                <w:sz w:val="20"/>
                <w:szCs w:val="20"/>
                <w:color w:val="auto"/>
              </w:rPr>
            </w:pPr>
            <w:r>
              <w:rPr>
                <w:rFonts w:ascii="Arial" w:cs="Arial" w:eastAsia="Arial" w:hAnsi="Arial"/>
                <w:sz w:val="18"/>
                <w:szCs w:val="18"/>
                <w:color w:val="auto"/>
              </w:rPr>
              <w:t>32.1**</w:t>
            </w:r>
          </w:p>
        </w:tc>
        <w:tc>
          <w:tcPr>
            <w:tcW w:w="180" w:type="dxa"/>
            <w:vAlign w:val="bottom"/>
          </w:tcPr>
          <w:p>
            <w:pPr>
              <w:spacing w:after="0"/>
              <w:rPr>
                <w:sz w:val="17"/>
                <w:szCs w:val="17"/>
                <w:color w:val="auto"/>
              </w:rPr>
            </w:pPr>
          </w:p>
        </w:tc>
        <w:tc>
          <w:tcPr>
            <w:tcW w:w="7840" w:type="dxa"/>
            <w:vAlign w:val="bottom"/>
            <w:gridSpan w:val="8"/>
          </w:tcPr>
          <w:p>
            <w:pPr>
              <w:spacing w:after="0" w:line="196" w:lineRule="exact"/>
              <w:rPr>
                <w:rFonts w:ascii="Arial" w:cs="Arial" w:eastAsia="Arial" w:hAnsi="Arial"/>
                <w:sz w:val="18"/>
                <w:szCs w:val="18"/>
                <w:color w:val="0000EE"/>
                <w:w w:val="95"/>
              </w:rPr>
            </w:pPr>
            <w:hyperlink w:anchor="page33">
              <w:r>
                <w:rPr>
                  <w:rFonts w:ascii="Arial" w:cs="Arial" w:eastAsia="Arial" w:hAnsi="Arial"/>
                  <w:sz w:val="18"/>
                  <w:szCs w:val="18"/>
                  <w:color w:val="0000EE"/>
                  <w:w w:val="95"/>
                </w:rPr>
                <w:t>Certification of Principal Executive Officer Pursuant to 18 U.S.C. Section 1350, as adopted Pursuant to</w:t>
              </w:r>
            </w:hyperlink>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Section 906 of the Sarbanes-Oxley Act of 2002</w:t>
              </w:r>
            </w:hyperlink>
          </w:p>
        </w:tc>
        <w:tc>
          <w:tcPr>
            <w:tcW w:w="4000" w:type="dxa"/>
            <w:vAlign w:val="bottom"/>
            <w:tcBorders>
              <w:top w:val="single" w:sz="8" w:color="0000EE"/>
            </w:tcBorders>
            <w:gridSpan w:val="5"/>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880" w:type="dxa"/>
            <w:vAlign w:val="bottom"/>
          </w:tcPr>
          <w:p>
            <w:pPr>
              <w:ind w:left="20"/>
              <w:spacing w:after="0" w:line="196" w:lineRule="exact"/>
              <w:rPr>
                <w:sz w:val="20"/>
                <w:szCs w:val="20"/>
                <w:color w:val="auto"/>
              </w:rPr>
            </w:pPr>
            <w:r>
              <w:rPr>
                <w:rFonts w:ascii="Arial" w:cs="Arial" w:eastAsia="Arial" w:hAnsi="Arial"/>
                <w:sz w:val="18"/>
                <w:szCs w:val="18"/>
                <w:color w:val="auto"/>
              </w:rPr>
              <w:t>32.2**</w:t>
            </w:r>
          </w:p>
        </w:tc>
        <w:tc>
          <w:tcPr>
            <w:tcW w:w="180" w:type="dxa"/>
            <w:vAlign w:val="bottom"/>
          </w:tcPr>
          <w:p>
            <w:pPr>
              <w:spacing w:after="0"/>
              <w:rPr>
                <w:sz w:val="17"/>
                <w:szCs w:val="17"/>
                <w:color w:val="auto"/>
              </w:rPr>
            </w:pPr>
          </w:p>
        </w:tc>
        <w:tc>
          <w:tcPr>
            <w:tcW w:w="74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Certification of Principal Financial Officer Pursuant to 18 U.S.C. Section 1350, as adopted Pursuant to</w:t>
              </w:r>
            </w:hyperlink>
          </w:p>
        </w:tc>
        <w:tc>
          <w:tcPr>
            <w:tcW w:w="440" w:type="dxa"/>
            <w:vAlign w:val="bottom"/>
            <w:gridSpan w:val="2"/>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Section 906 of the Sarbanes-Oxley Act of 2002</w:t>
              </w:r>
            </w:hyperlink>
          </w:p>
        </w:tc>
        <w:tc>
          <w:tcPr>
            <w:tcW w:w="4420" w:type="dxa"/>
            <w:vAlign w:val="bottom"/>
            <w:gridSpan w:val="7"/>
          </w:tcPr>
          <w:p>
            <w:pPr>
              <w:spacing w:after="0"/>
              <w:rPr>
                <w:sz w:val="17"/>
                <w:szCs w:val="17"/>
                <w:color w:val="auto"/>
              </w:rPr>
            </w:pPr>
          </w:p>
        </w:tc>
      </w:tr>
      <w:tr>
        <w:trPr>
          <w:trHeight w:val="222"/>
        </w:trPr>
        <w:tc>
          <w:tcPr>
            <w:tcW w:w="10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784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0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784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0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784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0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784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0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7840" w:type="dxa"/>
            <w:vAlign w:val="bottom"/>
            <w:gridSpan w:val="8"/>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16"/>
        </w:trPr>
        <w:tc>
          <w:tcPr>
            <w:tcW w:w="10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784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0"/>
                <w:szCs w:val="20"/>
                <w:color w:val="auto"/>
              </w:rPr>
            </w:pPr>
          </w:p>
        </w:tc>
        <w:tc>
          <w:tcPr>
            <w:tcW w:w="7840" w:type="dxa"/>
            <w:vAlign w:val="bottom"/>
            <w:gridSpan w:val="8"/>
          </w:tcPr>
          <w:p>
            <w:pPr>
              <w:spacing w:after="0"/>
              <w:rPr>
                <w:sz w:val="20"/>
                <w:szCs w:val="20"/>
                <w:color w:val="auto"/>
              </w:rPr>
            </w:pPr>
            <w:r>
              <w:rPr>
                <w:rFonts w:ascii="Arial" w:cs="Arial" w:eastAsia="Arial" w:hAnsi="Arial"/>
                <w:sz w:val="18"/>
                <w:szCs w:val="18"/>
                <w:color w:val="auto"/>
              </w:rPr>
              <w:t>Cover Page Interactive Data File (formatted in Inline XBRL and included as Exhibit 101)</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**Furnished.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5800" w:type="dxa"/>
            <w:vAlign w:val="bottom"/>
            <w:gridSpan w:val="2"/>
          </w:tcPr>
          <w:p>
            <w:pPr>
              <w:ind w:left="1300"/>
              <w:spacing w:after="0"/>
              <w:rPr>
                <w:sz w:val="20"/>
                <w:szCs w:val="20"/>
                <w:color w:val="auto"/>
              </w:rPr>
            </w:pPr>
            <w:r>
              <w:rPr>
                <w:rFonts w:ascii="Arial" w:cs="Arial" w:eastAsia="Arial" w:hAnsi="Arial"/>
                <w:sz w:val="18"/>
                <w:szCs w:val="18"/>
                <w:b w:val="1"/>
                <w:bCs w:val="1"/>
                <w:color w:val="auto"/>
              </w:rPr>
              <w:t>Chardan NexTech Acquisition 2 Corp</w:t>
            </w:r>
          </w:p>
        </w:tc>
      </w:tr>
      <w:tr>
        <w:trPr>
          <w:trHeight w:val="432"/>
        </w:trPr>
        <w:tc>
          <w:tcPr>
            <w:tcW w:w="3180" w:type="dxa"/>
            <w:vAlign w:val="bottom"/>
          </w:tcPr>
          <w:p>
            <w:pPr>
              <w:spacing w:after="0"/>
              <w:rPr>
                <w:sz w:val="20"/>
                <w:szCs w:val="20"/>
                <w:color w:val="auto"/>
              </w:rPr>
            </w:pPr>
            <w:r>
              <w:rPr>
                <w:rFonts w:ascii="Arial" w:cs="Arial" w:eastAsia="Arial" w:hAnsi="Arial"/>
                <w:sz w:val="18"/>
                <w:szCs w:val="18"/>
                <w:color w:val="auto"/>
              </w:rPr>
              <w:t>Date: November 15, 2021</w:t>
            </w:r>
          </w:p>
        </w:tc>
        <w:tc>
          <w:tcPr>
            <w:tcW w:w="5800" w:type="dxa"/>
            <w:vAlign w:val="bottom"/>
            <w:gridSpan w:val="2"/>
          </w:tcPr>
          <w:p>
            <w:pPr>
              <w:ind w:left="1300"/>
              <w:spacing w:after="0"/>
              <w:rPr>
                <w:sz w:val="20"/>
                <w:szCs w:val="20"/>
                <w:color w:val="auto"/>
              </w:rPr>
            </w:pPr>
            <w:r>
              <w:rPr>
                <w:rFonts w:ascii="Arial" w:cs="Arial" w:eastAsia="Arial" w:hAnsi="Arial"/>
                <w:sz w:val="18"/>
                <w:szCs w:val="18"/>
                <w:color w:val="auto"/>
              </w:rPr>
              <w:t>By:/s/ Jonas Grossman</w:t>
            </w:r>
          </w:p>
        </w:tc>
      </w:tr>
      <w:tr>
        <w:trPr>
          <w:trHeight w:val="195"/>
        </w:trPr>
        <w:tc>
          <w:tcPr>
            <w:tcW w:w="3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Jonas Grossman</w:t>
            </w:r>
          </w:p>
        </w:tc>
      </w:tr>
      <w:tr>
        <w:trPr>
          <w:trHeight w:val="216"/>
        </w:trPr>
        <w:tc>
          <w:tcPr>
            <w:tcW w:w="3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3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Secretary, Treasurer and Director</w:t>
            </w:r>
          </w:p>
        </w:tc>
      </w:tr>
      <w:tr>
        <w:trPr>
          <w:trHeight w:val="230"/>
        </w:trPr>
        <w:tc>
          <w:tcPr>
            <w:tcW w:w="3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5800" w:type="dxa"/>
            <w:vAlign w:val="bottom"/>
            <w:gridSpan w:val="2"/>
          </w:tcPr>
          <w:p>
            <w:pPr>
              <w:ind w:left="1300"/>
              <w:spacing w:after="0"/>
              <w:rPr>
                <w:sz w:val="20"/>
                <w:szCs w:val="20"/>
                <w:color w:val="auto"/>
              </w:rPr>
            </w:pPr>
            <w:r>
              <w:rPr>
                <w:rFonts w:ascii="Arial" w:cs="Arial" w:eastAsia="Arial" w:hAnsi="Arial"/>
                <w:sz w:val="18"/>
                <w:szCs w:val="18"/>
                <w:b w:val="1"/>
                <w:bCs w:val="1"/>
                <w:color w:val="auto"/>
              </w:rPr>
              <w:t>Chardan NexTech Acquisition 2 Corp</w:t>
            </w:r>
          </w:p>
        </w:tc>
      </w:tr>
      <w:tr>
        <w:trPr>
          <w:trHeight w:val="432"/>
        </w:trPr>
        <w:tc>
          <w:tcPr>
            <w:tcW w:w="3180" w:type="dxa"/>
            <w:vAlign w:val="bottom"/>
          </w:tcPr>
          <w:p>
            <w:pPr>
              <w:spacing w:after="0"/>
              <w:rPr>
                <w:sz w:val="20"/>
                <w:szCs w:val="20"/>
                <w:color w:val="auto"/>
              </w:rPr>
            </w:pPr>
            <w:r>
              <w:rPr>
                <w:rFonts w:ascii="Arial" w:cs="Arial" w:eastAsia="Arial" w:hAnsi="Arial"/>
                <w:sz w:val="18"/>
                <w:szCs w:val="18"/>
                <w:color w:val="auto"/>
              </w:rPr>
              <w:t>Date: November 15, 2021</w:t>
            </w:r>
          </w:p>
        </w:tc>
        <w:tc>
          <w:tcPr>
            <w:tcW w:w="5800" w:type="dxa"/>
            <w:vAlign w:val="bottom"/>
            <w:gridSpan w:val="2"/>
          </w:tcPr>
          <w:p>
            <w:pPr>
              <w:ind w:left="1300"/>
              <w:spacing w:after="0"/>
              <w:rPr>
                <w:sz w:val="20"/>
                <w:szCs w:val="20"/>
                <w:color w:val="auto"/>
              </w:rPr>
            </w:pPr>
            <w:r>
              <w:rPr>
                <w:rFonts w:ascii="Arial" w:cs="Arial" w:eastAsia="Arial" w:hAnsi="Arial"/>
                <w:sz w:val="18"/>
                <w:szCs w:val="18"/>
                <w:color w:val="auto"/>
              </w:rPr>
              <w:t>By:/s/ Alex Weil</w:t>
            </w:r>
          </w:p>
        </w:tc>
      </w:tr>
      <w:tr>
        <w:trPr>
          <w:trHeight w:val="195"/>
        </w:trPr>
        <w:tc>
          <w:tcPr>
            <w:tcW w:w="3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Alex Weil</w:t>
            </w:r>
          </w:p>
        </w:tc>
      </w:tr>
      <w:tr>
        <w:trPr>
          <w:trHeight w:val="216"/>
        </w:trPr>
        <w:tc>
          <w:tcPr>
            <w:tcW w:w="3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40" w:top="611" w:right="141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Jonas Grossman, certify that:</w:t>
      </w:r>
    </w:p>
    <w:p>
      <w:pPr>
        <w:spacing w:after="0" w:line="225"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Chardan NexTech Acquisition 2 Corp;</w:t>
      </w:r>
    </w:p>
    <w:p>
      <w:pPr>
        <w:spacing w:after="0" w:line="225" w:lineRule="exact"/>
        <w:rPr>
          <w:rFonts w:ascii="Arial" w:cs="Arial" w:eastAsia="Arial" w:hAnsi="Arial"/>
          <w:sz w:val="18"/>
          <w:szCs w:val="18"/>
          <w:color w:val="auto"/>
        </w:rPr>
      </w:pPr>
    </w:p>
    <w:p>
      <w:pPr>
        <w:jc w:val="both"/>
        <w:ind w:firstLine="8"/>
        <w:spacing w:after="0" w:line="263" w:lineRule="auto"/>
        <w:tabs>
          <w:tab w:leader="none" w:pos="186"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8"/>
        <w:spacing w:after="0" w:line="342" w:lineRule="auto"/>
        <w:tabs>
          <w:tab w:leader="none" w:pos="185"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firstLine="8"/>
        <w:spacing w:after="0" w:line="277" w:lineRule="auto"/>
        <w:tabs>
          <w:tab w:leader="none" w:pos="18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4"/>
        <w:spacing w:after="0" w:line="263" w:lineRule="auto"/>
        <w:tabs>
          <w:tab w:leader="none" w:pos="8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ind w:left="860" w:hanging="204"/>
        <w:spacing w:after="0"/>
        <w:tabs>
          <w:tab w:leader="none" w:pos="8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jc w:val="both"/>
        <w:ind w:left="660" w:hanging="4"/>
        <w:spacing w:after="0" w:line="263" w:lineRule="auto"/>
        <w:tabs>
          <w:tab w:leader="none" w:pos="850" w:val="left"/>
        </w:tabs>
        <w:numPr>
          <w:ilvl w:val="1"/>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660" w:hanging="4"/>
        <w:spacing w:after="0" w:line="286" w:lineRule="auto"/>
        <w:tabs>
          <w:tab w:leader="none" w:pos="886" w:val="left"/>
        </w:tabs>
        <w:numPr>
          <w:ilvl w:val="1"/>
          <w:numId w:val="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jc w:val="both"/>
        <w:ind w:firstLine="8"/>
        <w:spacing w:after="0" w:line="263" w:lineRule="auto"/>
        <w:tabs>
          <w:tab w:leader="none" w:pos="18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865"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20" w:hanging="4"/>
        <w:spacing w:after="0" w:line="277" w:lineRule="auto"/>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Date: November 15, 2021</w:t>
            </w:r>
          </w:p>
        </w:tc>
        <w:tc>
          <w:tcPr>
            <w:tcW w:w="6520" w:type="dxa"/>
            <w:vAlign w:val="bottom"/>
            <w:gridSpan w:val="2"/>
          </w:tcPr>
          <w:p>
            <w:pPr>
              <w:ind w:left="1520"/>
              <w:spacing w:after="0"/>
              <w:rPr>
                <w:sz w:val="20"/>
                <w:szCs w:val="20"/>
                <w:color w:val="auto"/>
              </w:rPr>
            </w:pPr>
            <w:r>
              <w:rPr>
                <w:rFonts w:ascii="Arial" w:cs="Arial" w:eastAsia="Arial" w:hAnsi="Arial"/>
                <w:sz w:val="18"/>
                <w:szCs w:val="18"/>
                <w:color w:val="auto"/>
              </w:rPr>
              <w:t>By:  /s/ Jonas Grossman</w:t>
            </w:r>
          </w:p>
        </w:tc>
      </w:tr>
      <w:tr>
        <w:trPr>
          <w:trHeight w:val="195"/>
        </w:trPr>
        <w:tc>
          <w:tcPr>
            <w:tcW w:w="34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64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Jonas Grossman</w:t>
            </w:r>
          </w:p>
        </w:tc>
      </w:tr>
      <w:tr>
        <w:trPr>
          <w:trHeight w:val="216"/>
        </w:trPr>
        <w:tc>
          <w:tcPr>
            <w:tcW w:w="3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640" w:type="dxa"/>
            <w:vAlign w:val="bottom"/>
          </w:tcPr>
          <w:p>
            <w:pPr>
              <w:ind w:left="40"/>
              <w:spacing w:after="0"/>
              <w:rPr>
                <w:sz w:val="20"/>
                <w:szCs w:val="20"/>
                <w:color w:val="auto"/>
              </w:rPr>
            </w:pPr>
            <w:r>
              <w:rPr>
                <w:rFonts w:ascii="Arial" w:cs="Arial" w:eastAsia="Arial" w:hAnsi="Arial"/>
                <w:sz w:val="18"/>
                <w:szCs w:val="18"/>
                <w:i w:val="1"/>
                <w:iCs w:val="1"/>
                <w:color w:val="auto"/>
              </w:rPr>
              <w:t>Chief Executive Officer, President,</w:t>
            </w:r>
          </w:p>
        </w:tc>
      </w:tr>
      <w:tr>
        <w:trPr>
          <w:trHeight w:val="216"/>
        </w:trPr>
        <w:tc>
          <w:tcPr>
            <w:tcW w:w="3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640" w:type="dxa"/>
            <w:vAlign w:val="bottom"/>
          </w:tcPr>
          <w:p>
            <w:pPr>
              <w:ind w:left="40"/>
              <w:spacing w:after="0"/>
              <w:rPr>
                <w:sz w:val="20"/>
                <w:szCs w:val="20"/>
                <w:color w:val="auto"/>
              </w:rPr>
            </w:pPr>
            <w:r>
              <w:rPr>
                <w:rFonts w:ascii="Arial" w:cs="Arial" w:eastAsia="Arial" w:hAnsi="Arial"/>
                <w:sz w:val="18"/>
                <w:szCs w:val="18"/>
                <w:i w:val="1"/>
                <w:iCs w:val="1"/>
                <w:color w:val="auto"/>
              </w:rPr>
              <w:t>Secretary,Treasurer and Director</w:t>
            </w:r>
          </w:p>
        </w:tc>
      </w:tr>
      <w:tr>
        <w:trPr>
          <w:trHeight w:val="230"/>
        </w:trPr>
        <w:tc>
          <w:tcPr>
            <w:tcW w:w="34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64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r>
      <w:tr>
        <w:trPr>
          <w:trHeight w:val="776"/>
        </w:trPr>
        <w:tc>
          <w:tcPr>
            <w:tcW w:w="34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Alex Weil, certify that:</w:t>
      </w:r>
    </w:p>
    <w:p>
      <w:pPr>
        <w:spacing w:after="0" w:line="225"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Chardan NexTech Acquisition 2 Corp;</w:t>
      </w:r>
    </w:p>
    <w:p>
      <w:pPr>
        <w:spacing w:after="0" w:line="225" w:lineRule="exact"/>
        <w:rPr>
          <w:rFonts w:ascii="Arial" w:cs="Arial" w:eastAsia="Arial" w:hAnsi="Arial"/>
          <w:sz w:val="18"/>
          <w:szCs w:val="18"/>
          <w:color w:val="auto"/>
        </w:rPr>
      </w:pPr>
    </w:p>
    <w:p>
      <w:pPr>
        <w:jc w:val="both"/>
        <w:ind w:firstLine="8"/>
        <w:spacing w:after="0" w:line="263" w:lineRule="auto"/>
        <w:tabs>
          <w:tab w:leader="none" w:pos="186"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8"/>
        <w:spacing w:after="0" w:line="342" w:lineRule="auto"/>
        <w:tabs>
          <w:tab w:leader="none" w:pos="185"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firstLine="8"/>
        <w:spacing w:after="0" w:line="277" w:lineRule="auto"/>
        <w:tabs>
          <w:tab w:leader="none" w:pos="18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4"/>
        <w:spacing w:after="0" w:line="263" w:lineRule="auto"/>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ind w:left="860" w:hanging="204"/>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jc w:val="both"/>
        <w:ind w:left="660" w:hanging="4"/>
        <w:spacing w:after="0" w:line="263" w:lineRule="auto"/>
        <w:tabs>
          <w:tab w:leader="none" w:pos="850"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660" w:hanging="4"/>
        <w:spacing w:after="0" w:line="286" w:lineRule="auto"/>
        <w:tabs>
          <w:tab w:leader="none" w:pos="886" w:val="left"/>
        </w:tabs>
        <w:numPr>
          <w:ilvl w:val="1"/>
          <w:numId w:val="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jc w:val="both"/>
        <w:ind w:firstLine="8"/>
        <w:spacing w:after="0" w:line="263" w:lineRule="auto"/>
        <w:tabs>
          <w:tab w:leader="none" w:pos="18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865"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20" w:hanging="4"/>
        <w:spacing w:after="0" w:line="277" w:lineRule="auto"/>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Date: November 15, 2021</w:t>
            </w:r>
          </w:p>
        </w:tc>
        <w:tc>
          <w:tcPr>
            <w:tcW w:w="6460" w:type="dxa"/>
            <w:vAlign w:val="bottom"/>
            <w:gridSpan w:val="2"/>
          </w:tcPr>
          <w:p>
            <w:pPr>
              <w:ind w:left="1580"/>
              <w:spacing w:after="0"/>
              <w:rPr>
                <w:sz w:val="20"/>
                <w:szCs w:val="20"/>
                <w:color w:val="auto"/>
              </w:rPr>
            </w:pPr>
            <w:r>
              <w:rPr>
                <w:rFonts w:ascii="Arial" w:cs="Arial" w:eastAsia="Arial" w:hAnsi="Arial"/>
                <w:sz w:val="18"/>
                <w:szCs w:val="18"/>
                <w:color w:val="auto"/>
              </w:rPr>
              <w:t>By:/s/ Alex Weil</w:t>
            </w:r>
          </w:p>
        </w:tc>
      </w:tr>
      <w:tr>
        <w:trPr>
          <w:trHeight w:val="195"/>
        </w:trPr>
        <w:tc>
          <w:tcPr>
            <w:tcW w:w="34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Alex Weil</w:t>
            </w:r>
          </w:p>
        </w:tc>
      </w:tr>
      <w:tr>
        <w:trPr>
          <w:trHeight w:val="216"/>
        </w:trPr>
        <w:tc>
          <w:tcPr>
            <w:tcW w:w="34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34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776"/>
        </w:trPr>
        <w:tc>
          <w:tcPr>
            <w:tcW w:w="34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Chardan NexTech Acquisition 2 Corp (the “Company“) on Form 10-Q for the quarterly period ended September 30, 2021, as filed with the Securities and Exchange Commission (the “Report”), I, Jonas Grossman, Chief Executive Officer of the Company, certify, pursuant to 18 U.S.C. §1350, as added by §906 of the Sarbanes-Oxley Act of 2002, that:</w:t>
      </w:r>
    </w:p>
    <w:p>
      <w:pPr>
        <w:spacing w:after="0" w:line="165" w:lineRule="exact"/>
        <w:rPr>
          <w:sz w:val="20"/>
          <w:szCs w:val="20"/>
          <w:color w:val="auto"/>
        </w:rPr>
      </w:pPr>
    </w:p>
    <w:p>
      <w:pPr>
        <w:ind w:left="840" w:hanging="184"/>
        <w:spacing w:after="0"/>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660" w:hanging="4"/>
        <w:spacing w:after="0" w:line="277" w:lineRule="auto"/>
        <w:tabs>
          <w:tab w:leader="none" w:pos="843"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November 15, 2021</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5715</wp:posOffset>
            </wp:positionV>
            <wp:extent cx="29400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8"/>
          <w:szCs w:val="18"/>
          <w:color w:val="auto"/>
        </w:rPr>
        <w:t>Jonas Grossman</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i w:val="1"/>
          <w:iCs w:val="1"/>
          <w:color w:val="auto"/>
        </w:rPr>
        <w:t>Chief Executive Officer, President, Secretary,</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i w:val="1"/>
          <w:iCs w:val="1"/>
          <w:color w:val="auto"/>
        </w:rPr>
        <w:t>Treasurer and Director</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Chardan NexTech Acquisition 2 Corp (the “Company”) on Form 10-Q for the quarterly period ended September 30, 2021, as filed with the Securities and Exchange Commission (the “Report”), I, Alex Weil, Chief Financial Officer of the Company, certify, pursuant to 18 U.S.C. §1350, as added by §906 of the Sarbanes-Oxley Act of 2002, that:</w:t>
      </w:r>
    </w:p>
    <w:p>
      <w:pPr>
        <w:spacing w:after="0" w:line="165" w:lineRule="exact"/>
        <w:rPr>
          <w:sz w:val="20"/>
          <w:szCs w:val="20"/>
          <w:color w:val="auto"/>
        </w:rPr>
      </w:pPr>
    </w:p>
    <w:p>
      <w:pPr>
        <w:ind w:left="840" w:hanging="184"/>
        <w:spacing w:after="0"/>
        <w:tabs>
          <w:tab w:leader="none" w:pos="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660" w:hanging="4"/>
        <w:spacing w:after="0" w:line="277" w:lineRule="auto"/>
        <w:tabs>
          <w:tab w:leader="none" w:pos="843"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November 15, 2021</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By:/s/ Alex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5715</wp:posOffset>
            </wp:positionV>
            <wp:extent cx="29229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ind w:left="5320"/>
        <w:spacing w:after="0"/>
        <w:rPr>
          <w:sz w:val="20"/>
          <w:szCs w:val="20"/>
          <w:color w:val="auto"/>
        </w:rPr>
      </w:pPr>
      <w:r>
        <w:rPr>
          <w:rFonts w:ascii="Arial" w:cs="Arial" w:eastAsia="Arial" w:hAnsi="Arial"/>
          <w:sz w:val="18"/>
          <w:szCs w:val="18"/>
          <w:color w:val="auto"/>
        </w:rPr>
        <w:t>Alex Weil</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
      <w:numFmt w:val="bullet"/>
      <w:start w:val="1"/>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upperLetter"/>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2021-11-15T16:54:33Z</dcterms:created>
  <dcterms:modified xsi:type="dcterms:W3CDTF">2021-11-15T16:54:33Z</dcterms:modified>
</cp:coreProperties>
</file>