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12,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DRAGONFLY ENERGY HOLDINGS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68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276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9"/>
              </w:rPr>
              <w:t>001-40730</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85-1873463</w:t>
            </w:r>
          </w:p>
        </w:tc>
      </w:tr>
      <w:tr>
        <w:trPr>
          <w:trHeight w:val="194"/>
        </w:trPr>
        <w:tc>
          <w:tcPr>
            <w:tcW w:w="36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22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760" w:type="dxa"/>
            <w:vAlign w:val="bottom"/>
            <w:tcBorders>
              <w:top w:val="single" w:sz="8" w:color="auto"/>
            </w:tcBorders>
            <w:gridSpan w:val="3"/>
          </w:tcPr>
          <w:p>
            <w:pPr>
              <w:jc w:val="center"/>
              <w:ind w:right="840"/>
              <w:spacing w:after="0" w:line="194" w:lineRule="exact"/>
              <w:rPr>
                <w:sz w:val="20"/>
                <w:szCs w:val="20"/>
                <w:color w:val="auto"/>
              </w:rPr>
            </w:pPr>
            <w:r>
              <w:rPr>
                <w:rFonts w:ascii="Times New Roman" w:cs="Times New Roman" w:eastAsia="Times New Roman" w:hAnsi="Times New Roman"/>
                <w:sz w:val="18"/>
                <w:szCs w:val="18"/>
                <w:b w:val="1"/>
                <w:bCs w:val="1"/>
                <w:color w:val="auto"/>
                <w:w w:val="98"/>
              </w:rPr>
              <w:t>(Commission</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68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2960" w:type="dxa"/>
            <w:vAlign w:val="bottom"/>
            <w:gridSpan w:val="4"/>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468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1190 Trademark Drive, #108</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680" w:type="dxa"/>
            <w:vAlign w:val="bottom"/>
            <w:tcBorders>
              <w:bottom w:val="single" w:sz="8" w:color="auto"/>
            </w:tcBorders>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rPr>
              <w:t>Reno, Nevada</w:t>
            </w:r>
          </w:p>
        </w:tc>
        <w:tc>
          <w:tcPr>
            <w:tcW w:w="8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89521</w:t>
            </w:r>
          </w:p>
        </w:tc>
      </w:tr>
      <w:tr>
        <w:trPr>
          <w:trHeight w:val="238"/>
        </w:trPr>
        <w:tc>
          <w:tcPr>
            <w:tcW w:w="468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(775) 622 – 3448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19685</wp:posOffset>
            </wp:positionV>
            <wp:extent cx="3566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52"/>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87"/>
        </w:trPr>
        <w:tc>
          <w:tcPr>
            <w:tcW w:w="428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Common Stock, par value $0.0001</w:t>
            </w:r>
          </w:p>
        </w:tc>
        <w:tc>
          <w:tcPr>
            <w:tcW w:w="240" w:type="dxa"/>
            <w:vAlign w:val="bottom"/>
          </w:tcPr>
          <w:p>
            <w:pPr>
              <w:spacing w:after="0"/>
              <w:rPr>
                <w:sz w:val="16"/>
                <w:szCs w:val="16"/>
                <w:color w:val="auto"/>
              </w:rPr>
            </w:pPr>
          </w:p>
        </w:tc>
        <w:tc>
          <w:tcPr>
            <w:tcW w:w="18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DFLI</w:t>
            </w:r>
          </w:p>
        </w:tc>
        <w:tc>
          <w:tcPr>
            <w:tcW w:w="200" w:type="dxa"/>
            <w:vAlign w:val="bottom"/>
          </w:tcPr>
          <w:p>
            <w:pPr>
              <w:spacing w:after="0"/>
              <w:rPr>
                <w:sz w:val="16"/>
                <w:szCs w:val="16"/>
                <w:color w:val="auto"/>
              </w:rPr>
            </w:pPr>
          </w:p>
        </w:tc>
        <w:tc>
          <w:tcPr>
            <w:tcW w:w="47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 Nasdaq Capital Market</w:t>
            </w:r>
          </w:p>
        </w:tc>
      </w:tr>
      <w:tr>
        <w:trPr>
          <w:trHeight w:val="216"/>
        </w:trPr>
        <w:tc>
          <w:tcPr>
            <w:tcW w:w="4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Redeemable warrants, exercisable for common stock at</w:t>
            </w:r>
          </w:p>
        </w:tc>
        <w:tc>
          <w:tcPr>
            <w:tcW w:w="2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DFLIW</w:t>
            </w: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Capital Market</w:t>
            </w:r>
          </w:p>
        </w:tc>
      </w:tr>
      <w:tr>
        <w:trPr>
          <w:trHeight w:val="216"/>
        </w:trPr>
        <w:tc>
          <w:tcPr>
            <w:tcW w:w="4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an exercise price of $11.50 per share, subject to</w:t>
            </w: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720" w:type="dxa"/>
            <w:vAlign w:val="bottom"/>
          </w:tcPr>
          <w:p>
            <w:pPr>
              <w:spacing w:after="0"/>
              <w:rPr>
                <w:sz w:val="18"/>
                <w:szCs w:val="18"/>
                <w:color w:val="auto"/>
              </w:rPr>
            </w:pPr>
          </w:p>
        </w:tc>
      </w:t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adjustment</w:t>
            </w:r>
          </w:p>
        </w:tc>
        <w:tc>
          <w:tcPr>
            <w:tcW w:w="1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72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November 12, 2024, Dragonfly Energy Holdings Corp.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held its Annual Meeting of Stockholders (the “</w:t>
      </w:r>
      <w:r>
        <w:rPr>
          <w:rFonts w:ascii="Times New Roman" w:cs="Times New Roman" w:eastAsia="Times New Roman" w:hAnsi="Times New Roman"/>
          <w:sz w:val="18"/>
          <w:szCs w:val="18"/>
          <w:b w:val="1"/>
          <w:bCs w:val="1"/>
          <w:color w:val="auto"/>
        </w:rPr>
        <w:t>Annual Meeting</w:t>
      </w:r>
      <w:r>
        <w:rPr>
          <w:rFonts w:ascii="Times New Roman" w:cs="Times New Roman" w:eastAsia="Times New Roman" w:hAnsi="Times New Roman"/>
          <w:sz w:val="18"/>
          <w:szCs w:val="18"/>
          <w:color w:val="auto"/>
        </w:rPr>
        <w:t>”). The matters voted on at the Annual Meeting were: (i) the election of two Class B directors to hold office until the 2027 annual meeting of stockholders; (ii) the adoption of a proposal to authorize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in its discretion at any time within one year after stockholder approval is obtained, to effect a reverse stock split of only the then-outstanding shares of common stock (with no change to the authorized capital stock of the Company), at a ratio of not less than one-for-five (1:5) and not greater than one-for-twenty (1:20), with the exact ratio to be determined by the Board and included in a public announcement (the “</w:t>
      </w:r>
      <w:r>
        <w:rPr>
          <w:rFonts w:ascii="Times New Roman" w:cs="Times New Roman" w:eastAsia="Times New Roman" w:hAnsi="Times New Roman"/>
          <w:sz w:val="18"/>
          <w:szCs w:val="18"/>
          <w:b w:val="1"/>
          <w:bCs w:val="1"/>
          <w:color w:val="auto"/>
        </w:rPr>
        <w:t>Reverse Stock Split Proposal</w:t>
      </w:r>
      <w:r>
        <w:rPr>
          <w:rFonts w:ascii="Times New Roman" w:cs="Times New Roman" w:eastAsia="Times New Roman" w:hAnsi="Times New Roman"/>
          <w:sz w:val="18"/>
          <w:szCs w:val="18"/>
          <w:color w:val="auto"/>
        </w:rPr>
        <w:t>”); (iii) the adjournment of the Annual Meeting in the event that the number of shares of the Company’s common stock present or represented by proxy at the Annual Meeting and voting “FOR” the approval of the Reverse Stock Split Proposal were insufficient to approve such proposal (the “</w:t>
      </w:r>
      <w:r>
        <w:rPr>
          <w:rFonts w:ascii="Times New Roman" w:cs="Times New Roman" w:eastAsia="Times New Roman" w:hAnsi="Times New Roman"/>
          <w:sz w:val="18"/>
          <w:szCs w:val="18"/>
          <w:b w:val="1"/>
          <w:bCs w:val="1"/>
          <w:color w:val="auto"/>
        </w:rPr>
        <w:t>Adjournment Proposal</w:t>
      </w:r>
      <w:r>
        <w:rPr>
          <w:rFonts w:ascii="Times New Roman" w:cs="Times New Roman" w:eastAsia="Times New Roman" w:hAnsi="Times New Roman"/>
          <w:sz w:val="18"/>
          <w:szCs w:val="18"/>
          <w:color w:val="auto"/>
        </w:rPr>
        <w:t>”); and (iv) the ratification of Marcum LLP as the Company’s independent registered public accounting firm for the fiscal year ending December 31, 2024.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voting results for each item of business voted upon at the Annual Meeting were as follows:</w:t>
      </w:r>
    </w:p>
    <w:p>
      <w:pPr>
        <w:spacing w:after="0" w:line="225" w:lineRule="exact"/>
        <w:rPr>
          <w:sz w:val="20"/>
          <w:szCs w:val="20"/>
          <w:color w:val="auto"/>
        </w:rPr>
      </w:pPr>
    </w:p>
    <w:p>
      <w:pPr>
        <w:jc w:val="both"/>
        <w:ind w:left="340" w:hanging="332"/>
        <w:spacing w:after="0" w:line="266"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votes cast with respect to the proposal to elect the following Class B directors, Brian Nelson and Jonathan Bellows, as directors of the Company to hold office until the 2027 annual meeting and until his or her successor has been duly elected and qualified, or, if sooner, until the director’s death, resignation or removal, were as follows:</w:t>
      </w:r>
    </w:p>
    <w:p>
      <w:pPr>
        <w:spacing w:after="0" w:line="172"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w:t>
            </w:r>
          </w:p>
        </w:tc>
      </w:tr>
      <w:tr>
        <w:trPr>
          <w:trHeight w:val="238"/>
        </w:trPr>
        <w:tc>
          <w:tcPr>
            <w:tcW w:w="2180" w:type="dxa"/>
            <w:vAlign w:val="bottom"/>
          </w:tcPr>
          <w:p>
            <w:pPr>
              <w:spacing w:after="0"/>
              <w:rPr>
                <w:sz w:val="20"/>
                <w:szCs w:val="20"/>
                <w:color w:val="auto"/>
              </w:rPr>
            </w:pPr>
          </w:p>
        </w:tc>
        <w:tc>
          <w:tcPr>
            <w:tcW w:w="2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3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WITHHELD</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NON-VOTES</w:t>
            </w:r>
          </w:p>
        </w:tc>
      </w:tr>
      <w:tr>
        <w:trPr>
          <w:trHeight w:val="209"/>
        </w:trPr>
        <w:tc>
          <w:tcPr>
            <w:tcW w:w="2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Nelson</w:t>
            </w:r>
          </w:p>
        </w:tc>
        <w:tc>
          <w:tcPr>
            <w:tcW w:w="2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25,142,813</w:t>
            </w:r>
          </w:p>
        </w:tc>
        <w:tc>
          <w:tcPr>
            <w:tcW w:w="18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1,571,560</w:t>
            </w:r>
          </w:p>
        </w:tc>
        <w:tc>
          <w:tcPr>
            <w:tcW w:w="18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9,305,545</w:t>
            </w:r>
          </w:p>
        </w:tc>
      </w:tr>
      <w:tr>
        <w:trPr>
          <w:trHeight w:val="234"/>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Jonathan Bellows</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25,140,976</w:t>
            </w:r>
          </w:p>
        </w:tc>
        <w:tc>
          <w:tcPr>
            <w:tcW w:w="180" w:type="dxa"/>
            <w:vAlign w:val="bottom"/>
          </w:tcPr>
          <w:p>
            <w:pPr>
              <w:spacing w:after="0"/>
              <w:rPr>
                <w:sz w:val="20"/>
                <w:szCs w:val="20"/>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1,573,397</w:t>
            </w:r>
          </w:p>
        </w:tc>
        <w:tc>
          <w:tcPr>
            <w:tcW w:w="180" w:type="dxa"/>
            <w:vAlign w:val="bottom"/>
          </w:tcPr>
          <w:p>
            <w:pPr>
              <w:spacing w:after="0"/>
              <w:rPr>
                <w:sz w:val="20"/>
                <w:szCs w:val="20"/>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9,305,545</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the stockholders elected each nominee to serve as a Class B director of the Company.</w:t>
      </w:r>
    </w:p>
    <w:p>
      <w:pPr>
        <w:spacing w:after="0" w:line="225"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votes cast with respect to the Reverse Stock Split Proposal were as follows:</w:t>
      </w:r>
    </w:p>
    <w:p>
      <w:pPr>
        <w:spacing w:after="0" w:line="221"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w:t>
            </w:r>
          </w:p>
        </w:tc>
      </w:tr>
      <w:tr>
        <w:trPr>
          <w:trHeight w:val="238"/>
        </w:trPr>
        <w:tc>
          <w:tcPr>
            <w:tcW w:w="21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23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ABSTAIN</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NON-VOTES</w:t>
            </w:r>
          </w:p>
        </w:tc>
      </w:tr>
      <w:tr>
        <w:trPr>
          <w:trHeight w:val="209"/>
        </w:trPr>
        <w:tc>
          <w:tcPr>
            <w:tcW w:w="1980" w:type="dxa"/>
            <w:vAlign w:val="bottom"/>
            <w:tcBorders>
              <w:top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28,233,543</w:t>
            </w:r>
          </w:p>
        </w:tc>
        <w:tc>
          <w:tcPr>
            <w:tcW w:w="20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7,510,695</w:t>
            </w:r>
          </w:p>
        </w:tc>
        <w:tc>
          <w:tcPr>
            <w:tcW w:w="18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275,679</w:t>
            </w:r>
          </w:p>
        </w:tc>
        <w:tc>
          <w:tcPr>
            <w:tcW w:w="18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the stockholders approved the Reverse Stock Split Proposal.</w:t>
      </w:r>
    </w:p>
    <w:p>
      <w:pPr>
        <w:spacing w:after="0" w:line="225"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votes cast with respect to the Adjournment Proposal were as follows:</w:t>
      </w:r>
    </w:p>
    <w:p>
      <w:pPr>
        <w:spacing w:after="0" w:line="221"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w:t>
            </w:r>
          </w:p>
        </w:tc>
      </w:tr>
      <w:tr>
        <w:trPr>
          <w:trHeight w:val="238"/>
        </w:trPr>
        <w:tc>
          <w:tcPr>
            <w:tcW w:w="21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23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ABSTAIN</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NON-VOTES</w:t>
            </w:r>
          </w:p>
        </w:tc>
      </w:tr>
      <w:tr>
        <w:trPr>
          <w:trHeight w:val="210"/>
        </w:trPr>
        <w:tc>
          <w:tcPr>
            <w:tcW w:w="1980" w:type="dxa"/>
            <w:vAlign w:val="bottom"/>
            <w:tcBorders>
              <w:top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33,236,967</w:t>
            </w:r>
          </w:p>
        </w:tc>
        <w:tc>
          <w:tcPr>
            <w:tcW w:w="20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2,622,554</w:t>
            </w:r>
          </w:p>
        </w:tc>
        <w:tc>
          <w:tcPr>
            <w:tcW w:w="18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160,397</w:t>
            </w:r>
          </w:p>
        </w:tc>
        <w:tc>
          <w:tcPr>
            <w:tcW w:w="18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r>
    </w:tbl>
    <w:p>
      <w:pPr>
        <w:spacing w:after="0" w:line="19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a result, the stockholders approved the Adjournment Proposal. The Adjournment Proposal was deemed not necessary and not acted upon at the Special Meeting as a result of the approval of the Reverse Stock Split Proposal.</w:t>
      </w:r>
    </w:p>
    <w:p>
      <w:pPr>
        <w:spacing w:after="0" w:line="162" w:lineRule="exact"/>
        <w:rPr>
          <w:sz w:val="20"/>
          <w:szCs w:val="20"/>
          <w:color w:val="auto"/>
        </w:rPr>
      </w:pPr>
    </w:p>
    <w:p>
      <w:pPr>
        <w:ind w:left="34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votes cast with respect to the proposal to ratify Marcum LLP as the independent registered public accounting firm for the fiscal year ending December 31, 2024 were as follows:</w:t>
      </w:r>
    </w:p>
    <w:p>
      <w:pPr>
        <w:spacing w:after="0" w:line="158"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w:t>
            </w:r>
          </w:p>
        </w:tc>
      </w:tr>
      <w:tr>
        <w:trPr>
          <w:trHeight w:val="238"/>
        </w:trPr>
        <w:tc>
          <w:tcPr>
            <w:tcW w:w="21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23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ABSTAIN</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NON-VOTES</w:t>
            </w:r>
          </w:p>
        </w:tc>
      </w:tr>
      <w:tr>
        <w:trPr>
          <w:trHeight w:val="210"/>
        </w:trPr>
        <w:tc>
          <w:tcPr>
            <w:tcW w:w="1980" w:type="dxa"/>
            <w:vAlign w:val="bottom"/>
            <w:tcBorders>
              <w:top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34,102,414</w:t>
            </w:r>
          </w:p>
        </w:tc>
        <w:tc>
          <w:tcPr>
            <w:tcW w:w="20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1,068,988</w:t>
            </w:r>
          </w:p>
        </w:tc>
        <w:tc>
          <w:tcPr>
            <w:tcW w:w="18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848,516</w:t>
            </w:r>
          </w:p>
        </w:tc>
        <w:tc>
          <w:tcPr>
            <w:tcW w:w="18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a result, the stockholders ratified the appointment of Marcum LLP to serve as the Company’s independent registered public accounting firm for the fiscal year ending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7420" w:type="dxa"/>
            <w:vAlign w:val="bottom"/>
            <w:gridSpan w:val="2"/>
          </w:tcPr>
          <w:p>
            <w:pPr>
              <w:ind w:left="182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tc>
      </w:tr>
      <w:tr>
        <w:trPr>
          <w:trHeight w:val="432"/>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12, 2024</w:t>
            </w:r>
          </w:p>
        </w:tc>
        <w:tc>
          <w:tcPr>
            <w:tcW w:w="23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Denis Phares</w:t>
            </w:r>
          </w:p>
        </w:tc>
      </w:tr>
      <w:tr>
        <w:trPr>
          <w:trHeight w:val="191"/>
        </w:trPr>
        <w:tc>
          <w:tcPr>
            <w:tcW w:w="3820" w:type="dxa"/>
            <w:vAlign w:val="bottom"/>
          </w:tcPr>
          <w:p>
            <w:pPr>
              <w:spacing w:after="0"/>
              <w:rPr>
                <w:sz w:val="16"/>
                <w:szCs w:val="16"/>
                <w:color w:val="auto"/>
              </w:rPr>
            </w:pPr>
          </w:p>
        </w:tc>
        <w:tc>
          <w:tcPr>
            <w:tcW w:w="2380" w:type="dxa"/>
            <w:vAlign w:val="bottom"/>
          </w:tcPr>
          <w:p>
            <w:pPr>
              <w:ind w:left="18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Denis Phares</w:t>
            </w:r>
          </w:p>
        </w:tc>
      </w:tr>
      <w:tr>
        <w:trPr>
          <w:trHeight w:val="234"/>
        </w:trPr>
        <w:tc>
          <w:tcPr>
            <w:tcW w:w="3820" w:type="dxa"/>
            <w:vAlign w:val="bottom"/>
          </w:tcPr>
          <w:p>
            <w:pPr>
              <w:spacing w:after="0"/>
              <w:rPr>
                <w:sz w:val="20"/>
                <w:szCs w:val="20"/>
                <w:color w:val="auto"/>
              </w:rPr>
            </w:pPr>
          </w:p>
        </w:tc>
        <w:tc>
          <w:tcPr>
            <w:tcW w:w="23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Interim Chief Financial Officer</w:t>
            </w:r>
          </w:p>
        </w:tc>
      </w:tr>
      <w:tr>
        <w:trPr>
          <w:trHeight w:val="432"/>
        </w:trPr>
        <w:tc>
          <w:tcPr>
            <w:tcW w:w="38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2"/>
    </w:lvl>
  </w:abstractNum>
  <w:abstractNum w:abstractNumId="3">
    <w:nsid w:val="238E1F29"/>
    <w:multiLevelType w:val="hybridMultilevel"/>
    <w:lvl w:ilvl="0">
      <w:lvlJc w:val="left"/>
      <w:lvlText w:val="%1."/>
      <w:numFmt w:val="decimal"/>
      <w:start w:val="3"/>
    </w:lvl>
  </w:abstractNum>
  <w:abstractNum w:abstractNumId="4">
    <w:nsid w:val="46E87CCD"/>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2024-11-12T15:35:24Z</dcterms:created>
  <dcterms:modified xsi:type="dcterms:W3CDTF">2024-11-12T15:35:24Z</dcterms:modified>
</cp:coreProperties>
</file>