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ind w:left="0" w:right="0" w:hanging="0"/>
        <w:rPr>
          <w:bdr w:val="single" w:sz="32" w:space="1" w:color="000000"/>
        </w:rPr>
      </w:pPr>
      <w:r>
        <w:rPr>
          <w:bdr w:val="single" w:sz="32"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30417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April 17,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3"/>
      <w:bookmarkEnd w:id="4"/>
      <w:r>
        <w:rPr>
          <w:rFonts w:ascii="Times New Roman;Times;Serif" w:hAnsi="Times New Roman;Times;Serif"/>
          <w:b/>
          <w:i w:val="false"/>
          <w:caps w:val="false"/>
          <w:smallCaps w:val="false"/>
          <w:sz w:val="36"/>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tbl>
      <w:tblPr>
        <w:tblW w:w="5100" w:type="dxa"/>
        <w:jc w:val="left"/>
        <w:tblInd w:w="0" w:type="dxa"/>
        <w:tblCellMar>
          <w:top w:w="0" w:type="dxa"/>
          <w:left w:w="0" w:type="dxa"/>
          <w:bottom w:w="28" w:type="dxa"/>
          <w:right w:w="0" w:type="dxa"/>
        </w:tblCellMar>
      </w:tblPr>
      <w:tblGrid>
        <w:gridCol w:w="2270"/>
        <w:gridCol w:w="60"/>
        <w:gridCol w:w="1145"/>
        <w:gridCol w:w="60"/>
        <w:gridCol w:w="1565"/>
      </w:tblGrid>
      <w:tr>
        <w:trPr/>
        <w:tc>
          <w:tcPr>
            <w:tcW w:w="227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5" w:name="xdx_90A_edei--EntityIncorporationStateCo"/>
            <w:bookmarkEnd w:id="5"/>
            <w:r>
              <w:rPr>
                <w:rFonts w:ascii="Times New Roman;Times;Serif" w:hAnsi="Times New Roman;Times;Serif"/>
                <w:b/>
                <w:i w:val="false"/>
                <w:caps w:val="false"/>
                <w:smallCaps w:val="false"/>
                <w:sz w:val="20"/>
              </w:rPr>
              <w:t>Nevada</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6" w:name="xdx_900_edei--EntityFileNumber_c20230417"/>
            <w:bookmarkEnd w:id="6"/>
            <w:r>
              <w:rPr>
                <w:rFonts w:ascii="Times New Roman;Times;Serif" w:hAnsi="Times New Roman;Times;Serif"/>
                <w:b/>
                <w:i w:val="false"/>
                <w:caps w:val="false"/>
                <w:smallCaps w:val="false"/>
                <w:sz w:val="20"/>
              </w:rPr>
              <w:t>001-40730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85-1873463</w:t>
            </w:r>
          </w:p>
        </w:tc>
      </w:tr>
      <w:tr>
        <w:trPr/>
        <w:tc>
          <w:tcPr>
            <w:tcW w:w="2270"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145" w:type="dxa"/>
            <w:tcBorders/>
            <w:shd w:fill="auto" w:val="clear"/>
            <w:tcMar>
              <w:bottom w:w="0" w:type="dxa"/>
            </w:tcMar>
            <w:vAlign w:val="center"/>
          </w:tcPr>
          <w:p>
            <w:pPr>
              <w:pStyle w:val="TableContents"/>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65" w:type="dxa"/>
            <w:tcBorders/>
            <w:shd w:fill="auto"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bl>
    <w:p>
      <w:pPr>
        <w:pStyle w:val="TextBody"/>
        <w:spacing w:before="0" w:after="0"/>
        <w:ind w:left="0" w:right="0" w:hanging="0"/>
        <w:jc w:val="center"/>
        <w:rPr>
          <w:caps w:val="false"/>
          <w:smallCaps w:val="false"/>
        </w:rPr>
      </w:pPr>
      <w:r>
        <w:rPr>
          <w:caps w:val="false"/>
          <w:smallCaps w:val="false"/>
        </w:rPr>
        <w:t> </w:t>
      </w:r>
    </w:p>
    <w:tbl>
      <w:tblPr>
        <w:tblW w:w="4285" w:type="dxa"/>
        <w:jc w:val="left"/>
        <w:tblInd w:w="0" w:type="dxa"/>
        <w:tblCellMar>
          <w:top w:w="0" w:type="dxa"/>
          <w:left w:w="0" w:type="dxa"/>
          <w:bottom w:w="0" w:type="dxa"/>
          <w:right w:w="0" w:type="dxa"/>
        </w:tblCellMar>
      </w:tblPr>
      <w:tblGrid>
        <w:gridCol w:w="3290"/>
        <w:gridCol w:w="60"/>
        <w:gridCol w:w="935"/>
      </w:tblGrid>
      <w:tr>
        <w:trPr/>
        <w:tc>
          <w:tcPr>
            <w:tcW w:w="329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1190 Trademark Drive, </w:t>
            </w:r>
            <w:bookmarkStart w:id="9" w:name="xdx_900_edei--EntityAddressAddressLine2_"/>
            <w:bookmarkEnd w:id="9"/>
            <w:r>
              <w:rPr>
                <w:rFonts w:ascii="Times New Roman;Times;Serif" w:hAnsi="Times New Roman;Times;Serif"/>
                <w:b/>
                <w:i w:val="false"/>
                <w:caps w:val="false"/>
                <w:smallCaps w:val="false"/>
                <w:sz w:val="20"/>
              </w:rPr>
              <w:t>#108</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3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329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Reno, </w:t>
            </w:r>
            <w:bookmarkStart w:id="11" w:name="xdx_904_edei--EntityAddressStateOrProvin"/>
            <w:bookmarkEnd w:id="11"/>
            <w:r>
              <w:rPr>
                <w:rFonts w:ascii="Times New Roman;Times;Serif" w:hAnsi="Times New Roman;Times;Serif"/>
                <w:b/>
                <w:i w:val="false"/>
                <w:caps w:val="false"/>
                <w:smallCaps w:val="false"/>
                <w:sz w:val="20"/>
              </w:rPr>
              <w:t>Nevada</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3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89521</w:t>
            </w:r>
          </w:p>
        </w:tc>
      </w:tr>
      <w:tr>
        <w:trPr/>
        <w:tc>
          <w:tcPr>
            <w:tcW w:w="329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3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13" w:name="xdx_902_edei--CityAreaCode_c20230417__20"/>
      <w:bookmarkEnd w:id="13"/>
      <w:r>
        <w:rPr>
          <w:rFonts w:ascii="Times New Roman;Times;Serif" w:hAnsi="Times New Roman;Times;Serif"/>
          <w:b/>
          <w:i w:val="false"/>
          <w:caps w:val="false"/>
          <w:smallCaps w:val="false"/>
          <w:sz w:val="20"/>
          <w:u w:val="single"/>
        </w:rPr>
        <w:t xml:space="preserve">(775) </w:t>
      </w:r>
      <w:bookmarkStart w:id="14" w:name="xdx_909_edei--LocalPhoneNumber_c20230417"/>
      <w:bookmarkEnd w:id="14"/>
      <w:r>
        <w:rPr>
          <w:rFonts w:ascii="Times New Roman;Times;Serif" w:hAnsi="Times New Roman;Times;Serif"/>
          <w:b/>
          <w:i w:val="false"/>
          <w:caps w:val="false"/>
          <w:smallCaps w:val="false"/>
          <w:sz w:val="20"/>
          <w:u w:val="single"/>
        </w:rPr>
        <w:t>622-3448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caps w:val="false"/>
                <w:smallCaps w:val="false"/>
              </w:rPr>
            </w:pPr>
            <w:bookmarkStart w:id="15" w:name="xdx_902_edei--WrittenCommunications_c202"/>
            <w:bookmarkEnd w:id="15"/>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6" w:name="xdx_906_edei--SolicitingMaterial_c202304"/>
            <w:bookmarkEnd w:id="16"/>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7" w:name="xdx_902_edei--PreCommencementTenderOffer"/>
            <w:bookmarkEnd w:id="17"/>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shd w:fill="auto" w:val="clear"/>
            <w:vAlign w:val="center"/>
          </w:tcPr>
          <w:p>
            <w:pPr>
              <w:pStyle w:val="TableContents"/>
              <w:spacing w:before="0" w:after="283"/>
              <w:rPr>
                <w:caps w:val="false"/>
                <w:smallCaps w:val="false"/>
              </w:rPr>
            </w:pPr>
            <w:r>
              <w:rPr>
                <w:caps w:val="false"/>
                <w:smallCaps w:val="false"/>
              </w:rPr>
              <w:t> </w:t>
            </w:r>
          </w:p>
        </w:tc>
        <w:tc>
          <w:tcPr>
            <w:tcW w:w="906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5" w:type="dxa"/>
            <w:tcBorders/>
            <w:shd w:fill="auto" w:val="clear"/>
            <w:vAlign w:val="center"/>
          </w:tcPr>
          <w:p>
            <w:pPr>
              <w:pStyle w:val="TableContents"/>
              <w:spacing w:before="0" w:after="283"/>
              <w:rPr>
                <w:caps w:val="false"/>
                <w:smallCaps w:val="false"/>
              </w:rPr>
            </w:pPr>
            <w:bookmarkStart w:id="18" w:name="xdx_90E_edei--PreCommencementIssuerTende"/>
            <w:bookmarkEnd w:id="18"/>
            <w:r>
              <w:rPr>
                <w:caps w:val="false"/>
                <w:smallCaps w:val="false"/>
              </w:rPr>
              <w:t>☐</w:t>
            </w:r>
          </w:p>
        </w:tc>
        <w:tc>
          <w:tcPr>
            <w:tcW w:w="9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240.13e- 4(c))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380" w:type="dxa"/>
        <w:jc w:val="left"/>
        <w:tblInd w:w="0" w:type="dxa"/>
        <w:tblCellMar>
          <w:top w:w="0" w:type="dxa"/>
          <w:left w:w="0" w:type="dxa"/>
          <w:bottom w:w="28" w:type="dxa"/>
          <w:right w:w="0" w:type="dxa"/>
        </w:tblCellMar>
      </w:tblPr>
      <w:tblGrid>
        <w:gridCol w:w="4010"/>
        <w:gridCol w:w="60"/>
        <w:gridCol w:w="860"/>
        <w:gridCol w:w="60"/>
        <w:gridCol w:w="2390"/>
      </w:tblGrid>
      <w:tr>
        <w:trPr/>
        <w:tc>
          <w:tcPr>
            <w:tcW w:w="40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60" w:type="dxa"/>
            <w:tcBorders>
              <w:bottom w:val="single" w:sz="12"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239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4010" w:type="dxa"/>
            <w:tcBorders/>
            <w:shd w:fill="FFFF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19" w:name="xdx_90C_edei--Security12bTitle_c20230417"/>
            <w:bookmarkEnd w:id="19"/>
            <w:r>
              <w:rPr>
                <w:rFonts w:ascii="Times New Roman;Times;Serif" w:hAnsi="Times New Roman;Times;Serif"/>
                <w:b/>
                <w:i w:val="false"/>
                <w:caps w:val="false"/>
                <w:smallCaps w:val="false"/>
                <w:sz w:val="20"/>
              </w:rPr>
              <w:t>Common stock, par value $0.0001</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20" w:name="xdx_90B_edei--TradingSymbol_c20230417__2"/>
            <w:bookmarkEnd w:id="20"/>
            <w:r>
              <w:rPr>
                <w:rFonts w:ascii="Times New Roman;Times;Serif" w:hAnsi="Times New Roman;Times;Serif"/>
                <w:b/>
                <w:i w:val="false"/>
                <w:caps w:val="false"/>
                <w:smallCaps w:val="false"/>
                <w:sz w:val="20"/>
              </w:rPr>
              <w:t>DFLI</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90" w:type="dxa"/>
            <w:tcBorders/>
            <w:shd w:fill="FFFF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1" w:name="xdx_90B_edei--SecurityExchangeName_c2023"/>
            <w:bookmarkEnd w:id="21"/>
            <w:r>
              <w:rPr>
                <w:rFonts w:ascii="Times New Roman;Times;Serif" w:hAnsi="Times New Roman;Times;Serif"/>
                <w:b/>
                <w:i w:val="false"/>
                <w:caps w:val="false"/>
                <w:smallCaps w:val="false"/>
                <w:sz w:val="20"/>
              </w:rPr>
              <w:t>Nasdaq Global Market</w:t>
            </w:r>
          </w:p>
        </w:tc>
      </w:tr>
      <w:tr>
        <w:trPr/>
        <w:tc>
          <w:tcPr>
            <w:tcW w:w="4010" w:type="dxa"/>
            <w:tcBorders/>
            <w:shd w:fill="FFFFFF" w:val="clear"/>
            <w:tcMar>
              <w:bottom w:w="0" w:type="dxa"/>
            </w:tcM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22" w:name="xdx_903_edei--Security12bTitle_c20230417"/>
            <w:bookmarkEnd w:id="22"/>
            <w:r>
              <w:rPr>
                <w:rFonts w:ascii="Times New Roman;Times;Serif" w:hAnsi="Times New Roman;Times;Serif"/>
                <w:b/>
                <w:i w:val="false"/>
                <w:caps w:val="false"/>
                <w:smallCaps w:val="false"/>
                <w:sz w:val="20"/>
              </w:rPr>
              <w:t>Redeemable warrants, exercisable for common</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at an exercise price of $11.50 per share,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adjustment</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bookmarkStart w:id="23" w:name="xdx_908_edei--TradingSymbol_c20230417__2"/>
            <w:bookmarkEnd w:id="23"/>
            <w:r>
              <w:rPr>
                <w:rFonts w:ascii="Times New Roman;Times;Serif" w:hAnsi="Times New Roman;Times;Serif"/>
                <w:b/>
                <w:i w:val="false"/>
                <w:caps w:val="false"/>
                <w:smallCaps w:val="false"/>
                <w:sz w:val="20"/>
              </w:rPr>
              <w:t>DFLIW</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390" w:type="dxa"/>
            <w:tcBorders/>
            <w:shd w:fill="FFFFFF" w:val="clear"/>
            <w:tcMar>
              <w:bottom w:w="0"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w:t>
            </w:r>
            <w:bookmarkStart w:id="24" w:name="xdx_904_edei--SecurityExchangeName_c2023"/>
            <w:bookmarkEnd w:id="24"/>
            <w:r>
              <w:rPr>
                <w:rFonts w:ascii="Times New Roman;Times;Serif" w:hAnsi="Times New Roman;Times;Serif"/>
                <w:b/>
                <w:i w:val="false"/>
                <w:caps w:val="false"/>
                <w:smallCaps w:val="false"/>
                <w:sz w:val="20"/>
              </w:rPr>
              <w:t>Nasdaq Capital Market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rPr>
          <w:bdr w:val="single" w:sz="12" w:space="1" w:color="000000"/>
        </w:rPr>
      </w:pPr>
      <w:r>
        <w:rPr>
          <w:bdr w:val="single" w:sz="12" w:space="1" w:color="000000"/>
        </w:rPr>
        <w:t> </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supplements the Current Report on Form 8-K of Dragonfly Energy Holdings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originally furnished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on March 29, 2023 (the “</w:t>
      </w:r>
      <w:r>
        <w:rPr>
          <w:rFonts w:ascii="Times New Roman;Times;Serif" w:hAnsi="Times New Roman;Times;Serif"/>
          <w:b/>
          <w:i w:val="false"/>
          <w:caps w:val="false"/>
          <w:smallCaps w:val="false"/>
          <w:sz w:val="20"/>
        </w:rPr>
        <w:t>Initial Form 8-K</w:t>
      </w:r>
      <w:r>
        <w:rPr>
          <w:rFonts w:ascii="Times New Roman;Times;Serif" w:hAnsi="Times New Roman;Times;Serif"/>
          <w:b w:val="false"/>
          <w:i w:val="false"/>
          <w:caps w:val="false"/>
          <w:smallCaps w:val="false"/>
          <w:sz w:val="20"/>
        </w:rPr>
        <w:t>”). The sole purpose for furnishing this Current Report on Form 8-K is to update certain information contained in Exhibit 99.1 to the Initial Form 8-K to reflect certain updates to the Company’s financial results as a result of the completion of the Company’s 2022 audit, as described further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29, 2023, the Company issued an earnings release </w:t>
      </w:r>
      <w:r>
        <w:rPr>
          <w:rFonts w:ascii="Times New Roman;Times;Serif" w:hAnsi="Times New Roman;Times;Serif"/>
          <w:b w:val="false"/>
          <w:i w:val="false"/>
          <w:caps w:val="false"/>
          <w:smallCaps w:val="false"/>
          <w:sz w:val="20"/>
          <w:highlight w:val="white"/>
        </w:rPr>
        <w:t xml:space="preserve">announcing financial results for the fourth quarter and </w:t>
      </w:r>
      <w:r>
        <w:rPr>
          <w:rFonts w:ascii="Times New Roman;Times;Serif" w:hAnsi="Times New Roman;Times;Serif"/>
          <w:b w:val="false"/>
          <w:i w:val="false"/>
          <w:caps w:val="false"/>
          <w:smallCaps w:val="false"/>
          <w:sz w:val="20"/>
        </w:rPr>
        <w:t xml:space="preserve">year ended </w:t>
      </w:r>
      <w:r>
        <w:rPr>
          <w:rFonts w:ascii="Times New Roman;Times;Serif" w:hAnsi="Times New Roman;Times;Serif"/>
          <w:b w:val="false"/>
          <w:i w:val="false"/>
          <w:caps w:val="false"/>
          <w:smallCaps w:val="false"/>
          <w:sz w:val="20"/>
          <w:highlight w:val="white"/>
        </w:rPr>
        <w:t>December 31, 2022, which was attached as Exhibit 99.1 to the Initial Form 8-K. In connection with the completion of the Company’s 2022 audit,</w:t>
      </w:r>
      <w:r>
        <w:rPr>
          <w:rFonts w:ascii="Times New Roman;Times;Serif" w:hAnsi="Times New Roman;Times;Serif"/>
          <w:b w:val="false"/>
          <w:i w:val="false"/>
          <w:caps w:val="false"/>
          <w:smallCaps w:val="false"/>
          <w:sz w:val="20"/>
        </w:rPr>
        <w:t xml:space="preserve"> $19.8 million in deal-related expenses from the Company’s October 7, 2022 Business Combination, which were initially recognized within equity, were classified as general and administrative expenses. O</w:t>
      </w:r>
      <w:r>
        <w:rPr>
          <w:rFonts w:ascii="Times New Roman;Times;Serif" w:hAnsi="Times New Roman;Times;Serif"/>
          <w:b w:val="false"/>
          <w:i w:val="false"/>
          <w:caps w:val="false"/>
          <w:smallCaps w:val="false"/>
          <w:sz w:val="20"/>
          <w:highlight w:val="white"/>
        </w:rPr>
        <w:t xml:space="preserve">n April 17, 2023, the Company issued an updated version of the earnings release attached hereto as Exhibit 99.1, which is incorporated in this Item 2.02 by reference, to reflect adjustments to the Company’s financial results. </w:t>
      </w:r>
    </w:p>
    <w:p>
      <w:pPr>
        <w:pStyle w:val="TextBody"/>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within Exhibit 99.1 hereto updates and supersedes the information contained within the press release submitted as an exhibit to the Initial Form 8-K. The impact of the updates described above were reflected in Company’s Annual Report on 10-K for the year ended December 31, 2022 filed with the SEC on April 17,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and Exhibit 99.1 attached hereto shall not be deemed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pacing w:before="0" w:after="0"/>
        <w:ind w:left="0" w:right="0" w:hanging="0"/>
        <w:rPr>
          <w:caps w:val="false"/>
          <w:smallCaps w:val="false"/>
        </w:rPr>
      </w:pPr>
      <w:r>
        <w:rPr>
          <w:caps w:val="false"/>
          <w:smallCaps w:val="false"/>
        </w:rPr>
        <w:t> </w:t>
      </w:r>
    </w:p>
    <w:tbl>
      <w:tblPr>
        <w:tblW w:w="7720" w:type="dxa"/>
        <w:jc w:val="left"/>
        <w:tblInd w:w="0" w:type="dxa"/>
        <w:tblCellMar>
          <w:top w:w="0" w:type="dxa"/>
          <w:left w:w="0" w:type="dxa"/>
          <w:bottom w:w="28" w:type="dxa"/>
          <w:right w:w="0" w:type="dxa"/>
        </w:tblCellMar>
      </w:tblPr>
      <w:tblGrid>
        <w:gridCol w:w="995"/>
        <w:gridCol w:w="60"/>
        <w:gridCol w:w="6665"/>
      </w:tblGrid>
      <w:tr>
        <w:trPr/>
        <w:tc>
          <w:tcPr>
            <w:tcW w:w="99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shd w:fill="auto"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665" w:type="dxa"/>
            <w:tcBorders>
              <w:bottom w:val="single" w:sz="12" w:space="0" w:color="000000"/>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665" w:type="dxa"/>
            <w:tcBorders/>
            <w:shd w:fill="auto" w:val="clear"/>
            <w:tcMar>
              <w:bottom w:w="0" w:type="dxa"/>
            </w:tcMar>
            <w:vAlign w:val="center"/>
          </w:tcPr>
          <w:p>
            <w:pPr>
              <w:pStyle w:val="TableContents"/>
              <w:spacing w:before="0" w:after="283"/>
              <w:jc w:val="both"/>
              <w:rPr/>
            </w:pPr>
            <w:hyperlink w:anchor="ex99-1.htm">
              <w:r>
                <w:rPr>
                  <w:rStyle w:val="InternetLink"/>
                  <w:rFonts w:ascii="Times New Roman;Times;Serif" w:hAnsi="Times New Roman;Times;Serif"/>
                  <w:b w:val="false"/>
                  <w:i w:val="false"/>
                  <w:caps w:val="false"/>
                  <w:smallCaps w:val="false"/>
                  <w:sz w:val="20"/>
                </w:rPr>
                <w:t>Updated Press Release of Dragonfly Energy Holdings Corp., dated April 17, 2023.</w:t>
              </w:r>
            </w:hyperlink>
          </w:p>
        </w:tc>
      </w:tr>
      <w:tr>
        <w:trPr/>
        <w:tc>
          <w:tcPr>
            <w:tcW w:w="99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665"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caps w:val="false"/>
          <w:smallCaps w:val="false"/>
        </w:rPr>
      </w:pPr>
      <w:r>
        <w:rPr>
          <w:caps w:val="false"/>
          <w:smallCaps w:val="false"/>
        </w:rPr>
        <w:t> </w:t>
      </w:r>
    </w:p>
    <w:tbl>
      <w:tblPr>
        <w:tblW w:w="3919" w:type="dxa"/>
        <w:jc w:val="left"/>
        <w:tblInd w:w="0" w:type="dxa"/>
        <w:tblCellMar>
          <w:top w:w="0" w:type="dxa"/>
          <w:left w:w="0" w:type="dxa"/>
          <w:bottom w:w="0" w:type="dxa"/>
          <w:right w:w="0" w:type="dxa"/>
        </w:tblCellMar>
      </w:tblPr>
      <w:tblGrid>
        <w:gridCol w:w="75"/>
        <w:gridCol w:w="838"/>
        <w:gridCol w:w="3006"/>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844"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38" w:type="dxa"/>
            <w:tcBorders/>
            <w:shd w:fill="auto" w:val="clear"/>
            <w:vAlign w:val="center"/>
          </w:tcPr>
          <w:p>
            <w:pPr>
              <w:pStyle w:val="TableContents"/>
              <w:spacing w:before="0" w:after="283"/>
              <w:rPr>
                <w:caps w:val="false"/>
                <w:smallCaps w:val="false"/>
              </w:rPr>
            </w:pPr>
            <w:r>
              <w:rPr>
                <w:caps w:val="false"/>
                <w:smallCaps w:val="false"/>
              </w:rPr>
              <w:t> </w:t>
            </w:r>
          </w:p>
        </w:tc>
        <w:tc>
          <w:tcPr>
            <w:tcW w:w="3006"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6"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838"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17, 2023</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hd w:fill="FFFFFF" w:val="clear"/>
        <w:spacing w:before="0" w:after="0"/>
        <w:ind w:left="0" w:right="0" w:hanging="0"/>
        <w:jc w:val="center"/>
        <w:rPr>
          <w:caps w:val="false"/>
          <w:smallCaps w:val="false"/>
        </w:rPr>
      </w:pPr>
      <w:r>
        <w:br w:type="page"/>
      </w:r>
      <w:bookmarkStart w:id="27" w:name="ex99-1.htm"/>
      <w:bookmarkStart w:id="28" w:name="ksex991"/>
      <w:bookmarkEnd w:id="27"/>
      <w:bookmarkEnd w:id="28"/>
      <w:r>
        <w:rPr>
          <w:caps w:val="false"/>
          <w:smallCaps w:val="false"/>
        </w:rPr>
        <w:t> </w:t>
      </w:r>
    </w:p>
    <w:p>
      <w:pPr>
        <w:pStyle w:val="TextBody"/>
        <w:shd w:fill="FFFFFF" w:val="clear"/>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Files Annual Report on Form 10-K and Updates Operating Results for the Fourth Quarter and Year ended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(April 17, 2023)</w:t>
      </w:r>
      <w:r>
        <w:rPr>
          <w:rFonts w:ascii="Times New Roman;Times;Serif" w:hAnsi="Times New Roman;Times;Serif"/>
          <w:b w:val="false"/>
          <w:i w:val="false"/>
          <w:caps w:val="false"/>
          <w:smallCaps w:val="false"/>
          <w:sz w:val="20"/>
        </w:rPr>
        <w:t xml:space="preserve"> — Dragonfly Energy Holdings Corp. (“Dragonfly” or the “Company”) (Nasdaq: DFLI), an industry leader in energy storage and producer of deep cycle lithium-ion storage batteries, today filed its Annual Report on Form 10-K and updated its financial results for the fourth quarter and audited full year ended December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announced its unaudited financial results for the year ended December 31, 2022 and provided the press release under Items 2.02 and 9.01 of Form 8-K on that day. In connection with the completion of the 2022 audit, $19.8 million in deal-related expenses from the Company’s October 7, 2022 Business Combination, which were initially recognized within equity, were classified as general and administrative expenses. These expenses were unique to the Business Combination and are not expected to recur in future quarters. This press release updates and supersedes the press release issued on March 29, 2023 to reflect adjustments to the Company’s financial results. For additional information on these changes, including the Company’s audited financial statements for the year ending December 31, 2022, please see the Company’s Form 10-K filed with the U.S. Securities and Exchange Commission (the “SEC”) earlier today.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Dragonfly’s Net Sales and Gross Profit remain unchanged. Below, please find a summary of the of the adjustments to operations from preliminary to final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from preliminary to final results:</w:t>
      </w:r>
    </w:p>
    <w:p>
      <w:pPr>
        <w:pStyle w:val="TextBody"/>
        <w:spacing w:before="0" w:after="0"/>
        <w:ind w:left="0" w:right="0" w:hanging="0"/>
        <w:rPr>
          <w:caps w:val="false"/>
          <w:smallCaps w:val="false"/>
        </w:rPr>
      </w:pPr>
      <w:r>
        <w:rPr>
          <w:caps w:val="false"/>
          <w:smallCaps w:val="false"/>
        </w:rPr>
        <w:t> </w:t>
      </w:r>
    </w:p>
    <w:tbl>
      <w:tblPr>
        <w:tblW w:w="9070" w:type="dxa"/>
        <w:jc w:val="left"/>
        <w:tblInd w:w="0" w:type="dxa"/>
        <w:tblCellMar>
          <w:top w:w="0" w:type="dxa"/>
          <w:left w:w="0" w:type="dxa"/>
          <w:bottom w:w="0" w:type="dxa"/>
          <w:right w:w="0" w:type="dxa"/>
        </w:tblCellMar>
      </w:tblPr>
      <w:tblGrid>
        <w:gridCol w:w="2075"/>
        <w:gridCol w:w="60"/>
        <w:gridCol w:w="193"/>
        <w:gridCol w:w="1042"/>
        <w:gridCol w:w="95"/>
        <w:gridCol w:w="60"/>
        <w:gridCol w:w="140"/>
        <w:gridCol w:w="755"/>
        <w:gridCol w:w="95"/>
        <w:gridCol w:w="60"/>
        <w:gridCol w:w="140"/>
        <w:gridCol w:w="755"/>
        <w:gridCol w:w="95"/>
        <w:gridCol w:w="60"/>
        <w:gridCol w:w="193"/>
        <w:gridCol w:w="1042"/>
        <w:gridCol w:w="95"/>
        <w:gridCol w:w="60"/>
        <w:gridCol w:w="140"/>
        <w:gridCol w:w="755"/>
        <w:gridCol w:w="95"/>
        <w:gridCol w:w="60"/>
        <w:gridCol w:w="140"/>
        <w:gridCol w:w="755"/>
        <w:gridCol w:w="110"/>
      </w:tblGrid>
      <w:tr>
        <w:trPr/>
        <w:tc>
          <w:tcPr>
            <w:tcW w:w="207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333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Fourth quarter 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335" w:type="dxa"/>
            <w:gridSpan w:val="10"/>
            <w:tcBorders>
              <w:bottom w:val="single" w:sz="12" w:space="0" w:color="000000"/>
            </w:tcBorders>
            <w:shd w:fill="auto" w:val="clear"/>
            <w:tcMar>
              <w:bottom w:w="28" w:type="dxa"/>
            </w:tcMar>
            <w:vAlign w:val="center"/>
          </w:tcPr>
          <w:p>
            <w:pPr>
              <w:pStyle w:val="TableContents"/>
              <w:spacing w:before="0" w:after="283"/>
              <w:jc w:val="center"/>
              <w:rPr>
                <w:b/>
              </w:rPr>
            </w:pPr>
            <w:r>
              <w:rPr>
                <w:b/>
              </w:rPr>
              <w:t>Full year 2022</w:t>
            </w:r>
          </w:p>
        </w:tc>
        <w:tc>
          <w:tcPr>
            <w:tcW w:w="110" w:type="dxa"/>
            <w:tcBorders/>
            <w:shd w:fill="auto" w:val="clear"/>
            <w:vAlign w:val="center"/>
          </w:tcPr>
          <w:p>
            <w:pPr>
              <w:pStyle w:val="TableContents"/>
              <w:spacing w:before="0" w:after="283"/>
              <w:rPr/>
            </w:pPr>
            <w:r>
              <w:rPr/>
              <w:t> </w:t>
            </w:r>
          </w:p>
        </w:tc>
      </w:tr>
      <w:tr>
        <w:trPr/>
        <w:tc>
          <w:tcPr>
            <w:tcW w:w="2075" w:type="dxa"/>
            <w:tcBorders/>
            <w:shd w:fill="auto" w:val="clear"/>
            <w:vAlign w:val="center"/>
          </w:tcPr>
          <w:p>
            <w:pPr>
              <w:pStyle w:val="TableContents"/>
              <w:spacing w:before="0" w:after="283"/>
              <w:jc w:val="center"/>
              <w:rPr>
                <w:b/>
              </w:rPr>
            </w:pPr>
            <w:r>
              <w:rPr>
                <w:b/>
              </w:rPr>
              <w:t>($ thousands)</w:t>
            </w:r>
          </w:p>
        </w:tc>
        <w:tc>
          <w:tcPr>
            <w:tcW w:w="60" w:type="dxa"/>
            <w:tcBorders/>
            <w:shd w:fill="auto" w:val="clear"/>
            <w:vAlign w:val="center"/>
          </w:tcPr>
          <w:p>
            <w:pPr>
              <w:pStyle w:val="TableContents"/>
              <w:spacing w:before="0" w:after="283"/>
              <w:jc w:val="center"/>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Preliminary</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Final</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23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Preliminary</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Change</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Final</w:t>
            </w:r>
          </w:p>
        </w:tc>
        <w:tc>
          <w:tcPr>
            <w:tcW w:w="110" w:type="dxa"/>
            <w:tcBorders/>
            <w:shd w:fill="auto" w:val="clear"/>
            <w:vAlign w:val="center"/>
          </w:tcPr>
          <w:p>
            <w:pPr>
              <w:pStyle w:val="TableContents"/>
              <w:spacing w:before="0" w:after="283"/>
              <w:jc w:val="center"/>
              <w:rPr/>
            </w:pPr>
            <w:r>
              <w:rPr/>
              <w:t> </w:t>
            </w:r>
          </w:p>
        </w:tc>
      </w:tr>
      <w:tr>
        <w:trPr/>
        <w:tc>
          <w:tcPr>
            <w:tcW w:w="2075" w:type="dxa"/>
            <w:tcBorders/>
            <w:shd w:fill="CCEEFF" w:val="clear"/>
            <w:vAlign w:val="center"/>
          </w:tcPr>
          <w:p>
            <w:pPr>
              <w:pStyle w:val="TableContents"/>
              <w:spacing w:before="0" w:after="283"/>
              <w:jc w:val="center"/>
              <w:rPr>
                <w:b/>
              </w:rPr>
            </w:pPr>
            <w:r>
              <w:rPr>
                <w:b/>
              </w:rPr>
              <w:t>Operating Expenses</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1042" w:type="dxa"/>
            <w:tcBorders/>
            <w:shd w:fill="CCEEFF" w:val="clear"/>
            <w:vAlign w:val="center"/>
          </w:tcPr>
          <w:p>
            <w:pPr>
              <w:pStyle w:val="TableContents"/>
              <w:spacing w:before="0" w:after="283"/>
              <w:jc w:val="right"/>
              <w:rPr/>
            </w:pPr>
            <w:r>
              <w:rPr/>
              <w:t>(12,481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(20,460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(32,941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1042" w:type="dxa"/>
            <w:tcBorders/>
            <w:shd w:fill="CCEEFF" w:val="clear"/>
            <w:vAlign w:val="center"/>
          </w:tcPr>
          <w:p>
            <w:pPr>
              <w:pStyle w:val="TableContents"/>
              <w:spacing w:before="0" w:after="283"/>
              <w:jc w:val="right"/>
              <w:rPr/>
            </w:pPr>
            <w:r>
              <w:rPr/>
              <w:t>(37,541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(20,460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(58,001</w:t>
            </w:r>
          </w:p>
        </w:tc>
        <w:tc>
          <w:tcPr>
            <w:tcW w:w="110" w:type="dxa"/>
            <w:tcBorders/>
            <w:shd w:fill="CCEEFF" w:val="clear"/>
            <w:vAlign w:val="center"/>
          </w:tcPr>
          <w:p>
            <w:pPr>
              <w:pStyle w:val="TableContents"/>
              <w:spacing w:before="0" w:after="283"/>
              <w:jc w:val="left"/>
              <w:rPr/>
            </w:pPr>
            <w:r>
              <w:rPr/>
              <w:t>)</w:t>
            </w:r>
          </w:p>
        </w:tc>
      </w:tr>
      <w:tr>
        <w:trPr/>
        <w:tc>
          <w:tcPr>
            <w:tcW w:w="2075" w:type="dxa"/>
            <w:tcBorders/>
            <w:shd w:fill="FFFFFF" w:val="clear"/>
            <w:vAlign w:val="center"/>
          </w:tcPr>
          <w:p>
            <w:pPr>
              <w:pStyle w:val="TableContents"/>
              <w:spacing w:before="0" w:after="283"/>
              <w:jc w:val="center"/>
              <w:rPr>
                <w:b/>
              </w:rPr>
            </w:pPr>
            <w:r>
              <w:rPr>
                <w:b/>
              </w:rPr>
              <w:t>Net (Loss) Income</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w:t>
            </w:r>
          </w:p>
        </w:tc>
        <w:tc>
          <w:tcPr>
            <w:tcW w:w="1042" w:type="dxa"/>
            <w:tcBorders/>
            <w:shd w:fill="FFFFFF" w:val="clear"/>
            <w:vAlign w:val="center"/>
          </w:tcPr>
          <w:p>
            <w:pPr>
              <w:pStyle w:val="TableContents"/>
              <w:spacing w:before="0" w:after="283"/>
              <w:jc w:val="right"/>
              <w:rPr/>
            </w:pPr>
            <w:r>
              <w:rPr/>
              <w:t>(11,655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(20,460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(32,115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w:t>
            </w:r>
          </w:p>
        </w:tc>
        <w:tc>
          <w:tcPr>
            <w:tcW w:w="1042" w:type="dxa"/>
            <w:tcBorders/>
            <w:shd w:fill="FFFFFF" w:val="clear"/>
            <w:vAlign w:val="center"/>
          </w:tcPr>
          <w:p>
            <w:pPr>
              <w:pStyle w:val="TableContents"/>
              <w:spacing w:before="0" w:after="283"/>
              <w:jc w:val="right"/>
              <w:rPr/>
            </w:pPr>
            <w:r>
              <w:rPr/>
              <w:t>(19,111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(20,460</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(39,571</w:t>
            </w:r>
          </w:p>
        </w:tc>
        <w:tc>
          <w:tcPr>
            <w:tcW w:w="110" w:type="dxa"/>
            <w:tcBorders/>
            <w:shd w:fill="FFFFFF" w:val="clear"/>
            <w:vAlign w:val="center"/>
          </w:tcPr>
          <w:p>
            <w:pPr>
              <w:pStyle w:val="TableContents"/>
              <w:spacing w:before="0" w:after="283"/>
              <w:jc w:val="left"/>
              <w:rPr/>
            </w:pPr>
            <w:r>
              <w:rPr/>
              <w:t>)</w:t>
            </w:r>
          </w:p>
        </w:tc>
      </w:tr>
      <w:tr>
        <w:trPr/>
        <w:tc>
          <w:tcPr>
            <w:tcW w:w="2075" w:type="dxa"/>
            <w:tcBorders/>
            <w:shd w:fill="CCEEFF" w:val="clear"/>
            <w:vAlign w:val="center"/>
          </w:tcPr>
          <w:p>
            <w:pPr>
              <w:pStyle w:val="TableContents"/>
              <w:spacing w:before="0" w:after="283"/>
              <w:jc w:val="center"/>
              <w:rPr>
                <w:b/>
              </w:rPr>
            </w:pPr>
            <w:r>
              <w:rPr>
                <w:b/>
              </w:rPr>
              <w:t>EBITDA</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1042" w:type="dxa"/>
            <w:tcBorders/>
            <w:shd w:fill="CCEEFF" w:val="clear"/>
            <w:vAlign w:val="center"/>
          </w:tcPr>
          <w:p>
            <w:pPr>
              <w:pStyle w:val="TableContents"/>
              <w:spacing w:before="0" w:after="283"/>
              <w:jc w:val="right"/>
              <w:rPr/>
            </w:pPr>
            <w:r>
              <w:rPr/>
              <w:t>(7,843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(19,750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(27,593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93" w:type="dxa"/>
            <w:tcBorders/>
            <w:shd w:fill="CCEEFF" w:val="clear"/>
            <w:vAlign w:val="center"/>
          </w:tcPr>
          <w:p>
            <w:pPr>
              <w:pStyle w:val="TableContents"/>
              <w:spacing w:before="0" w:after="283"/>
              <w:jc w:val="left"/>
              <w:rPr/>
            </w:pPr>
            <w:r>
              <w:rPr/>
              <w:t>$</w:t>
            </w:r>
          </w:p>
        </w:tc>
        <w:tc>
          <w:tcPr>
            <w:tcW w:w="1042" w:type="dxa"/>
            <w:tcBorders/>
            <w:shd w:fill="CCEEFF" w:val="clear"/>
            <w:vAlign w:val="center"/>
          </w:tcPr>
          <w:p>
            <w:pPr>
              <w:pStyle w:val="TableContents"/>
              <w:spacing w:before="0" w:after="283"/>
              <w:jc w:val="right"/>
              <w:rPr/>
            </w:pPr>
            <w:r>
              <w:rPr/>
              <w:t>(12,645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(19,799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(32,444</w:t>
            </w:r>
          </w:p>
        </w:tc>
        <w:tc>
          <w:tcPr>
            <w:tcW w:w="110" w:type="dxa"/>
            <w:tcBorders/>
            <w:shd w:fill="CCEEFF" w:val="clear"/>
            <w:vAlign w:val="center"/>
          </w:tcPr>
          <w:p>
            <w:pPr>
              <w:pStyle w:val="TableContents"/>
              <w:spacing w:before="0" w:after="283"/>
              <w:jc w:val="left"/>
              <w:rPr/>
            </w:pPr>
            <w:r>
              <w:rPr/>
              <w:t>)</w:t>
            </w:r>
          </w:p>
        </w:tc>
      </w:tr>
      <w:tr>
        <w:trPr/>
        <w:tc>
          <w:tcPr>
            <w:tcW w:w="2075" w:type="dxa"/>
            <w:tcBorders/>
            <w:shd w:fill="FFFFFF" w:val="clear"/>
            <w:vAlign w:val="center"/>
          </w:tcPr>
          <w:p>
            <w:pPr>
              <w:pStyle w:val="TableContents"/>
              <w:spacing w:before="0" w:after="283"/>
              <w:jc w:val="center"/>
              <w:rPr>
                <w:b/>
              </w:rPr>
            </w:pPr>
            <w:r>
              <w:rPr>
                <w:b/>
              </w:rPr>
              <w:t>Adj. EBITDA</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w:t>
            </w:r>
          </w:p>
        </w:tc>
        <w:tc>
          <w:tcPr>
            <w:tcW w:w="1042" w:type="dxa"/>
            <w:tcBorders/>
            <w:shd w:fill="FFFFFF" w:val="clear"/>
            <w:vAlign w:val="center"/>
          </w:tcPr>
          <w:p>
            <w:pPr>
              <w:pStyle w:val="TableContents"/>
              <w:spacing w:before="0" w:after="283"/>
              <w:jc w:val="right"/>
              <w:rPr/>
            </w:pPr>
            <w:r>
              <w:rPr/>
              <w:t>(4,833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458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(4,375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93" w:type="dxa"/>
            <w:tcBorders/>
            <w:shd w:fill="FFFFFF" w:val="clear"/>
            <w:vAlign w:val="center"/>
          </w:tcPr>
          <w:p>
            <w:pPr>
              <w:pStyle w:val="TableContents"/>
              <w:spacing w:before="0" w:after="283"/>
              <w:jc w:val="left"/>
              <w:rPr/>
            </w:pPr>
            <w:r>
              <w:rPr/>
              <w:t>$</w:t>
            </w:r>
          </w:p>
        </w:tc>
        <w:tc>
          <w:tcPr>
            <w:tcW w:w="1042" w:type="dxa"/>
            <w:tcBorders/>
            <w:shd w:fill="FFFFFF" w:val="clear"/>
            <w:vAlign w:val="center"/>
          </w:tcPr>
          <w:p>
            <w:pPr>
              <w:pStyle w:val="TableContents"/>
              <w:spacing w:before="0" w:after="283"/>
              <w:jc w:val="right"/>
              <w:rPr/>
            </w:pPr>
            <w:r>
              <w:rPr/>
              <w:t>(7,951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411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(7,540</w:t>
            </w:r>
          </w:p>
        </w:tc>
        <w:tc>
          <w:tcPr>
            <w:tcW w:w="110" w:type="dxa"/>
            <w:tcBorders/>
            <w:shd w:fill="FFFFFF" w:val="clear"/>
            <w:vAlign w:val="center"/>
          </w:tcPr>
          <w:p>
            <w:pPr>
              <w:pStyle w:val="TableContents"/>
              <w:spacing w:before="0" w:after="283"/>
              <w:jc w:val="left"/>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Dragonfly Energy Holdings Corp. (Nasdaq: DFLI) headquartered in Reno, Nevada, is a leading supplier of deep cycle lithium-ion batteries. Dragonfly’s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to enable a more sustainable and reliable smart grid through the future deployment of the Company’s proprietary and patented solid-state cell technology. To learn more, visit </w:t>
      </w:r>
      <w:r>
        <w:rPr>
          <w:rFonts w:ascii="Times New Roman;Times;Serif" w:hAnsi="Times New Roman;Times;Serif"/>
          <w:b w:val="false"/>
          <w:i w:val="false"/>
          <w:caps w:val="false"/>
          <w:smallCaps w:val="false"/>
          <w:sz w:val="20"/>
          <w:u w:val="single"/>
        </w:rPr>
        <w:t>www.dragonflyenergy.com/investors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the Company’s ability to recognize the anticipated benefits of the of the Company’s recent business combination with Chardan NexTech Acquisition 2 Corp. and related transactions; the Company’s ability to successfully increase market penetration into target markets; the growth of the addressable markets that the Company intends to target; the Company’s ability to access capital as and when needed under its $150 million ChEF Equity Facility; the Company’s ability to protect its patents and other intellectual property; and the Company’s ability to generate revenue from future product sales and its ability to achieve and maintain profitability. These and other risks and uncertainties are described more fully in the sections entitled “Risk Factors” and “Cautionary Note Regarding Forward-Looking Statements” in the Company’s Annual Report on Form 10-K for the year ended December 31, 2022 filed with the SEC on April 17, 2023 and in the Company’s other filings with the SEC.</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Sioban Hickie, ICR, Inc.</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DragonflyIR@icrinc.com</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200"/>
        <w:gridCol w:w="60"/>
        <w:gridCol w:w="140"/>
        <w:gridCol w:w="755"/>
        <w:gridCol w:w="95"/>
        <w:gridCol w:w="60"/>
        <w:gridCol w:w="140"/>
        <w:gridCol w:w="680"/>
        <w:gridCol w:w="75"/>
      </w:tblGrid>
      <w:tr>
        <w:trPr/>
        <w:tc>
          <w:tcPr>
            <w:tcW w:w="8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rPr/>
            </w:pPr>
            <w:r>
              <w:rPr/>
              <w:t> </w:t>
            </w:r>
          </w:p>
        </w:tc>
      </w:tr>
      <w:tr>
        <w:trPr/>
        <w:tc>
          <w:tcPr>
            <w:tcW w:w="8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8200" w:type="dxa"/>
            <w:tcBorders/>
            <w:shd w:fill="CCEEFF" w:val="clear"/>
            <w:vAlign w:val="center"/>
          </w:tcPr>
          <w:p>
            <w:pPr>
              <w:pStyle w:val="TableContents"/>
              <w:spacing w:before="0" w:after="283"/>
              <w:jc w:val="left"/>
              <w:rPr>
                <w:b/>
              </w:rPr>
            </w:pPr>
            <w:r>
              <w:rPr>
                <w:b/>
              </w:rPr>
              <w:t>Current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rPr/>
            </w:pPr>
            <w:r>
              <w:rPr/>
              <w:t>Cash</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17,781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680" w:type="dxa"/>
            <w:tcBorders/>
            <w:shd w:fill="FFFFFF" w:val="clear"/>
            <w:vAlign w:val="center"/>
          </w:tcPr>
          <w:p>
            <w:pPr>
              <w:pStyle w:val="TableContents"/>
              <w:spacing w:before="0" w:after="283"/>
              <w:jc w:val="right"/>
              <w:rPr/>
            </w:pPr>
            <w:r>
              <w:rPr/>
              <w:t>25,586</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Restricted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3,044</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Accounts receivable, net of allowance for doubtful accounts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1,444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783</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rPr/>
            </w:pPr>
            <w:r>
              <w:rPr/>
              <w:t>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49,846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27,127</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Prepaid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1,624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293</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Prepaid 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2,002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7,461</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Prepaid income tax</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525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Other current assets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1,787</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Total Current Assets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73,489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66,081</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b/>
              </w:rPr>
            </w:pPr>
            <w:r>
              <w:rPr>
                <w:b/>
              </w:rPr>
              <w:t>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Property and Equipment, Net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10,760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4,461</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Operating lease right of use asset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4,513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5,709</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b/>
              </w:rPr>
            </w:pPr>
            <w:r>
              <w:rPr>
                <w:b/>
              </w:rPr>
              <w:t>Total Assets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b/>
              </w:rPr>
            </w:pPr>
            <w:r>
              <w:rPr>
                <w:b/>
              </w:rPr>
              <w:t>88,762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b/>
              </w:rPr>
            </w:pPr>
            <w:r>
              <w:rPr>
                <w:b/>
              </w:rPr>
              <w:t>76,251</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b/>
              </w:rPr>
            </w:pPr>
            <w:r>
              <w:rPr>
                <w:b/>
              </w:rPr>
              <w:t>Current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Accounts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13,475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680" w:type="dxa"/>
            <w:tcBorders/>
            <w:shd w:fill="CCEEFF" w:val="clear"/>
            <w:vAlign w:val="center"/>
          </w:tcPr>
          <w:p>
            <w:pPr>
              <w:pStyle w:val="TableContents"/>
              <w:spacing w:before="0" w:after="283"/>
              <w:jc w:val="right"/>
              <w:rPr/>
            </w:pPr>
            <w:r>
              <w:rPr/>
              <w:t>11,360</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Accrued payroll and other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6,295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2,608</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Customer deposits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238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434</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Uncertain tax position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Income tax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631</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Notes payable, current portion, net of debt issuance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19,242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1,875</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Operating lease liability, current portion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1,188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1,082</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Total Current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40,566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17,990</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b/>
              </w:rPr>
            </w:pPr>
            <w:r>
              <w:rPr>
                <w:b/>
              </w:rPr>
              <w:t>Long-Term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Notes payable-non current, net of debt discount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37,053</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Warrant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32,831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Deferred tax liabilities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453</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Accrued expenses-long term</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492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Operating lease liability, net of current portion</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3,541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4,694</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Total Long-Term Liabilities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36,864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pPr>
            <w:r>
              <w:rPr/>
              <w:t>42,200</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b/>
              </w:rPr>
            </w:pPr>
            <w:r>
              <w:rPr>
                <w:b/>
              </w:rPr>
              <w:t>Total Liabilities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b/>
              </w:rPr>
            </w:pPr>
            <w:r>
              <w:rPr>
                <w:b/>
              </w:rPr>
              <w:t>77,430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b/>
              </w:rPr>
            </w:pPr>
            <w:r>
              <w:rPr>
                <w:b/>
              </w:rPr>
              <w:t>60,190</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rPr>
                <w:b/>
              </w:rPr>
            </w:pPr>
            <w:r>
              <w:rPr>
                <w:b/>
              </w:rPr>
              <w:t>Equity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Common stock, 170,000,000 shares at $0.0001 par value, authorized, 43,272,728 and 36,496,998 shares issued and outstanding as of December 31, 2022 and 2021, respectively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4</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Preferred stock, 5,000,000 shares at $0.0001 par value, authorized, no shares issued and outstanding as of December 31, 2022 and 2021, respectively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pPr>
            <w:r>
              <w:rPr/>
              <w:t>Additional paid in capital</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38,461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3,619</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pPr>
            <w:r>
              <w:rPr/>
              <w:t>Retained (deficit) earnings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(27,133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pPr>
            <w:r>
              <w:rPr/>
              <w:t>12,438</w:t>
            </w:r>
          </w:p>
        </w:tc>
        <w:tc>
          <w:tcPr>
            <w:tcW w:w="75" w:type="dxa"/>
            <w:tcBorders/>
            <w:shd w:fill="FFFFFF" w:val="clear"/>
            <w:vAlign w:val="center"/>
          </w:tcPr>
          <w:p>
            <w:pPr>
              <w:pStyle w:val="TableContents"/>
              <w:spacing w:before="0" w:after="283"/>
              <w:jc w:val="left"/>
              <w:rPr/>
            </w:pPr>
            <w:r>
              <w:rPr/>
              <w:t> </w:t>
            </w:r>
          </w:p>
        </w:tc>
      </w:tr>
      <w:tr>
        <w:trPr/>
        <w:tc>
          <w:tcPr>
            <w:tcW w:w="8200" w:type="dxa"/>
            <w:tcBorders/>
            <w:shd w:fill="CCEEFF" w:val="clear"/>
            <w:vAlign w:val="center"/>
          </w:tcPr>
          <w:p>
            <w:pPr>
              <w:pStyle w:val="TableContents"/>
              <w:spacing w:before="0" w:after="283"/>
              <w:jc w:val="left"/>
              <w:rPr>
                <w:b/>
              </w:rPr>
            </w:pPr>
            <w:r>
              <w:rPr>
                <w:b/>
              </w:rPr>
              <w:t>Total Equity</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11,332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b/>
              </w:rPr>
            </w:pPr>
            <w:r>
              <w:rPr>
                <w:b/>
              </w:rPr>
              <w:t>16,061</w:t>
            </w:r>
          </w:p>
        </w:tc>
        <w:tc>
          <w:tcPr>
            <w:tcW w:w="75" w:type="dxa"/>
            <w:tcBorders/>
            <w:shd w:fill="CCEEFF" w:val="clear"/>
            <w:vAlign w:val="center"/>
          </w:tcPr>
          <w:p>
            <w:pPr>
              <w:pStyle w:val="TableContents"/>
              <w:spacing w:before="0" w:after="283"/>
              <w:jc w:val="left"/>
              <w:rPr/>
            </w:pPr>
            <w:r>
              <w:rPr/>
              <w:t> </w:t>
            </w:r>
          </w:p>
        </w:tc>
      </w:tr>
      <w:tr>
        <w:trPr/>
        <w:tc>
          <w:tcPr>
            <w:tcW w:w="8200" w:type="dxa"/>
            <w:tcBorders/>
            <w:shd w:fill="FFFFFF" w:val="clear"/>
            <w:vAlign w:val="center"/>
          </w:tcPr>
          <w:p>
            <w:pPr>
              <w:pStyle w:val="TableContents"/>
              <w:spacing w:before="0" w:after="283"/>
              <w:jc w:val="left"/>
              <w:rPr>
                <w:b/>
              </w:rPr>
            </w:pPr>
            <w:r>
              <w:rPr>
                <w:b/>
              </w:rPr>
              <w:t>Total Liabilities and Shareholders’ Equity</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b/>
              </w:rPr>
            </w:pPr>
            <w:r>
              <w:rPr>
                <w:b/>
              </w:rPr>
              <w:t>88,762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b/>
              </w:rPr>
            </w:pPr>
            <w:r>
              <w:rPr>
                <w:b/>
              </w:rPr>
              <w:t>$</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b/>
              </w:rPr>
            </w:pPr>
            <w:r>
              <w:rPr>
                <w:b/>
              </w:rPr>
              <w:t>76,251</w:t>
            </w:r>
          </w:p>
        </w:tc>
        <w:tc>
          <w:tcPr>
            <w:tcW w:w="75"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jc w:val="center"/>
        <w:rPr>
          <w:caps w:val="false"/>
          <w:smallCaps w:val="false"/>
        </w:rPr>
      </w:pPr>
      <w:r>
        <w:rPr>
          <w:caps w:val="false"/>
          <w:smallCaps w:val="false"/>
        </w:rPr>
        <w:t> </w:t>
      </w:r>
    </w:p>
    <w:tbl>
      <w:tblPr>
        <w:tblW w:w="7265" w:type="dxa"/>
        <w:jc w:val="left"/>
        <w:tblInd w:w="0" w:type="dxa"/>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460" w:type="dxa"/>
            <w:tcBorders/>
            <w:shd w:fill="CCEEFF" w:val="clear"/>
            <w:vAlign w:val="center"/>
          </w:tcPr>
          <w:p>
            <w:pPr>
              <w:pStyle w:val="TableContents"/>
              <w:spacing w:before="0" w:after="283"/>
              <w:jc w:val="left"/>
              <w:rPr>
                <w:b/>
              </w:rPr>
            </w:pPr>
            <w:r>
              <w:rPr>
                <w:b/>
              </w:rPr>
              <w:t>Net Sales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86,251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78,000</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Cost of Goods Sold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62,247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48,375</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Gross Profit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24,004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29,625</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Research and development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2,764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2,689</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41,566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10,621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Selling and marketing</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13,671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9,848</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58,001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23,158</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(Loss) Income From Operations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(33,997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6,467</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Other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Interest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(6,945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(519</w:t>
            </w:r>
          </w:p>
        </w:tc>
        <w:tc>
          <w:tcPr>
            <w:tcW w:w="110" w:type="dxa"/>
            <w:tcBorders/>
            <w:shd w:fill="FFFFFF" w:val="clear"/>
            <w:vAlign w:val="center"/>
          </w:tcPr>
          <w:p>
            <w:pPr>
              <w:pStyle w:val="TableContents"/>
              <w:spacing w:before="0" w:after="283"/>
              <w:jc w:val="left"/>
              <w:rPr/>
            </w:pPr>
            <w:r>
              <w:rPr/>
              <w:t>)</w:t>
            </w:r>
          </w:p>
        </w:tc>
      </w:tr>
      <w:tr>
        <w:trPr/>
        <w:tc>
          <w:tcPr>
            <w:tcW w:w="4460" w:type="dxa"/>
            <w:tcBorders/>
            <w:shd w:fill="CCEEFF" w:val="clear"/>
            <w:vAlign w:val="center"/>
          </w:tcPr>
          <w:p>
            <w:pPr>
              <w:pStyle w:val="TableContents"/>
              <w:spacing w:before="0" w:after="283"/>
              <w:jc w:val="left"/>
              <w:rPr/>
            </w:pPr>
            <w:r>
              <w:rPr/>
              <w:t>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5,446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Debt extinguishment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(4,824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Total Other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(6,283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(518</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(Loss) Income Before Taxes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(40,280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5,949</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Income Tax (Benefit)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(709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1,611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Net (Loss) Income</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(39,571</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4,338</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(Loss) Earnings Per Share-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(1.03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0.12</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(Loss) Earnings Per Share-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(1.03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0.11</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Weighted Average Number of Shares-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38,565,307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35,579,137</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Weighted Average Number of Shares-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38,565,307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37,742,337</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830" w:type="dxa"/>
        <w:jc w:val="left"/>
        <w:tblInd w:w="0" w:type="dxa"/>
        <w:tblCellMar>
          <w:top w:w="0" w:type="dxa"/>
          <w:left w:w="0" w:type="dxa"/>
          <w:bottom w:w="0" w:type="dxa"/>
          <w:right w:w="0" w:type="dxa"/>
        </w:tblCellMar>
      </w:tblPr>
      <w:tblGrid>
        <w:gridCol w:w="7715"/>
        <w:gridCol w:w="60"/>
        <w:gridCol w:w="140"/>
        <w:gridCol w:w="755"/>
        <w:gridCol w:w="95"/>
        <w:gridCol w:w="60"/>
        <w:gridCol w:w="140"/>
        <w:gridCol w:w="755"/>
        <w:gridCol w:w="110"/>
      </w:tblGrid>
      <w:tr>
        <w:trPr/>
        <w:tc>
          <w:tcPr>
            <w:tcW w:w="77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77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7715" w:type="dxa"/>
            <w:tcBorders/>
            <w:shd w:fill="CCEEFF" w:val="clear"/>
            <w:vAlign w:val="center"/>
          </w:tcPr>
          <w:p>
            <w:pPr>
              <w:pStyle w:val="TableContents"/>
              <w:spacing w:before="0" w:after="283"/>
              <w:jc w:val="left"/>
              <w:rPr>
                <w:b/>
              </w:rPr>
            </w:pPr>
            <w:r>
              <w:rPr>
                <w:b/>
              </w:rPr>
              <w:t>Cash flows from Operating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Net (Loss) Income</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(39,571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4,338</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Adjustments to Reconcile Net (Loss) Income to Net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Used in Operating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Stock 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2,467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734</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Debt extinguishment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4,824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Amortization of debt discount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1,822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206</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Change in fair market value of warrant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(5,446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Deferred tax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(453</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122</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Non-cash interest expense (paid-in kind)</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1,192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Provision for doubtful accounts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108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50</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Depreciation and amortization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891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617</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Loss on disposal of property and equipment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124</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Assumption of Warrant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1,990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Changes in Assets and Liabilities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Accounts receivable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(769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1,007</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rPr/>
            </w:pPr>
            <w:r>
              <w:rPr/>
              <w:t>Inventories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(22,719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(21,179</w:t>
            </w:r>
          </w:p>
        </w:tc>
        <w:tc>
          <w:tcPr>
            <w:tcW w:w="110" w:type="dxa"/>
            <w:tcBorders/>
            <w:shd w:fill="CCEEFF" w:val="clear"/>
            <w:vAlign w:val="center"/>
          </w:tcPr>
          <w:p>
            <w:pPr>
              <w:pStyle w:val="TableContents"/>
              <w:spacing w:before="0" w:after="283"/>
              <w:jc w:val="left"/>
              <w:rPr/>
            </w:pPr>
            <w:r>
              <w:rPr/>
              <w:t>)</w:t>
            </w:r>
          </w:p>
        </w:tc>
      </w:tr>
      <w:tr>
        <w:trPr/>
        <w:tc>
          <w:tcPr>
            <w:tcW w:w="7715" w:type="dxa"/>
            <w:tcBorders/>
            <w:shd w:fill="FFFFFF" w:val="clear"/>
            <w:vAlign w:val="center"/>
          </w:tcPr>
          <w:p>
            <w:pPr>
              <w:pStyle w:val="TableContents"/>
              <w:spacing w:before="0" w:after="283"/>
              <w:jc w:val="left"/>
              <w:rPr/>
            </w:pPr>
            <w:r>
              <w:rPr/>
              <w:t>Prepaid expenses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(1,467</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58</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Prepaid inventory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5,459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(6,353</w:t>
            </w:r>
          </w:p>
        </w:tc>
        <w:tc>
          <w:tcPr>
            <w:tcW w:w="110" w:type="dxa"/>
            <w:tcBorders/>
            <w:shd w:fill="CCEEFF" w:val="clear"/>
            <w:vAlign w:val="center"/>
          </w:tcPr>
          <w:p>
            <w:pPr>
              <w:pStyle w:val="TableContents"/>
              <w:spacing w:before="0" w:after="283"/>
              <w:jc w:val="left"/>
              <w:rPr/>
            </w:pPr>
            <w:r>
              <w:rPr/>
              <w:t>)</w:t>
            </w:r>
          </w:p>
        </w:tc>
      </w:tr>
      <w:tr>
        <w:trPr/>
        <w:tc>
          <w:tcPr>
            <w:tcW w:w="7715" w:type="dxa"/>
            <w:tcBorders/>
            <w:shd w:fill="FFFFFF" w:val="clear"/>
            <w:vAlign w:val="center"/>
          </w:tcPr>
          <w:p>
            <w:pPr>
              <w:pStyle w:val="TableContents"/>
              <w:spacing w:before="0" w:after="283"/>
              <w:jc w:val="left"/>
              <w:rPr/>
            </w:pPr>
            <w:r>
              <w:rPr/>
              <w:t>Other current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1,520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(1,214</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jc w:val="left"/>
              <w:rPr/>
            </w:pPr>
            <w:r>
              <w:rPr/>
              <w:t>Other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1,196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1,029</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Income taxes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(1,156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(651</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jc w:val="left"/>
              <w:rPr/>
            </w:pPr>
            <w:r>
              <w:rPr/>
              <w:t>Accounts payable and accrued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4,428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8,903</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Uncertain tax position liability</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128</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(19</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jc w:val="left"/>
              <w:rPr/>
            </w:pPr>
            <w:r>
              <w:rPr/>
              <w:t>Customer deposits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(196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(1,345</w:t>
            </w:r>
          </w:p>
        </w:tc>
        <w:tc>
          <w:tcPr>
            <w:tcW w:w="110" w:type="dxa"/>
            <w:tcBorders/>
            <w:shd w:fill="CCEEFF" w:val="clear"/>
            <w:vAlign w:val="center"/>
          </w:tcPr>
          <w:p>
            <w:pPr>
              <w:pStyle w:val="TableContents"/>
              <w:spacing w:before="0" w:after="283"/>
              <w:jc w:val="left"/>
              <w:rPr/>
            </w:pPr>
            <w:r>
              <w:rPr/>
              <w:t>)</w:t>
            </w:r>
          </w:p>
        </w:tc>
      </w:tr>
      <w:tr>
        <w:trPr/>
        <w:tc>
          <w:tcPr>
            <w:tcW w:w="7715" w:type="dxa"/>
            <w:tcBorders/>
            <w:shd w:fill="FFFFFF" w:val="clear"/>
            <w:vAlign w:val="center"/>
          </w:tcPr>
          <w:p>
            <w:pPr>
              <w:pStyle w:val="TableContents"/>
              <w:spacing w:before="0" w:after="283"/>
              <w:jc w:val="left"/>
              <w:rPr/>
            </w:pPr>
            <w:r>
              <w:rPr/>
              <w:t>Total Adjustments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(6,125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(17,911</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jc w:val="left"/>
              <w:rPr>
                <w:b/>
              </w:rPr>
            </w:pPr>
            <w:r>
              <w:rPr>
                <w:b/>
              </w:rPr>
              <w:t>Net Cash Used in Operating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(45,696</w:t>
            </w:r>
          </w:p>
        </w:tc>
        <w:tc>
          <w:tcPr>
            <w:tcW w:w="95" w:type="dxa"/>
            <w:tcBorders/>
            <w:shd w:fill="CCEEFF" w:val="clear"/>
            <w:vAlign w:val="center"/>
          </w:tcPr>
          <w:p>
            <w:pPr>
              <w:pStyle w:val="TableContents"/>
              <w:spacing w:before="0" w:after="283"/>
              <w:jc w:val="left"/>
              <w:rPr>
                <w:b/>
              </w:rPr>
            </w:pPr>
            <w:r>
              <w:rPr>
                <w:b/>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(13,573</w:t>
            </w:r>
          </w:p>
        </w:tc>
        <w:tc>
          <w:tcPr>
            <w:tcW w:w="110" w:type="dxa"/>
            <w:tcBorders/>
            <w:shd w:fill="CCEEFF" w:val="clear"/>
            <w:vAlign w:val="center"/>
          </w:tcPr>
          <w:p>
            <w:pPr>
              <w:pStyle w:val="TableContents"/>
              <w:spacing w:before="0" w:after="283"/>
              <w:jc w:val="left"/>
              <w:rPr>
                <w:b/>
              </w:rPr>
            </w:pPr>
            <w:r>
              <w:rPr>
                <w:b/>
              </w:rPr>
              <w:t>)</w:t>
            </w:r>
          </w:p>
        </w:tc>
      </w:tr>
      <w:tr>
        <w:trPr/>
        <w:tc>
          <w:tcPr>
            <w:tcW w:w="77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b/>
              </w:rPr>
            </w:pPr>
            <w:r>
              <w:rPr>
                <w:b/>
              </w:rPr>
              <w:t>Cash Flows From Investing Activities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Proceeds from disposal of property and equipment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35</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61</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Purchase of property and equipment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(6,862</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(2,970</w:t>
            </w:r>
          </w:p>
        </w:tc>
        <w:tc>
          <w:tcPr>
            <w:tcW w:w="110" w:type="dxa"/>
            <w:tcBorders/>
            <w:shd w:fill="CCEEFF" w:val="clear"/>
            <w:vAlign w:val="center"/>
          </w:tcPr>
          <w:p>
            <w:pPr>
              <w:pStyle w:val="TableContents"/>
              <w:spacing w:before="0" w:after="283"/>
              <w:jc w:val="left"/>
              <w:rPr/>
            </w:pPr>
            <w:r>
              <w:rPr/>
              <w:t>)</w:t>
            </w:r>
          </w:p>
        </w:tc>
      </w:tr>
      <w:tr>
        <w:trPr/>
        <w:tc>
          <w:tcPr>
            <w:tcW w:w="7715" w:type="dxa"/>
            <w:tcBorders/>
            <w:shd w:fill="FFFFFF" w:val="clear"/>
            <w:vAlign w:val="center"/>
          </w:tcPr>
          <w:p>
            <w:pPr>
              <w:pStyle w:val="TableContents"/>
              <w:spacing w:before="0" w:after="283"/>
              <w:jc w:val="left"/>
              <w:rPr>
                <w:b/>
              </w:rPr>
            </w:pPr>
            <w:r>
              <w:rPr>
                <w:b/>
              </w:rPr>
              <w:t>Net Cash Used in Investing Activities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b/>
              </w:rPr>
            </w:pPr>
            <w:r>
              <w:rPr>
                <w:b/>
              </w:rPr>
              <w:t>(6,827</w:t>
            </w:r>
          </w:p>
        </w:tc>
        <w:tc>
          <w:tcPr>
            <w:tcW w:w="95" w:type="dxa"/>
            <w:tcBorders/>
            <w:shd w:fill="FFFFFF" w:val="clear"/>
            <w:vAlign w:val="center"/>
          </w:tcPr>
          <w:p>
            <w:pPr>
              <w:pStyle w:val="TableContents"/>
              <w:spacing w:before="0" w:after="283"/>
              <w:jc w:val="left"/>
              <w:rPr>
                <w:b/>
              </w:rPr>
            </w:pPr>
            <w:r>
              <w:rPr>
                <w:b/>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b/>
              </w:rPr>
            </w:pPr>
            <w:r>
              <w:rPr>
                <w:b/>
              </w:rPr>
              <w:t>(2,909</w:t>
            </w:r>
          </w:p>
        </w:tc>
        <w:tc>
          <w:tcPr>
            <w:tcW w:w="110" w:type="dxa"/>
            <w:tcBorders/>
            <w:shd w:fill="FFFFFF" w:val="clear"/>
            <w:vAlign w:val="center"/>
          </w:tcPr>
          <w:p>
            <w:pPr>
              <w:pStyle w:val="TableContents"/>
              <w:spacing w:before="0" w:after="283"/>
              <w:jc w:val="left"/>
              <w:rPr>
                <w:b/>
              </w:rPr>
            </w:pPr>
            <w:r>
              <w:rPr>
                <w:b/>
              </w:rPr>
              <w:t>)</w:t>
            </w:r>
          </w:p>
        </w:tc>
      </w:tr>
      <w:tr>
        <w:trPr/>
        <w:tc>
          <w:tcPr>
            <w:tcW w:w="77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b/>
              </w:rPr>
            </w:pPr>
            <w:r>
              <w:rPr>
                <w:b/>
              </w:rPr>
              <w:t>Cash Flows From Financing Activities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Proceeds from term loan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75,000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Proceeds from note payable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45,000</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Repayment from note payable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(45,000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Payments of debt issuance costs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(4,032</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(6,278</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rPr/>
            </w:pPr>
            <w:r>
              <w:rPr/>
              <w:t>Proceeds from exercise of options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706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184</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Proceeds from stock purchase agreement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15,000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Proceeds from revolving note agreement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5,000</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Repayments of revolving note agreement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(5,000</w:t>
            </w:r>
          </w:p>
        </w:tc>
        <w:tc>
          <w:tcPr>
            <w:tcW w:w="110" w:type="dxa"/>
            <w:tcBorders/>
            <w:shd w:fill="FFFFFF" w:val="clear"/>
            <w:vAlign w:val="center"/>
          </w:tcPr>
          <w:p>
            <w:pPr>
              <w:pStyle w:val="TableContents"/>
              <w:spacing w:before="0" w:after="283"/>
              <w:jc w:val="left"/>
              <w:rPr/>
            </w:pPr>
            <w:r>
              <w:rPr/>
              <w:t>)</w:t>
            </w:r>
          </w:p>
        </w:tc>
      </w:tr>
      <w:tr>
        <w:trPr/>
        <w:tc>
          <w:tcPr>
            <w:tcW w:w="7715" w:type="dxa"/>
            <w:tcBorders/>
            <w:shd w:fill="CCEEFF" w:val="clear"/>
            <w:vAlign w:val="center"/>
          </w:tcPr>
          <w:p>
            <w:pPr>
              <w:pStyle w:val="TableContents"/>
              <w:spacing w:before="0" w:after="283"/>
              <w:jc w:val="left"/>
              <w:rPr>
                <w:b/>
              </w:rPr>
            </w:pPr>
            <w:r>
              <w:rPr>
                <w:b/>
              </w:rPr>
              <w:t>Net Cash Provided by Financing Activities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41,674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b/>
              </w:rPr>
            </w:pPr>
            <w:r>
              <w:rPr>
                <w:b/>
              </w:rPr>
              <w:t>38,906</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Net (Decrease) / Increase in Cash and Restricted Cash</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(10,849</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22,424</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Beginning cash and restricted cash</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28,630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6,206</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b/>
              </w:rPr>
            </w:pPr>
            <w:r>
              <w:rPr>
                <w:b/>
              </w:rPr>
              <w:t>Ending cash and restricted cash</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b/>
              </w:rPr>
            </w:pPr>
            <w:r>
              <w:rPr>
                <w:b/>
              </w:rPr>
              <w:t>17,781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b/>
              </w:rPr>
            </w:pPr>
            <w:r>
              <w:rPr>
                <w:b/>
              </w:rPr>
              <w:t>28,630</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Supplemental Disclosures of Cash Flow Information: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Cash paid for income taxes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773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2,390</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Cash paid for interest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2,252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313</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Supplemental Non-Cash Items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Receivable of options exercised</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250</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Purchases of property and equipment, not yet paid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419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255</w:t>
            </w:r>
          </w:p>
        </w:tc>
        <w:tc>
          <w:tcPr>
            <w:tcW w:w="110" w:type="dxa"/>
            <w:tcBorders/>
            <w:shd w:fill="FFFFFF" w:val="clear"/>
            <w:vAlign w:val="center"/>
          </w:tcPr>
          <w:p>
            <w:pPr>
              <w:pStyle w:val="TableContents"/>
              <w:spacing w:before="0" w:after="283"/>
              <w:jc w:val="left"/>
              <w:rPr/>
            </w:pPr>
            <w:r>
              <w:rPr/>
              <w:t> </w:t>
            </w:r>
          </w:p>
        </w:tc>
      </w:tr>
      <w:tr>
        <w:trPr/>
        <w:tc>
          <w:tcPr>
            <w:tcW w:w="7715" w:type="dxa"/>
            <w:tcBorders/>
            <w:shd w:fill="CCEEFF" w:val="clear"/>
            <w:vAlign w:val="center"/>
          </w:tcPr>
          <w:p>
            <w:pPr>
              <w:pStyle w:val="TableContents"/>
              <w:spacing w:before="0" w:after="283"/>
              <w:jc w:val="left"/>
              <w:rPr/>
            </w:pPr>
            <w:r>
              <w:rPr/>
              <w:t>Recognition of right of use asset obtained in exchange for operating lease liability</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spacing w:before="0" w:after="283"/>
              <w:jc w:val="right"/>
              <w:rPr/>
            </w:pPr>
            <w:r>
              <w:rPr/>
              <w:t>5,745</w:t>
            </w:r>
          </w:p>
        </w:tc>
        <w:tc>
          <w:tcPr>
            <w:tcW w:w="110" w:type="dxa"/>
            <w:tcBorders/>
            <w:shd w:fill="CCEEFF" w:val="clear"/>
            <w:vAlign w:val="center"/>
          </w:tcPr>
          <w:p>
            <w:pPr>
              <w:pStyle w:val="TableContents"/>
              <w:spacing w:before="0" w:after="283"/>
              <w:jc w:val="left"/>
              <w:rPr/>
            </w:pPr>
            <w:r>
              <w:rPr/>
              <w:t> </w:t>
            </w:r>
          </w:p>
        </w:tc>
      </w:tr>
      <w:tr>
        <w:trPr/>
        <w:tc>
          <w:tcPr>
            <w:tcW w:w="7715" w:type="dxa"/>
            <w:tcBorders/>
            <w:shd w:fill="FFFFFF" w:val="clear"/>
            <w:vAlign w:val="center"/>
          </w:tcPr>
          <w:p>
            <w:pPr>
              <w:pStyle w:val="TableContents"/>
              <w:spacing w:before="0" w:after="283"/>
              <w:jc w:val="left"/>
              <w:rPr/>
            </w:pPr>
            <w:r>
              <w:rPr/>
              <w:t>Cashless exercise of liability classified warrants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16,669</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rPr>
          <w:caps w:val="false"/>
          <w:smallCaps w:val="false"/>
        </w:rPr>
      </w:pPr>
      <w:r>
        <w:rPr>
          <w:caps w:val="false"/>
          <w:smallCaps w:val="false"/>
        </w:rPr>
        <w:t> </w:t>
      </w:r>
    </w:p>
    <w:tbl>
      <w:tblPr>
        <w:tblW w:w="7265" w:type="dxa"/>
        <w:jc w:val="left"/>
        <w:tblInd w:w="0" w:type="dxa"/>
        <w:tblCellMar>
          <w:top w:w="0" w:type="dxa"/>
          <w:left w:w="0" w:type="dxa"/>
          <w:bottom w:w="0" w:type="dxa"/>
          <w:right w:w="0" w:type="dxa"/>
        </w:tblCellMar>
      </w:tblPr>
      <w:tblGrid>
        <w:gridCol w:w="4460"/>
        <w:gridCol w:w="60"/>
        <w:gridCol w:w="140"/>
        <w:gridCol w:w="1100"/>
        <w:gridCol w:w="95"/>
        <w:gridCol w:w="60"/>
        <w:gridCol w:w="140"/>
        <w:gridCol w:w="1100"/>
        <w:gridCol w:w="110"/>
      </w:tblGrid>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jc w:val="center"/>
              <w:rPr>
                <w:b/>
              </w:rPr>
            </w:pPr>
            <w:r>
              <w:rPr>
                <w:b/>
              </w:rPr>
              <w:t>Unaudited</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rPr/>
            </w:pPr>
            <w:r>
              <w:rPr/>
              <w:t> </w:t>
            </w:r>
          </w:p>
        </w:tc>
      </w:tr>
      <w:tr>
        <w:trPr/>
        <w:tc>
          <w:tcPr>
            <w:tcW w:w="44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4460" w:type="dxa"/>
            <w:tcBorders/>
            <w:shd w:fill="CCEEFF" w:val="clear"/>
            <w:vAlign w:val="center"/>
          </w:tcPr>
          <w:p>
            <w:pPr>
              <w:pStyle w:val="TableContents"/>
              <w:spacing w:before="0" w:after="283"/>
              <w:jc w:val="left"/>
              <w:rPr>
                <w:b/>
              </w:rPr>
            </w:pPr>
            <w:r>
              <w:rPr>
                <w:b/>
              </w:rPr>
              <w:t>Net Sales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20,209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20,179</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Cost of Goods Sold</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15,766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14,061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Gross Profit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4,443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6,118</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Operating Expenses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Research and development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813</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790</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General and administrative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27,788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2,191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Selling and marketing</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4,340</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3,194</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Total Operating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32,941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6,175</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(Loss) Income From Operations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(28,498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(57</w:t>
            </w:r>
          </w:p>
        </w:tc>
        <w:tc>
          <w:tcPr>
            <w:tcW w:w="110" w:type="dxa"/>
            <w:tcBorders/>
            <w:shd w:fill="FFFFFF" w:val="clear"/>
            <w:vAlign w:val="center"/>
          </w:tcPr>
          <w:p>
            <w:pPr>
              <w:pStyle w:val="TableContents"/>
              <w:spacing w:before="0" w:after="283"/>
              <w:jc w:val="left"/>
              <w:rPr/>
            </w:pPr>
            <w:r>
              <w:rPr/>
              <w:t>)</w:t>
            </w:r>
          </w:p>
        </w:tc>
      </w:tr>
      <w:tr>
        <w:trPr/>
        <w:tc>
          <w:tcPr>
            <w:tcW w:w="44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b/>
              </w:rPr>
            </w:pPr>
            <w:r>
              <w:rPr>
                <w:b/>
              </w:rPr>
              <w:t>Other Income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pPr>
            <w:r>
              <w:rPr/>
              <w:t>Other Income</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40</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1</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Interest expense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(3,288</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(395</w:t>
            </w:r>
          </w:p>
        </w:tc>
        <w:tc>
          <w:tcPr>
            <w:tcW w:w="110" w:type="dxa"/>
            <w:tcBorders/>
            <w:shd w:fill="FFFFFF" w:val="clear"/>
            <w:vAlign w:val="center"/>
          </w:tcPr>
          <w:p>
            <w:pPr>
              <w:pStyle w:val="TableContents"/>
              <w:spacing w:before="0" w:after="283"/>
              <w:jc w:val="left"/>
              <w:rPr/>
            </w:pPr>
            <w:r>
              <w:rPr/>
              <w:t>)</w:t>
            </w:r>
          </w:p>
        </w:tc>
      </w:tr>
      <w:tr>
        <w:trPr/>
        <w:tc>
          <w:tcPr>
            <w:tcW w:w="4460" w:type="dxa"/>
            <w:tcBorders/>
            <w:shd w:fill="CCEEFF" w:val="clear"/>
            <w:vAlign w:val="center"/>
          </w:tcPr>
          <w:p>
            <w:pPr>
              <w:pStyle w:val="TableContents"/>
              <w:spacing w:before="0" w:after="283"/>
              <w:jc w:val="left"/>
              <w:rPr/>
            </w:pPr>
            <w:r>
              <w:rPr/>
              <w:t>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5,446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1100"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jc w:val="left"/>
              <w:rPr/>
            </w:pPr>
            <w:r>
              <w:rPr/>
              <w:t>Debt extinguishment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(4,824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Total Other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(2,626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(394</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(Loss) Income Before Taxes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(31,124</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(451</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Income Tax (Benefit) Expense</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991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spacing w:before="0" w:after="283"/>
              <w:jc w:val="right"/>
              <w:rPr/>
            </w:pPr>
            <w:r>
              <w:rPr/>
              <w:t>(371</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jc w:val="left"/>
              <w:rPr>
                <w:b/>
              </w:rPr>
            </w:pPr>
            <w:r>
              <w:rPr>
                <w:b/>
              </w:rPr>
              <w:t>Net (Loss) Income</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(32,115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(80</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1100"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460" w:type="dxa"/>
            <w:tcBorders/>
            <w:shd w:fill="CCEEFF" w:val="clear"/>
            <w:vAlign w:val="center"/>
          </w:tcPr>
          <w:p>
            <w:pPr>
              <w:pStyle w:val="TableContents"/>
              <w:spacing w:before="0" w:after="283"/>
              <w:rPr/>
            </w:pPr>
            <w:r>
              <w:rPr/>
              <w:t>(Loss) Earnings Per Share-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(0.75</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(0.00</w:t>
            </w:r>
          </w:p>
        </w:tc>
        <w:tc>
          <w:tcPr>
            <w:tcW w:w="110" w:type="dxa"/>
            <w:tcBorders/>
            <w:shd w:fill="CCEEFF" w:val="clear"/>
            <w:vAlign w:val="center"/>
          </w:tcPr>
          <w:p>
            <w:pPr>
              <w:pStyle w:val="TableContents"/>
              <w:spacing w:before="0" w:after="283"/>
              <w:jc w:val="left"/>
              <w:rPr/>
            </w:pPr>
            <w:r>
              <w:rPr/>
              <w:t>)</w:t>
            </w:r>
          </w:p>
        </w:tc>
      </w:tr>
      <w:tr>
        <w:trPr/>
        <w:tc>
          <w:tcPr>
            <w:tcW w:w="4460" w:type="dxa"/>
            <w:tcBorders/>
            <w:shd w:fill="FFFFFF" w:val="clear"/>
            <w:vAlign w:val="center"/>
          </w:tcPr>
          <w:p>
            <w:pPr>
              <w:pStyle w:val="TableContents"/>
              <w:spacing w:before="0" w:after="283"/>
              <w:rPr/>
            </w:pPr>
            <w:r>
              <w:rPr/>
              <w:t>(Loss) Earnings Per Share-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(0.75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(0.00</w:t>
            </w:r>
          </w:p>
        </w:tc>
        <w:tc>
          <w:tcPr>
            <w:tcW w:w="110" w:type="dxa"/>
            <w:tcBorders/>
            <w:shd w:fill="FFFFFF" w:val="clear"/>
            <w:vAlign w:val="center"/>
          </w:tcPr>
          <w:p>
            <w:pPr>
              <w:pStyle w:val="TableContents"/>
              <w:spacing w:before="0" w:after="283"/>
              <w:jc w:val="left"/>
              <w:rPr/>
            </w:pPr>
            <w:r>
              <w:rPr/>
              <w:t>)</w:t>
            </w:r>
          </w:p>
        </w:tc>
      </w:tr>
      <w:tr>
        <w:trPr/>
        <w:tc>
          <w:tcPr>
            <w:tcW w:w="4460" w:type="dxa"/>
            <w:tcBorders/>
            <w:shd w:fill="CCEEFF" w:val="clear"/>
            <w:vAlign w:val="center"/>
          </w:tcPr>
          <w:p>
            <w:pPr>
              <w:pStyle w:val="TableContents"/>
              <w:spacing w:before="0" w:after="283"/>
              <w:rPr/>
            </w:pPr>
            <w:r>
              <w:rPr/>
              <w:t>Weighted Average Number of Shares- Basic</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42,948,026</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spacing w:before="0" w:after="283"/>
              <w:jc w:val="right"/>
              <w:rPr/>
            </w:pPr>
            <w:r>
              <w:rPr/>
              <w:t>36,102,440</w:t>
            </w:r>
          </w:p>
        </w:tc>
        <w:tc>
          <w:tcPr>
            <w:tcW w:w="110" w:type="dxa"/>
            <w:tcBorders/>
            <w:shd w:fill="CCEEFF" w:val="clear"/>
            <w:vAlign w:val="center"/>
          </w:tcPr>
          <w:p>
            <w:pPr>
              <w:pStyle w:val="TableContents"/>
              <w:spacing w:before="0" w:after="283"/>
              <w:jc w:val="left"/>
              <w:rPr/>
            </w:pPr>
            <w:r>
              <w:rPr/>
              <w:t> </w:t>
            </w:r>
          </w:p>
        </w:tc>
      </w:tr>
      <w:tr>
        <w:trPr/>
        <w:tc>
          <w:tcPr>
            <w:tcW w:w="4460" w:type="dxa"/>
            <w:tcBorders/>
            <w:shd w:fill="FFFFFF" w:val="clear"/>
            <w:vAlign w:val="center"/>
          </w:tcPr>
          <w:p>
            <w:pPr>
              <w:pStyle w:val="TableContents"/>
              <w:spacing w:before="0" w:after="283"/>
              <w:rPr/>
            </w:pPr>
            <w:r>
              <w:rPr/>
              <w:t>Weighted Average Number of Shares- Diluted</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42,948,026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spacing w:before="0" w:after="283"/>
              <w:jc w:val="right"/>
              <w:rPr/>
            </w:pPr>
            <w:r>
              <w:rPr/>
              <w:t>36,102,440</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considered a non-GAAP financial measure under the rules of the SEC because it excludes certain amounts included in net loss calculated in accordance with GAAP. Specifically, the Company calculates Adjusted EBITDA by GAAP net loss adjusted to exclude stock-based compensation expense, business combination related expenses and other one-time, non-recurring items.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included Adjusted EBITDA because it is a key measure used by Dragonfly’s management team to evaluate its operating performance, generate future operating plans, and make strategic decisions, including those relating to operating expenses. As such, the Company believes Adjusted EBITDA is helpful in highlighting trends in the ongoing core operating results of the business.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pacing w:before="0" w:after="0"/>
        <w:ind w:left="0" w:right="0" w:firstLine="72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jc w:val="both"/>
              <w:rPr>
                <w:caps w:val="false"/>
                <w:smallCaps w:val="false"/>
              </w:rPr>
            </w:pPr>
            <w:r>
              <w:rPr>
                <w:caps w:val="false"/>
                <w:smallCaps w:val="false"/>
              </w:rPr>
              <w:t> </w:t>
            </w:r>
          </w:p>
        </w:tc>
        <w:tc>
          <w:tcPr>
            <w:tcW w:w="170" w:type="dxa"/>
            <w:tcBorders/>
            <w:shd w:fill="auto" w:val="clear"/>
            <w:vAlign w:val="center"/>
          </w:tcPr>
          <w:p>
            <w:pPr>
              <w:pStyle w:val="TableContents"/>
              <w:spacing w:before="0" w:after="283"/>
              <w:jc w:val="both"/>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120" w:after="283"/>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Reconciliations of Non-GAAP Financial Measures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EBITDA and Adjusted EBITDA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reconciliations of EBITDA and Adjusted EBITDA to the most directly comparable GAAP financial measure for each of the periods indicated.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jc w:val="center"/>
        <w:rPr>
          <w:caps w:val="false"/>
          <w:smallCaps w:val="false"/>
        </w:rPr>
      </w:pPr>
      <w:r>
        <w:rPr>
          <w:caps w:val="false"/>
          <w:smallCaps w:val="false"/>
        </w:rPr>
        <w:t> </w:t>
      </w:r>
    </w:p>
    <w:tbl>
      <w:tblPr>
        <w:tblW w:w="6870" w:type="dxa"/>
        <w:jc w:val="left"/>
        <w:tblInd w:w="0" w:type="dxa"/>
        <w:tblCellMar>
          <w:top w:w="0" w:type="dxa"/>
          <w:left w:w="0" w:type="dxa"/>
          <w:bottom w:w="0" w:type="dxa"/>
          <w:right w:w="0" w:type="dxa"/>
        </w:tblCellMar>
      </w:tblPr>
      <w:tblGrid>
        <w:gridCol w:w="4985"/>
        <w:gridCol w:w="60"/>
        <w:gridCol w:w="140"/>
        <w:gridCol w:w="755"/>
        <w:gridCol w:w="95"/>
        <w:gridCol w:w="60"/>
        <w:gridCol w:w="140"/>
        <w:gridCol w:w="560"/>
        <w:gridCol w:w="75"/>
      </w:tblGrid>
      <w:tr>
        <w:trPr/>
        <w:tc>
          <w:tcPr>
            <w:tcW w:w="49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8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75" w:type="dxa"/>
            <w:tcBorders/>
            <w:shd w:fill="auto" w:val="clear"/>
            <w:vAlign w:val="center"/>
          </w:tcPr>
          <w:p>
            <w:pPr>
              <w:pStyle w:val="TableContents"/>
              <w:spacing w:before="0" w:after="283"/>
              <w:jc w:val="center"/>
              <w:rPr/>
            </w:pPr>
            <w:r>
              <w:rPr/>
              <w:t> </w:t>
            </w:r>
          </w:p>
        </w:tc>
      </w:tr>
      <w:tr>
        <w:trPr/>
        <w:tc>
          <w:tcPr>
            <w:tcW w:w="49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95" w:type="dxa"/>
            <w:gridSpan w:val="2"/>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r>
        <w:trPr/>
        <w:tc>
          <w:tcPr>
            <w:tcW w:w="4985" w:type="dxa"/>
            <w:tcBorders/>
            <w:shd w:fill="CCEEFF" w:val="clear"/>
            <w:vAlign w:val="center"/>
          </w:tcPr>
          <w:p>
            <w:pPr>
              <w:pStyle w:val="TableContents"/>
              <w:spacing w:before="0" w:after="283"/>
              <w:jc w:val="left"/>
              <w:rPr/>
            </w:pPr>
            <w:r>
              <w:rPr/>
              <w:t>EBITDA Calculation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Net (Loss) Income</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(39,571</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560" w:type="dxa"/>
            <w:tcBorders/>
            <w:shd w:fill="FFFFFF" w:val="clear"/>
            <w:vAlign w:val="center"/>
          </w:tcPr>
          <w:p>
            <w:pPr>
              <w:pStyle w:val="TableContents"/>
              <w:spacing w:before="0" w:after="283"/>
              <w:jc w:val="right"/>
              <w:rPr/>
            </w:pPr>
            <w:r>
              <w:rPr/>
              <w:t>4,338</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Interest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6,945</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518</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Taxes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(709</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1,611</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Depreciation &amp; Amortization</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spacing w:before="0" w:after="283"/>
              <w:jc w:val="right"/>
              <w:rPr/>
            </w:pPr>
            <w:r>
              <w:rPr/>
              <w:t>891</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spacing w:before="0" w:after="283"/>
              <w:jc w:val="right"/>
              <w:rPr/>
            </w:pPr>
            <w:r>
              <w:rPr/>
              <w:t>617</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rPr/>
            </w:pPr>
            <w:r>
              <w:rPr/>
              <w:t>EBITDA</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755" w:type="dxa"/>
            <w:tcBorders/>
            <w:shd w:fill="FFFFFF" w:val="clear"/>
            <w:vAlign w:val="center"/>
          </w:tcPr>
          <w:p>
            <w:pPr>
              <w:pStyle w:val="TableContents"/>
              <w:spacing w:before="0" w:after="283"/>
              <w:jc w:val="right"/>
              <w:rPr/>
            </w:pPr>
            <w:r>
              <w:rPr/>
              <w:t>(32,444</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560" w:type="dxa"/>
            <w:tcBorders/>
            <w:shd w:fill="FFFFFF" w:val="clear"/>
            <w:vAlign w:val="center"/>
          </w:tcPr>
          <w:p>
            <w:pPr>
              <w:pStyle w:val="TableContents"/>
              <w:spacing w:before="0" w:after="283"/>
              <w:jc w:val="right"/>
              <w:rPr/>
            </w:pPr>
            <w:r>
              <w:rPr/>
              <w:t>7,084</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Adjustments to EBITDA</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Stock Based Compensation</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2,467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734</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ERP Implementation</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233</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Promissory Note Forgiveness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469</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Loss on Disposal of Assets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56</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124</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Separation Agreement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1,197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Debt-Extinguishment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755" w:type="dxa"/>
            <w:tcBorders/>
            <w:shd w:fill="FFFFFF" w:val="clear"/>
            <w:vAlign w:val="center"/>
          </w:tcPr>
          <w:p>
            <w:pPr>
              <w:pStyle w:val="TableContents"/>
              <w:spacing w:before="0" w:after="283"/>
              <w:jc w:val="right"/>
              <w:rPr/>
            </w:pPr>
            <w:r>
              <w:rPr/>
              <w:t>4,824</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pPr>
            <w:r>
              <w:rPr/>
              <w:t>-</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Change in fair market value of warrant liability</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755" w:type="dxa"/>
            <w:tcBorders/>
            <w:shd w:fill="CCEEFF" w:val="clear"/>
            <w:vAlign w:val="center"/>
          </w:tcPr>
          <w:p>
            <w:pPr>
              <w:pStyle w:val="TableContents"/>
              <w:spacing w:before="0" w:after="283"/>
              <w:jc w:val="right"/>
              <w:rPr/>
            </w:pPr>
            <w:r>
              <w:rPr/>
              <w:t>(5,446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pPr>
            <w:r>
              <w:rPr/>
              <w:t>-</w:t>
            </w:r>
          </w:p>
        </w:tc>
        <w:tc>
          <w:tcPr>
            <w:tcW w:w="75"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Business Combination Expenses</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spacing w:before="0" w:after="283"/>
              <w:jc w:val="right"/>
              <w:rPr/>
            </w:pPr>
            <w:r>
              <w:rPr/>
              <w:t>21,337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spacing w:before="0" w:after="283"/>
              <w:jc w:val="right"/>
              <w:rPr/>
            </w:pPr>
            <w:r>
              <w:rPr/>
              <w:t>295</w:t>
            </w:r>
          </w:p>
        </w:tc>
        <w:tc>
          <w:tcPr>
            <w:tcW w:w="75"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Adjusted EBITDA</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755" w:type="dxa"/>
            <w:tcBorders/>
            <w:shd w:fill="CCEEFF" w:val="clear"/>
            <w:vAlign w:val="center"/>
          </w:tcPr>
          <w:p>
            <w:pPr>
              <w:pStyle w:val="TableContents"/>
              <w:spacing w:before="0" w:after="283"/>
              <w:jc w:val="right"/>
              <w:rPr/>
            </w:pPr>
            <w:r>
              <w:rPr/>
              <w:t>(7,540</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w:t>
            </w:r>
          </w:p>
        </w:tc>
        <w:tc>
          <w:tcPr>
            <w:tcW w:w="560" w:type="dxa"/>
            <w:tcBorders/>
            <w:shd w:fill="CCEEFF" w:val="clear"/>
            <w:vAlign w:val="center"/>
          </w:tcPr>
          <w:p>
            <w:pPr>
              <w:pStyle w:val="TableContents"/>
              <w:spacing w:before="0" w:after="283"/>
              <w:jc w:val="right"/>
              <w:rPr/>
            </w:pPr>
            <w:r>
              <w:rPr/>
              <w:t>8,470</w:t>
            </w:r>
          </w:p>
        </w:tc>
        <w:tc>
          <w:tcPr>
            <w:tcW w:w="75" w:type="dxa"/>
            <w:tcBorders/>
            <w:shd w:fill="CCEE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Quarters Ended December 31, 2022 and 2021</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data)</w:t>
      </w:r>
    </w:p>
    <w:p>
      <w:pPr>
        <w:pStyle w:val="TextBody"/>
        <w:spacing w:before="0" w:after="0"/>
        <w:ind w:left="0" w:right="0" w:hanging="0"/>
        <w:jc w:val="center"/>
        <w:rPr>
          <w:caps w:val="false"/>
          <w:smallCaps w:val="false"/>
        </w:rPr>
      </w:pPr>
      <w:r>
        <w:rPr>
          <w:caps w:val="false"/>
          <w:smallCaps w:val="false"/>
        </w:rPr>
        <w:t> </w:t>
      </w:r>
    </w:p>
    <w:tbl>
      <w:tblPr>
        <w:tblW w:w="7005" w:type="dxa"/>
        <w:jc w:val="left"/>
        <w:tblInd w:w="0" w:type="dxa"/>
        <w:tblCellMar>
          <w:top w:w="0" w:type="dxa"/>
          <w:left w:w="0" w:type="dxa"/>
          <w:bottom w:w="0" w:type="dxa"/>
          <w:right w:w="0" w:type="dxa"/>
        </w:tblCellMar>
      </w:tblPr>
      <w:tblGrid>
        <w:gridCol w:w="4985"/>
        <w:gridCol w:w="60"/>
        <w:gridCol w:w="172"/>
        <w:gridCol w:w="928"/>
        <w:gridCol w:w="95"/>
        <w:gridCol w:w="60"/>
        <w:gridCol w:w="140"/>
        <w:gridCol w:w="455"/>
        <w:gridCol w:w="110"/>
      </w:tblGrid>
      <w:tr>
        <w:trPr/>
        <w:tc>
          <w:tcPr>
            <w:tcW w:w="49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00" w:type="dxa"/>
            <w:gridSpan w:val="2"/>
            <w:tcBorders/>
            <w:shd w:fill="auto" w:val="clear"/>
            <w:vAlign w:val="center"/>
          </w:tcPr>
          <w:p>
            <w:pPr>
              <w:pStyle w:val="TableContents"/>
              <w:spacing w:before="0" w:after="283"/>
              <w:jc w:val="center"/>
              <w:rPr>
                <w:b/>
              </w:rPr>
            </w:pPr>
            <w:r>
              <w:rPr>
                <w:b/>
              </w:rPr>
              <w:t>Unaudited</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95" w:type="dxa"/>
            <w:gridSpan w:val="2"/>
            <w:tcBorders/>
            <w:shd w:fill="auto" w:val="clear"/>
            <w:vAlign w:val="center"/>
          </w:tcPr>
          <w:p>
            <w:pPr>
              <w:pStyle w:val="TableContents"/>
              <w:spacing w:before="0" w:after="283"/>
              <w:jc w:val="center"/>
              <w:rPr/>
            </w:pPr>
            <w:r>
              <w:rPr/>
              <w:t> </w:t>
            </w:r>
          </w:p>
        </w:tc>
        <w:tc>
          <w:tcPr>
            <w:tcW w:w="110" w:type="dxa"/>
            <w:tcBorders/>
            <w:shd w:fill="auto" w:val="clear"/>
            <w:vAlign w:val="center"/>
          </w:tcPr>
          <w:p>
            <w:pPr>
              <w:pStyle w:val="TableContents"/>
              <w:spacing w:before="0" w:after="283"/>
              <w:jc w:val="center"/>
              <w:rPr/>
            </w:pPr>
            <w:r>
              <w:rPr/>
              <w:t> </w:t>
            </w:r>
          </w:p>
        </w:tc>
      </w:tr>
      <w:tr>
        <w:trPr/>
        <w:tc>
          <w:tcPr>
            <w:tcW w:w="498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2022</w:t>
            </w:r>
          </w:p>
        </w:tc>
        <w:tc>
          <w:tcPr>
            <w:tcW w:w="95"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jc w:val="center"/>
              <w:rPr/>
            </w:pPr>
            <w:r>
              <w:rPr/>
              <w:t> </w:t>
            </w:r>
          </w:p>
        </w:tc>
        <w:tc>
          <w:tcPr>
            <w:tcW w:w="595" w:type="dxa"/>
            <w:gridSpan w:val="2"/>
            <w:tcBorders>
              <w:bottom w:val="single" w:sz="12" w:space="0" w:color="000000"/>
            </w:tcBorders>
            <w:shd w:fill="auto" w:val="clear"/>
            <w:tcMar>
              <w:bottom w:w="28" w:type="dxa"/>
            </w:tcMar>
            <w:vAlign w:val="center"/>
          </w:tcPr>
          <w:p>
            <w:pPr>
              <w:pStyle w:val="TableContents"/>
              <w:spacing w:before="0" w:after="283"/>
              <w:jc w:val="center"/>
              <w:rPr>
                <w:b/>
              </w:rPr>
            </w:pPr>
            <w:r>
              <w:rPr>
                <w:b/>
              </w:rPr>
              <w:t>2021</w:t>
            </w:r>
          </w:p>
        </w:tc>
        <w:tc>
          <w:tcPr>
            <w:tcW w:w="110" w:type="dxa"/>
            <w:tcBorders/>
            <w:shd w:fill="auto" w:val="clear"/>
            <w:vAlign w:val="center"/>
          </w:tcPr>
          <w:p>
            <w:pPr>
              <w:pStyle w:val="TableContents"/>
              <w:spacing w:before="0" w:after="283"/>
              <w:jc w:val="center"/>
              <w:rPr/>
            </w:pPr>
            <w:r>
              <w:rPr/>
              <w:t> </w:t>
            </w:r>
          </w:p>
        </w:tc>
      </w:tr>
      <w:tr>
        <w:trPr/>
        <w:tc>
          <w:tcPr>
            <w:tcW w:w="4985" w:type="dxa"/>
            <w:tcBorders/>
            <w:shd w:fill="CCEEFF" w:val="clear"/>
            <w:vAlign w:val="center"/>
          </w:tcPr>
          <w:p>
            <w:pPr>
              <w:pStyle w:val="TableContents"/>
              <w:spacing w:before="0" w:after="283"/>
              <w:jc w:val="left"/>
              <w:rPr/>
            </w:pPr>
            <w:r>
              <w:rPr/>
              <w:t>EBITDA Calculation</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Net (Loss) Income</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w:t>
            </w:r>
          </w:p>
        </w:tc>
        <w:tc>
          <w:tcPr>
            <w:tcW w:w="928" w:type="dxa"/>
            <w:tcBorders/>
            <w:shd w:fill="FFFFFF" w:val="clear"/>
            <w:vAlign w:val="center"/>
          </w:tcPr>
          <w:p>
            <w:pPr>
              <w:pStyle w:val="TableContents"/>
              <w:spacing w:before="0" w:after="283"/>
              <w:jc w:val="right"/>
              <w:rPr/>
            </w:pPr>
            <w:r>
              <w:rPr/>
              <w:t>(32,115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455" w:type="dxa"/>
            <w:tcBorders/>
            <w:shd w:fill="FFFFFF" w:val="clear"/>
            <w:vAlign w:val="center"/>
          </w:tcPr>
          <w:p>
            <w:pPr>
              <w:pStyle w:val="TableContents"/>
              <w:spacing w:before="0" w:after="283"/>
              <w:jc w:val="right"/>
              <w:rPr/>
            </w:pPr>
            <w:r>
              <w:rPr/>
              <w:t>(80</w:t>
            </w:r>
          </w:p>
        </w:tc>
        <w:tc>
          <w:tcPr>
            <w:tcW w:w="110" w:type="dxa"/>
            <w:tcBorders/>
            <w:shd w:fill="FFFFFF" w:val="clear"/>
            <w:vAlign w:val="center"/>
          </w:tcPr>
          <w:p>
            <w:pPr>
              <w:pStyle w:val="TableContents"/>
              <w:spacing w:before="0" w:after="283"/>
              <w:jc w:val="left"/>
              <w:rPr/>
            </w:pPr>
            <w:r>
              <w:rPr/>
              <w:t>)</w:t>
            </w:r>
          </w:p>
        </w:tc>
      </w:tr>
      <w:tr>
        <w:trPr/>
        <w:tc>
          <w:tcPr>
            <w:tcW w:w="4985" w:type="dxa"/>
            <w:tcBorders/>
            <w:shd w:fill="CCEEFF" w:val="clear"/>
            <w:vAlign w:val="center"/>
          </w:tcPr>
          <w:p>
            <w:pPr>
              <w:pStyle w:val="TableContents"/>
              <w:spacing w:before="0" w:after="283"/>
              <w:jc w:val="left"/>
              <w:rPr/>
            </w:pPr>
            <w:r>
              <w:rPr/>
              <w:t>Plus: Interest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3,288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394</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Taxes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928" w:type="dxa"/>
            <w:tcBorders/>
            <w:shd w:fill="FFFFFF" w:val="clear"/>
            <w:vAlign w:val="center"/>
          </w:tcPr>
          <w:p>
            <w:pPr>
              <w:pStyle w:val="TableContents"/>
              <w:spacing w:before="0" w:after="283"/>
              <w:jc w:val="right"/>
              <w:rPr/>
            </w:pPr>
            <w:r>
              <w:rPr/>
              <w:t>991</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455" w:type="dxa"/>
            <w:tcBorders/>
            <w:shd w:fill="FFFFFF" w:val="clear"/>
            <w:vAlign w:val="center"/>
          </w:tcPr>
          <w:p>
            <w:pPr>
              <w:pStyle w:val="TableContents"/>
              <w:spacing w:before="0" w:after="283"/>
              <w:jc w:val="right"/>
              <w:rPr/>
            </w:pPr>
            <w:r>
              <w:rPr/>
              <w:t>(371</w:t>
            </w:r>
          </w:p>
        </w:tc>
        <w:tc>
          <w:tcPr>
            <w:tcW w:w="110" w:type="dxa"/>
            <w:tcBorders/>
            <w:shd w:fill="FFFFFF" w:val="clear"/>
            <w:vAlign w:val="center"/>
          </w:tcPr>
          <w:p>
            <w:pPr>
              <w:pStyle w:val="TableContents"/>
              <w:spacing w:before="0" w:after="283"/>
              <w:jc w:val="left"/>
              <w:rPr/>
            </w:pPr>
            <w:r>
              <w:rPr/>
              <w:t>)</w:t>
            </w:r>
          </w:p>
        </w:tc>
      </w:tr>
      <w:tr>
        <w:trPr/>
        <w:tc>
          <w:tcPr>
            <w:tcW w:w="4985" w:type="dxa"/>
            <w:tcBorders/>
            <w:shd w:fill="CCEEFF" w:val="clear"/>
            <w:vAlign w:val="center"/>
          </w:tcPr>
          <w:p>
            <w:pPr>
              <w:pStyle w:val="TableContents"/>
              <w:spacing w:before="0" w:after="283"/>
              <w:jc w:val="left"/>
              <w:rPr/>
            </w:pPr>
            <w:r>
              <w:rPr/>
              <w:t>Plus: Depreciation &amp; Amortization</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center"/>
          </w:tcPr>
          <w:p>
            <w:pPr>
              <w:pStyle w:val="TableContents"/>
              <w:spacing w:before="0" w:after="283"/>
              <w:jc w:val="right"/>
              <w:rPr/>
            </w:pPr>
            <w:r>
              <w:rPr/>
              <w:t>243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spacing w:before="0" w:after="283"/>
              <w:jc w:val="right"/>
              <w:rPr/>
            </w:pPr>
            <w:r>
              <w:rPr/>
              <w:t>185</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rPr/>
            </w:pPr>
            <w:r>
              <w:rPr/>
              <w:t>EBITDA</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w:t>
            </w:r>
          </w:p>
        </w:tc>
        <w:tc>
          <w:tcPr>
            <w:tcW w:w="928" w:type="dxa"/>
            <w:tcBorders/>
            <w:shd w:fill="FFFFFF" w:val="clear"/>
            <w:vAlign w:val="center"/>
          </w:tcPr>
          <w:p>
            <w:pPr>
              <w:pStyle w:val="TableContents"/>
              <w:spacing w:before="0" w:after="283"/>
              <w:jc w:val="right"/>
              <w:rPr/>
            </w:pPr>
            <w:r>
              <w:rPr/>
              <w:t>(27,593</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455" w:type="dxa"/>
            <w:tcBorders/>
            <w:shd w:fill="FFFFFF" w:val="clear"/>
            <w:vAlign w:val="center"/>
          </w:tcPr>
          <w:p>
            <w:pPr>
              <w:pStyle w:val="TableContents"/>
              <w:spacing w:before="0" w:after="283"/>
              <w:jc w:val="right"/>
              <w:rPr/>
            </w:pPr>
            <w:r>
              <w:rPr/>
              <w:t>128</w:t>
            </w:r>
          </w:p>
        </w:tc>
        <w:tc>
          <w:tcPr>
            <w:tcW w:w="110"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 </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 </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Adjustments to EBITDA</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928" w:type="dxa"/>
            <w:tcBorders/>
            <w:shd w:fill="FFFFFF" w:val="clear"/>
            <w:vAlign w:val="center"/>
          </w:tcPr>
          <w:p>
            <w:pPr>
              <w:pStyle w:val="TableContents"/>
              <w:spacing w:before="0" w:after="283"/>
              <w:jc w:val="right"/>
              <w:rPr/>
            </w:pPr>
            <w:r>
              <w:rPr/>
              <w:t> </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455" w:type="dxa"/>
            <w:tcBorders/>
            <w:shd w:fill="FFFFFF" w:val="clear"/>
            <w:vAlign w:val="center"/>
          </w:tcPr>
          <w:p>
            <w:pPr>
              <w:pStyle w:val="TableContents"/>
              <w:spacing w:before="0" w:after="283"/>
              <w:jc w:val="right"/>
              <w:rPr/>
            </w:pPr>
            <w:r>
              <w:rPr/>
              <w:t> </w:t>
            </w:r>
          </w:p>
        </w:tc>
        <w:tc>
          <w:tcPr>
            <w:tcW w:w="110"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Stock Based Compensation</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1,312</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185</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ERP Implementation</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928" w:type="dxa"/>
            <w:tcBorders/>
            <w:shd w:fill="FFFFFF" w:val="clear"/>
            <w:vAlign w:val="center"/>
          </w:tcPr>
          <w:p>
            <w:pPr>
              <w:pStyle w:val="TableContents"/>
              <w:spacing w:before="0" w:after="283"/>
              <w:jc w:val="right"/>
              <w:rPr/>
            </w:pPr>
            <w:r>
              <w:rPr/>
              <w:t>-</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455" w:type="dxa"/>
            <w:tcBorders/>
            <w:shd w:fill="FFFFFF" w:val="clear"/>
            <w:vAlign w:val="center"/>
          </w:tcPr>
          <w:p>
            <w:pPr>
              <w:pStyle w:val="TableContents"/>
              <w:spacing w:before="0" w:after="283"/>
              <w:jc w:val="right"/>
              <w:rPr/>
            </w:pPr>
            <w:r>
              <w:rPr/>
              <w:t>32</w:t>
            </w:r>
          </w:p>
        </w:tc>
        <w:tc>
          <w:tcPr>
            <w:tcW w:w="110"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Loss on Disposal of Assets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(6</w:t>
            </w:r>
          </w:p>
        </w:tc>
        <w:tc>
          <w:tcPr>
            <w:tcW w:w="95" w:type="dxa"/>
            <w:tcBorders/>
            <w:shd w:fill="CCEEFF" w:val="clear"/>
            <w:vAlign w:val="center"/>
          </w:tcPr>
          <w:p>
            <w:pPr>
              <w:pStyle w:val="TableContents"/>
              <w:spacing w:before="0" w:after="283"/>
              <w:jc w:val="left"/>
              <w:rPr/>
            </w:pPr>
            <w:r>
              <w:rPr/>
              <w:t>)</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Separation Agreement</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928" w:type="dxa"/>
            <w:tcBorders/>
            <w:shd w:fill="FFFFFF" w:val="clear"/>
            <w:vAlign w:val="center"/>
          </w:tcPr>
          <w:p>
            <w:pPr>
              <w:pStyle w:val="TableContents"/>
              <w:spacing w:before="0" w:after="283"/>
              <w:jc w:val="right"/>
              <w:rPr/>
            </w:pPr>
            <w:r>
              <w:rPr/>
              <w:t>1,197</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455" w:type="dxa"/>
            <w:tcBorders/>
            <w:shd w:fill="FFFFFF" w:val="clear"/>
            <w:vAlign w:val="center"/>
          </w:tcPr>
          <w:p>
            <w:pPr>
              <w:pStyle w:val="TableContents"/>
              <w:spacing w:before="0" w:after="283"/>
              <w:jc w:val="right"/>
              <w:rPr/>
            </w:pPr>
            <w:r>
              <w:rPr/>
              <w:t>185</w:t>
            </w:r>
          </w:p>
        </w:tc>
        <w:tc>
          <w:tcPr>
            <w:tcW w:w="110"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Debt-Extinguishment</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jc w:val="left"/>
              <w:rPr/>
            </w:pPr>
            <w:r>
              <w:rPr/>
              <w:t> </w:t>
            </w:r>
          </w:p>
        </w:tc>
        <w:tc>
          <w:tcPr>
            <w:tcW w:w="928" w:type="dxa"/>
            <w:tcBorders/>
            <w:shd w:fill="CCEEFF" w:val="clear"/>
            <w:vAlign w:val="center"/>
          </w:tcPr>
          <w:p>
            <w:pPr>
              <w:pStyle w:val="TableContents"/>
              <w:spacing w:before="0" w:after="283"/>
              <w:jc w:val="right"/>
              <w:rPr/>
            </w:pPr>
            <w:r>
              <w:rPr/>
              <w:t>4,824</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455" w:type="dxa"/>
            <w:tcBorders/>
            <w:shd w:fill="CCEEFF" w:val="clear"/>
            <w:vAlign w:val="center"/>
          </w:tcPr>
          <w:p>
            <w:pPr>
              <w:pStyle w:val="TableContents"/>
              <w:spacing w:before="0" w:after="283"/>
              <w:jc w:val="right"/>
              <w:rPr/>
            </w:pPr>
            <w:r>
              <w:rPr/>
              <w:t>-</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Plus: Change in fair market value of warrant liability</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 </w:t>
            </w:r>
          </w:p>
        </w:tc>
        <w:tc>
          <w:tcPr>
            <w:tcW w:w="928" w:type="dxa"/>
            <w:tcBorders/>
            <w:shd w:fill="FFFFFF" w:val="clear"/>
            <w:vAlign w:val="center"/>
          </w:tcPr>
          <w:p>
            <w:pPr>
              <w:pStyle w:val="TableContents"/>
              <w:spacing w:before="0" w:after="283"/>
              <w:jc w:val="right"/>
              <w:rPr/>
            </w:pPr>
            <w:r>
              <w:rPr/>
              <w:t>(5,446</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455" w:type="dxa"/>
            <w:tcBorders/>
            <w:shd w:fill="FFFFFF" w:val="clear"/>
            <w:vAlign w:val="center"/>
          </w:tcPr>
          <w:p>
            <w:pPr>
              <w:pStyle w:val="TableContents"/>
              <w:spacing w:before="0" w:after="283"/>
              <w:jc w:val="right"/>
              <w:rPr/>
            </w:pPr>
            <w:r>
              <w:rPr/>
              <w:t>-</w:t>
            </w:r>
          </w:p>
        </w:tc>
        <w:tc>
          <w:tcPr>
            <w:tcW w:w="110" w:type="dxa"/>
            <w:tcBorders/>
            <w:shd w:fill="FFFFFF" w:val="clear"/>
            <w:vAlign w:val="center"/>
          </w:tcPr>
          <w:p>
            <w:pPr>
              <w:pStyle w:val="TableContents"/>
              <w:spacing w:before="0" w:after="283"/>
              <w:jc w:val="left"/>
              <w:rPr/>
            </w:pPr>
            <w:r>
              <w:rPr/>
              <w:t> </w:t>
            </w:r>
          </w:p>
        </w:tc>
      </w:tr>
      <w:tr>
        <w:trPr/>
        <w:tc>
          <w:tcPr>
            <w:tcW w:w="4985" w:type="dxa"/>
            <w:tcBorders/>
            <w:shd w:fill="CCEEFF" w:val="clear"/>
            <w:vAlign w:val="center"/>
          </w:tcPr>
          <w:p>
            <w:pPr>
              <w:pStyle w:val="TableContents"/>
              <w:spacing w:before="0" w:after="283"/>
              <w:jc w:val="left"/>
              <w:rPr/>
            </w:pPr>
            <w:r>
              <w:rPr/>
              <w:t>Plus: Business Combination Expenses</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928" w:type="dxa"/>
            <w:tcBorders>
              <w:bottom w:val="single" w:sz="12" w:space="0" w:color="000000"/>
            </w:tcBorders>
            <w:shd w:fill="CCEEFF" w:val="clear"/>
            <w:tcMar>
              <w:bottom w:w="28" w:type="dxa"/>
            </w:tcMar>
            <w:vAlign w:val="center"/>
          </w:tcPr>
          <w:p>
            <w:pPr>
              <w:pStyle w:val="TableContents"/>
              <w:spacing w:before="0" w:after="283"/>
              <w:jc w:val="right"/>
              <w:rPr/>
            </w:pPr>
            <w:r>
              <w:rPr/>
              <w:t>21,337</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spacing w:before="0" w:after="283"/>
              <w:jc w:val="right"/>
              <w:rPr/>
            </w:pPr>
            <w:r>
              <w:rPr/>
              <w:t>295</w:t>
            </w:r>
          </w:p>
        </w:tc>
        <w:tc>
          <w:tcPr>
            <w:tcW w:w="110" w:type="dxa"/>
            <w:tcBorders/>
            <w:shd w:fill="CCEEFF" w:val="clear"/>
            <w:vAlign w:val="center"/>
          </w:tcPr>
          <w:p>
            <w:pPr>
              <w:pStyle w:val="TableContents"/>
              <w:spacing w:before="0" w:after="283"/>
              <w:jc w:val="left"/>
              <w:rPr/>
            </w:pPr>
            <w:r>
              <w:rPr/>
              <w:t> </w:t>
            </w:r>
          </w:p>
        </w:tc>
      </w:tr>
      <w:tr>
        <w:trPr/>
        <w:tc>
          <w:tcPr>
            <w:tcW w:w="4985" w:type="dxa"/>
            <w:tcBorders/>
            <w:shd w:fill="FFFFFF" w:val="clear"/>
            <w:vAlign w:val="center"/>
          </w:tcPr>
          <w:p>
            <w:pPr>
              <w:pStyle w:val="TableContents"/>
              <w:spacing w:before="0" w:after="283"/>
              <w:jc w:val="left"/>
              <w:rPr/>
            </w:pPr>
            <w:r>
              <w:rPr/>
              <w:t>Adjusted EBITDA</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jc w:val="left"/>
              <w:rPr/>
            </w:pPr>
            <w:r>
              <w:rPr/>
              <w:t>$</w:t>
            </w:r>
          </w:p>
        </w:tc>
        <w:tc>
          <w:tcPr>
            <w:tcW w:w="928" w:type="dxa"/>
            <w:tcBorders/>
            <w:shd w:fill="FFFFFF" w:val="clear"/>
            <w:vAlign w:val="center"/>
          </w:tcPr>
          <w:p>
            <w:pPr>
              <w:pStyle w:val="TableContents"/>
              <w:spacing w:before="0" w:after="283"/>
              <w:jc w:val="right"/>
              <w:rPr/>
            </w:pPr>
            <w:r>
              <w:rPr/>
              <w:t>(4,375</w:t>
            </w:r>
          </w:p>
        </w:tc>
        <w:tc>
          <w:tcPr>
            <w:tcW w:w="95" w:type="dxa"/>
            <w:tcBorders/>
            <w:shd w:fill="FFFFFF" w:val="clear"/>
            <w:vAlign w:val="center"/>
          </w:tcPr>
          <w:p>
            <w:pPr>
              <w:pStyle w:val="TableContents"/>
              <w:spacing w:before="0" w:after="283"/>
              <w:jc w:val="left"/>
              <w:rPr/>
            </w:pPr>
            <w:r>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w:t>
            </w:r>
          </w:p>
        </w:tc>
        <w:tc>
          <w:tcPr>
            <w:tcW w:w="455" w:type="dxa"/>
            <w:tcBorders/>
            <w:shd w:fill="FFFFFF" w:val="clear"/>
            <w:vAlign w:val="center"/>
          </w:tcPr>
          <w:p>
            <w:pPr>
              <w:pStyle w:val="TableContents"/>
              <w:spacing w:before="0" w:after="283"/>
              <w:jc w:val="right"/>
              <w:rPr/>
            </w:pPr>
            <w:r>
              <w:rPr/>
              <w:t>825</w:t>
            </w:r>
          </w:p>
        </w:tc>
        <w:tc>
          <w:tcPr>
            <w:tcW w:w="110" w:type="dxa"/>
            <w:tcBorders/>
            <w:shd w:fill="FFFFFF" w:val="clear"/>
            <w:vAlign w:val="center"/>
          </w:tcPr>
          <w:p>
            <w:pPr>
              <w:pStyle w:val="TableContents"/>
              <w:spacing w:before="0" w:after="283"/>
              <w:jc w:val="left"/>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Dragonfly Energy Holdings Corp.</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3253</Words>
  <CharactersWithSpaces>21727</CharactersWithSpaces>
  <Paragraphs>2246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