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___)*</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Class A Common Stock, par value $0.0001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159561109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9000" w:hanging="4"/>
        <w:spacing w:after="0" w:line="504" w:lineRule="auto"/>
        <w:tabs>
          <w:tab w:leader="none" w:pos="1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20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CUSIP No.</w:t>
            </w:r>
          </w:p>
        </w:tc>
        <w:tc>
          <w:tcPr>
            <w:tcW w:w="2180" w:type="dxa"/>
            <w:vAlign w:val="bottom"/>
            <w:tcBorders>
              <w:top w:val="single" w:sz="8" w:color="auto"/>
              <w:right w:val="single" w:sz="8" w:color="auto"/>
            </w:tcBorders>
          </w:tcPr>
          <w:p>
            <w:pPr>
              <w:jc w:val="right"/>
              <w:ind w:right="1030"/>
              <w:spacing w:after="0"/>
              <w:rPr>
                <w:sz w:val="20"/>
                <w:szCs w:val="20"/>
                <w:color w:val="auto"/>
              </w:rPr>
            </w:pPr>
            <w:r>
              <w:rPr>
                <w:rFonts w:ascii="Arial" w:cs="Arial" w:eastAsia="Arial" w:hAnsi="Arial"/>
                <w:sz w:val="18"/>
                <w:szCs w:val="18"/>
                <w:b w:val="1"/>
                <w:bCs w:val="1"/>
                <w:color w:val="auto"/>
              </w:rPr>
              <w:t>159561109</w:t>
            </w:r>
          </w:p>
        </w:tc>
      </w:tr>
      <w:tr>
        <w:trPr>
          <w:trHeight w:val="81"/>
        </w:trPr>
        <w:tc>
          <w:tcPr>
            <w:tcW w:w="1200" w:type="dxa"/>
            <w:vAlign w:val="bottom"/>
            <w:tcBorders>
              <w:left w:val="single" w:sz="8" w:color="auto"/>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009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009005"/>
                    </a:xfrm>
                    <a:prstGeom prst="rect">
                      <a:avLst/>
                    </a:prstGeom>
                    <a:noFill/>
                  </pic:spPr>
                </pic:pic>
              </a:graphicData>
            </a:graphic>
          </wp:anchor>
        </w:drawing>
      </w:r>
    </w:p>
    <w:p>
      <w:pPr>
        <w:spacing w:after="0" w:line="299" w:lineRule="exact"/>
        <w:rPr>
          <w:sz w:val="20"/>
          <w:szCs w:val="20"/>
          <w:color w:val="auto"/>
        </w:rPr>
      </w:pPr>
    </w:p>
    <w:p>
      <w:pPr>
        <w:ind w:left="680" w:right="8040" w:hanging="569"/>
        <w:spacing w:after="0" w:line="501" w:lineRule="auto"/>
        <w:tabs>
          <w:tab w:leader="none" w:pos="6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Names of Reporting Persons </w:t>
      </w:r>
      <w:r>
        <w:rPr>
          <w:rFonts w:ascii="Arial" w:cs="Arial" w:eastAsia="Arial" w:hAnsi="Arial"/>
          <w:sz w:val="16"/>
          <w:szCs w:val="16"/>
          <w:color w:val="auto"/>
        </w:rPr>
        <w:t>HGC Investment Management Inc.</w:t>
      </w:r>
    </w:p>
    <w:p>
      <w:pPr>
        <w:spacing w:after="0" w:line="1" w:lineRule="exact"/>
        <w:rPr>
          <w:sz w:val="20"/>
          <w:szCs w:val="20"/>
          <w:color w:val="auto"/>
        </w:rPr>
      </w:pPr>
    </w:p>
    <w:p>
      <w:pPr>
        <w:ind w:left="680" w:hanging="569"/>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175" w:lineRule="exact"/>
        <w:rPr>
          <w:rFonts w:ascii="Arial" w:cs="Arial" w:eastAsia="Arial" w:hAnsi="Arial"/>
          <w:sz w:val="18"/>
          <w:szCs w:val="18"/>
          <w:b w:val="1"/>
          <w:bCs w:val="1"/>
          <w:color w:val="auto"/>
        </w:rPr>
      </w:pPr>
    </w:p>
    <w:p>
      <w:pPr>
        <w:ind w:left="1280" w:hanging="294"/>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280" w:hanging="294"/>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66" w:lineRule="exact"/>
        <w:rPr>
          <w:sz w:val="20"/>
          <w:szCs w:val="20"/>
          <w:color w:val="auto"/>
        </w:rPr>
      </w:pPr>
    </w:p>
    <w:p>
      <w:pPr>
        <w:ind w:left="680" w:hanging="569"/>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363" w:lineRule="exact"/>
        <w:rPr>
          <w:sz w:val="20"/>
          <w:szCs w:val="20"/>
          <w:color w:val="auto"/>
        </w:rPr>
      </w:pPr>
    </w:p>
    <w:p>
      <w:pPr>
        <w:ind w:left="680" w:right="7760" w:hanging="569"/>
        <w:spacing w:after="0" w:line="401"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Canada</w:t>
      </w:r>
    </w:p>
    <w:tbl>
      <w:tblPr>
        <w:tblLayout w:type="fixed"/>
        <w:tblInd w:w="0" w:type="dxa"/>
        <w:tblCellMar>
          <w:top w:w="0" w:type="dxa"/>
          <w:left w:w="0" w:type="dxa"/>
          <w:bottom w:w="0" w:type="dxa"/>
          <w:right w:w="0" w:type="dxa"/>
        </w:tblCellMar>
      </w:tblPr>
      <w:tr>
        <w:trPr>
          <w:trHeight w:val="292"/>
        </w:trPr>
        <w:tc>
          <w:tcPr>
            <w:tcW w:w="21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w:t>
            </w:r>
          </w:p>
        </w:tc>
        <w:tc>
          <w:tcPr>
            <w:tcW w:w="852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78"/>
        </w:trPr>
        <w:tc>
          <w:tcPr>
            <w:tcW w:w="21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81"/>
        </w:trPr>
        <w:tc>
          <w:tcPr>
            <w:tcW w:w="216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9"/>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6</w:t>
            </w:r>
          </w:p>
        </w:tc>
        <w:tc>
          <w:tcPr>
            <w:tcW w:w="8520" w:type="dxa"/>
            <w:vAlign w:val="bottom"/>
          </w:tcPr>
          <w:p>
            <w:pPr>
              <w:ind w:left="2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560" w:type="dxa"/>
            <w:vAlign w:val="bottom"/>
            <w:tcBorders>
              <w:right w:val="single" w:sz="8" w:color="auto"/>
            </w:tcBorders>
          </w:tcPr>
          <w:p>
            <w:pPr>
              <w:spacing w:after="0"/>
              <w:rPr>
                <w:sz w:val="18"/>
                <w:szCs w:val="18"/>
                <w:color w:val="auto"/>
              </w:rPr>
            </w:pPr>
          </w:p>
        </w:tc>
        <w:tc>
          <w:tcPr>
            <w:tcW w:w="85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53"/>
        </w:trPr>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560" w:type="dxa"/>
            <w:vAlign w:val="bottom"/>
            <w:tcBorders>
              <w:right w:val="single" w:sz="8" w:color="auto"/>
            </w:tcBorders>
          </w:tcPr>
          <w:p>
            <w:pPr>
              <w:spacing w:after="0"/>
              <w:rPr>
                <w:sz w:val="13"/>
                <w:szCs w:val="13"/>
                <w:color w:val="auto"/>
              </w:rPr>
            </w:pPr>
          </w:p>
        </w:tc>
        <w:tc>
          <w:tcPr>
            <w:tcW w:w="8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tcBorders>
              <w:right w:val="single" w:sz="8" w:color="auto"/>
            </w:tcBorders>
            <w:vMerge w:val="continue"/>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1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56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b w:val="1"/>
                <w:bCs w:val="1"/>
                <w:color w:val="auto"/>
              </w:rPr>
              <w:t>7</w:t>
            </w:r>
          </w:p>
        </w:tc>
        <w:tc>
          <w:tcPr>
            <w:tcW w:w="85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Reporting Person</w:t>
            </w:r>
          </w:p>
        </w:tc>
        <w:tc>
          <w:tcPr>
            <w:tcW w:w="560" w:type="dxa"/>
            <w:vAlign w:val="bottom"/>
            <w:tcBorders>
              <w:right w:val="single" w:sz="8" w:color="auto"/>
            </w:tcBorders>
            <w:vMerge w:val="continue"/>
          </w:tcPr>
          <w:p>
            <w:pPr>
              <w:spacing w:after="0"/>
              <w:rPr>
                <w:sz w:val="9"/>
                <w:szCs w:val="9"/>
                <w:color w:val="auto"/>
              </w:rPr>
            </w:pPr>
          </w:p>
        </w:tc>
        <w:tc>
          <w:tcPr>
            <w:tcW w:w="8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160" w:type="dxa"/>
            <w:vAlign w:val="bottom"/>
            <w:tcBorders>
              <w:right w:val="single" w:sz="8" w:color="auto"/>
            </w:tcBorders>
            <w:vMerge w:val="continue"/>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8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With:</w:t>
            </w:r>
          </w:p>
        </w:tc>
        <w:tc>
          <w:tcPr>
            <w:tcW w:w="560" w:type="dxa"/>
            <w:vAlign w:val="bottom"/>
            <w:tcBorders>
              <w:right w:val="single" w:sz="8" w:color="auto"/>
            </w:tcBorders>
          </w:tcPr>
          <w:p>
            <w:pPr>
              <w:spacing w:after="0"/>
              <w:rPr>
                <w:sz w:val="23"/>
                <w:szCs w:val="23"/>
                <w:color w:val="auto"/>
              </w:rPr>
            </w:pPr>
          </w:p>
        </w:tc>
        <w:tc>
          <w:tcPr>
            <w:tcW w:w="8520" w:type="dxa"/>
            <w:vAlign w:val="bottom"/>
          </w:tcPr>
          <w:p>
            <w:pPr>
              <w:ind w:left="300"/>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81"/>
        </w:trPr>
        <w:tc>
          <w:tcPr>
            <w:tcW w:w="2160" w:type="dxa"/>
            <w:vAlign w:val="bottom"/>
            <w:tcBorders>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1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8520" w:type="dxa"/>
            <w:vAlign w:val="bottom"/>
          </w:tcPr>
          <w:p>
            <w:pPr>
              <w:ind w:left="2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378"/>
        </w:trPr>
        <w:tc>
          <w:tcPr>
            <w:tcW w:w="216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2160" w:type="dxa"/>
            <w:vAlign w:val="bottom"/>
            <w:tcBorders>
              <w:bottom w:val="single" w:sz="8" w:color="auto"/>
              <w:right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85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80" w:right="5500" w:hanging="569"/>
        <w:spacing w:after="0" w:line="446"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925,000</w:t>
      </w:r>
    </w:p>
    <w:p>
      <w:pPr>
        <w:ind w:left="680" w:right="3880" w:hanging="569"/>
        <w:spacing w:after="0" w:line="446"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680" w:right="6760" w:hanging="569"/>
        <w:spacing w:after="0" w:line="446"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5.85%</w:t>
      </w:r>
    </w:p>
    <w:p>
      <w:pPr>
        <w:ind w:left="680" w:hanging="569"/>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175"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FI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5" w:lineRule="exact"/>
        <w:rPr>
          <w:sz w:val="20"/>
          <w:szCs w:val="20"/>
          <w:color w:val="auto"/>
        </w:rPr>
      </w:pPr>
    </w:p>
    <w:p>
      <w:pPr>
        <w:ind w:left="680" w:hanging="672"/>
        <w:spacing w:after="0"/>
        <w:tabs>
          <w:tab w:leader="none" w:pos="6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The name of the issuer is Chardan Nextech Acquisition 2 Corp. (the "Issuer")</w:t>
      </w:r>
    </w:p>
    <w:p>
      <w:pPr>
        <w:spacing w:after="0" w:line="182" w:lineRule="exact"/>
        <w:rPr>
          <w:rFonts w:ascii="Arial" w:cs="Arial" w:eastAsia="Arial" w:hAnsi="Arial"/>
          <w:sz w:val="22"/>
          <w:szCs w:val="22"/>
          <w:b w:val="1"/>
          <w:bCs w:val="1"/>
          <w:color w:val="auto"/>
        </w:rPr>
      </w:pPr>
    </w:p>
    <w:p>
      <w:pPr>
        <w:ind w:firstLine="8"/>
        <w:spacing w:after="0" w:line="256" w:lineRule="auto"/>
        <w:tabs>
          <w:tab w:leader="none" w:pos="67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The Issuer's principal executive offices are located at 17 State Street,</w:t>
      </w:r>
      <w:r>
        <w:rPr>
          <w:rFonts w:ascii="Arial" w:cs="Arial" w:eastAsia="Arial" w:hAnsi="Arial"/>
          <w:sz w:val="22"/>
          <w:szCs w:val="22"/>
          <w:b w:val="1"/>
          <w:bCs w:val="1"/>
          <w:color w:val="auto"/>
        </w:rPr>
        <w:t xml:space="preserve"> </w:t>
      </w:r>
      <w:r>
        <w:rPr>
          <w:rFonts w:ascii="Arial" w:cs="Arial" w:eastAsia="Arial" w:hAnsi="Arial"/>
          <w:sz w:val="22"/>
          <w:szCs w:val="22"/>
          <w:color w:val="auto"/>
        </w:rPr>
        <w:t>21st Floor, New York, NY 10004</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r>
        <w:rPr>
          <w:rFonts w:ascii="Arial" w:cs="Arial" w:eastAsia="Arial" w:hAnsi="Arial"/>
          <w:sz w:val="22"/>
          <w:szCs w:val="22"/>
          <w:color w:val="auto"/>
        </w:rPr>
        <w:t>.</w:t>
      </w:r>
    </w:p>
    <w:p>
      <w:pPr>
        <w:spacing w:after="0" w:line="206" w:lineRule="exact"/>
        <w:rPr>
          <w:sz w:val="20"/>
          <w:szCs w:val="20"/>
          <w:color w:val="auto"/>
        </w:rPr>
      </w:pPr>
    </w:p>
    <w:p>
      <w:pPr>
        <w:jc w:val="both"/>
        <w:ind w:left="660" w:hanging="652"/>
        <w:spacing w:after="0" w:line="251" w:lineRule="auto"/>
        <w:tabs>
          <w:tab w:leader="none" w:pos="681" w:val="left"/>
        </w:tabs>
        <w:numPr>
          <w:ilvl w:val="0"/>
          <w:numId w:val="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Name of Person Filing: </w:t>
      </w:r>
      <w:r>
        <w:rPr>
          <w:rFonts w:ascii="Arial" w:cs="Arial" w:eastAsia="Arial" w:hAnsi="Arial"/>
          <w:sz w:val="21"/>
          <w:szCs w:val="21"/>
          <w:color w:val="auto"/>
        </w:rPr>
        <w:t>This statement is filed by HGC Investment Management Inc., a company incorporated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laws of Canada, which serves as the investment manager to The HGC Fund LP, an Ontario limited partnership (the "Fund"), with respect to the Shares (as defined below) held by the Reporting Person on behalf of the Fund. The filing of this statement should not be construed as an admission that the Reporting Person is, for the purposes of Section 13 of the Act, the beneficial owner of the Shares reported herein.</w:t>
      </w:r>
    </w:p>
    <w:p>
      <w:pPr>
        <w:spacing w:after="0" w:line="168" w:lineRule="exact"/>
        <w:rPr>
          <w:rFonts w:ascii="Arial" w:cs="Arial" w:eastAsia="Arial" w:hAnsi="Arial"/>
          <w:sz w:val="21"/>
          <w:szCs w:val="21"/>
          <w:b w:val="1"/>
          <w:bCs w:val="1"/>
          <w:color w:val="auto"/>
        </w:rPr>
      </w:pPr>
    </w:p>
    <w:p>
      <w:pPr>
        <w:ind w:left="660" w:hanging="652"/>
        <w:spacing w:after="0" w:line="276" w:lineRule="auto"/>
        <w:tabs>
          <w:tab w:leader="none" w:pos="682"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The address of the business office of the 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Person is 1073 Yonge Street, 2</w:t>
      </w:r>
      <w:r>
        <w:rPr>
          <w:rFonts w:ascii="Arial" w:cs="Arial" w:eastAsia="Arial" w:hAnsi="Arial"/>
          <w:sz w:val="35"/>
          <w:szCs w:val="35"/>
          <w:color w:val="auto"/>
          <w:vertAlign w:val="superscript"/>
        </w:rPr>
        <w:t>nd</w:t>
      </w:r>
      <w:r>
        <w:rPr>
          <w:rFonts w:ascii="Arial" w:cs="Arial" w:eastAsia="Arial" w:hAnsi="Arial"/>
          <w:sz w:val="22"/>
          <w:szCs w:val="22"/>
          <w:color w:val="auto"/>
        </w:rPr>
        <w:t xml:space="preserve"> Floor, Toronto, Ontario M4W 2L2, Canada.</w:t>
      </w:r>
    </w:p>
    <w:p>
      <w:pPr>
        <w:spacing w:after="0" w:line="2" w:lineRule="exact"/>
        <w:rPr>
          <w:rFonts w:ascii="Arial" w:cs="Arial" w:eastAsia="Arial" w:hAnsi="Arial"/>
          <w:sz w:val="22"/>
          <w:szCs w:val="22"/>
          <w:b w:val="1"/>
          <w:bCs w:val="1"/>
          <w:color w:val="auto"/>
        </w:rPr>
      </w:pPr>
    </w:p>
    <w:p>
      <w:pPr>
        <w:ind w:left="680" w:hanging="672"/>
        <w:spacing w:after="0"/>
        <w:tabs>
          <w:tab w:leader="none" w:pos="6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w:t>
      </w:r>
      <w:r>
        <w:rPr>
          <w:rFonts w:ascii="Arial" w:cs="Arial" w:eastAsia="Arial" w:hAnsi="Arial"/>
          <w:sz w:val="22"/>
          <w:szCs w:val="22"/>
          <w:color w:val="auto"/>
        </w:rPr>
        <w:t>The citizenship of the Reporting Person is Canada</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Title and Class of Securities: </w:t>
      </w:r>
      <w:r>
        <w:rPr>
          <w:rFonts w:ascii="Arial" w:cs="Arial" w:eastAsia="Arial" w:hAnsi="Arial"/>
          <w:sz w:val="22"/>
          <w:szCs w:val="22"/>
          <w:color w:val="auto"/>
        </w:rPr>
        <w:t>Common Stock (the "Shares")</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CUSIP No.:   </w:t>
      </w:r>
      <w:r>
        <w:rPr>
          <w:rFonts w:ascii="Arial" w:cs="Arial" w:eastAsia="Arial" w:hAnsi="Arial"/>
          <w:sz w:val="22"/>
          <w:szCs w:val="22"/>
          <w:color w:val="auto"/>
        </w:rPr>
        <w:t>The CUSIP number of the Ordinary Shares is 159561109</w:t>
      </w:r>
    </w:p>
    <w:p>
      <w:pPr>
        <w:spacing w:after="0" w:line="206"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3.</w:t>
        <w:tab/>
        <w:t>If this statement is filed pursuant to §§ 240.13d-1(b) or 240.13d-2(b) or (c), check whether the person filing is a:</w:t>
      </w:r>
    </w:p>
    <w:p>
      <w:pPr>
        <w:spacing w:after="0" w:line="168"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right="20" w:hanging="1304"/>
        <w:spacing w:after="0" w:line="250" w:lineRule="auto"/>
        <w:tabs>
          <w:tab w:leader="none" w:pos="1329" w:val="left"/>
        </w:tabs>
        <w:numPr>
          <w:ilvl w:val="0"/>
          <w:numId w:val="10"/>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4" w:lineRule="exact"/>
        <w:rPr>
          <w:rFonts w:ascii="Arial" w:cs="Arial" w:eastAsia="Arial" w:hAnsi="Arial"/>
          <w:sz w:val="22"/>
          <w:szCs w:val="22"/>
          <w:color w:val="auto"/>
        </w:rPr>
      </w:pPr>
    </w:p>
    <w:p>
      <w:pPr>
        <w:ind w:left="1320" w:hanging="664"/>
        <w:spacing w:after="0"/>
        <w:tabs>
          <w:tab w:leader="none" w:pos="1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960" w:right="20" w:hanging="1304"/>
        <w:spacing w:after="0" w:line="239" w:lineRule="auto"/>
        <w:tabs>
          <w:tab w:leader="none" w:pos="1333" w:val="left"/>
        </w:tabs>
        <w:numPr>
          <w:ilvl w:val="0"/>
          <w:numId w:val="10"/>
        </w:numPr>
        <w:rPr>
          <w:rFonts w:ascii="Arial" w:cs="Arial" w:eastAsia="Arial" w:hAnsi="Arial"/>
          <w:sz w:val="22"/>
          <w:szCs w:val="22"/>
          <w:color w:val="auto"/>
        </w:rPr>
      </w:pPr>
      <w:r>
        <w:rPr>
          <w:rFonts w:ascii="Arial" w:cs="Arial" w:eastAsia="Arial" w:hAnsi="Arial"/>
          <w:sz w:val="22"/>
          <w:szCs w:val="22"/>
          <w:color w:val="auto"/>
        </w:rPr>
        <w:t>[_]Group, in accordance with Rule 240.13d-1(b)(1)(ii)(K). If filing as a non-U.S. institution in accordance with Rule 240.13d-1(b)(1)(ii)(J), please specify the type of institution:</w:t>
      </w:r>
    </w:p>
    <w:p>
      <w:pPr>
        <w:spacing w:after="0" w:line="236" w:lineRule="auto"/>
        <w:rPr>
          <w:sz w:val="20"/>
          <w:szCs w:val="20"/>
          <w:color w:val="auto"/>
        </w:rPr>
      </w:pPr>
      <w:r>
        <w:rPr>
          <w:rFonts w:ascii="Arial" w:cs="Arial" w:eastAsia="Arial" w:hAnsi="Arial"/>
          <w:sz w:val="22"/>
          <w:szCs w:val="22"/>
          <w:color w:val="auto"/>
        </w:rPr>
        <w:t>The Reporting Person is an investment fund manager, portfolio manager and exempt market dealer registered with the Ontario Securities Commission.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ind w:left="660"/>
        <w:spacing w:after="0"/>
        <w:rPr>
          <w:sz w:val="20"/>
          <w:szCs w:val="20"/>
          <w:color w:val="auto"/>
        </w:rPr>
      </w:pPr>
      <w:r>
        <w:rPr>
          <w:rFonts w:ascii="Arial" w:cs="Arial" w:eastAsia="Arial" w:hAnsi="Arial"/>
          <w:sz w:val="22"/>
          <w:szCs w:val="22"/>
          <w:color w:val="auto"/>
        </w:rPr>
        <w:t>____</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06"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Amount Beneficially Owned:  </w:t>
      </w:r>
      <w:r>
        <w:rPr>
          <w:rFonts w:ascii="Arial" w:cs="Arial" w:eastAsia="Arial" w:hAnsi="Arial"/>
          <w:sz w:val="22"/>
          <w:szCs w:val="22"/>
          <w:color w:val="auto"/>
        </w:rPr>
        <w:t>925,000</w:t>
      </w:r>
    </w:p>
    <w:p>
      <w:pPr>
        <w:spacing w:after="0" w:line="206" w:lineRule="exact"/>
        <w:rPr>
          <w:rFonts w:ascii="Arial" w:cs="Arial" w:eastAsia="Arial" w:hAnsi="Arial"/>
          <w:sz w:val="22"/>
          <w:szCs w:val="22"/>
          <w:b w:val="1"/>
          <w:bCs w:val="1"/>
          <w:color w:val="auto"/>
        </w:rPr>
      </w:pPr>
    </w:p>
    <w:p>
      <w:pPr>
        <w:ind w:left="620" w:hanging="612"/>
        <w:spacing w:after="0"/>
        <w:tabs>
          <w:tab w:leader="none" w:pos="62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5.85</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640" w:hanging="632"/>
        <w:spacing w:after="0"/>
        <w:tabs>
          <w:tab w:leader="none" w:pos="6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such person has:</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vote or to direct the vote: </w:t>
      </w:r>
      <w:r>
        <w:rPr>
          <w:rFonts w:ascii="Arial" w:cs="Arial" w:eastAsia="Arial" w:hAnsi="Arial"/>
          <w:sz w:val="22"/>
          <w:szCs w:val="22"/>
          <w:color w:val="auto"/>
        </w:rPr>
        <w:t>925,000</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Shared power to vote or to direct the vote: </w:t>
      </w:r>
      <w:r>
        <w:rPr>
          <w:rFonts w:ascii="Arial" w:cs="Arial" w:eastAsia="Arial" w:hAnsi="Arial"/>
          <w:sz w:val="22"/>
          <w:szCs w:val="22"/>
          <w:color w:val="auto"/>
        </w:rPr>
        <w:t>0</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dispose or to direct the disposition of: </w:t>
      </w:r>
      <w:r>
        <w:rPr>
          <w:rFonts w:ascii="Arial" w:cs="Arial" w:eastAsia="Arial" w:hAnsi="Arial"/>
          <w:sz w:val="22"/>
          <w:szCs w:val="22"/>
          <w:color w:val="auto"/>
        </w:rPr>
        <w:t>925,000</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Shared power to dispose or to direct the disposition of: </w:t>
      </w:r>
      <w:r>
        <w:rPr>
          <w:rFonts w:ascii="Arial" w:cs="Arial" w:eastAsia="Arial" w:hAnsi="Arial"/>
          <w:sz w:val="22"/>
          <w:szCs w:val="22"/>
          <w:color w:val="auto"/>
        </w:rPr>
        <w:t>0</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See Item 2. The Fund has the right to receive or the power to direct the receipt of dividends or the proceeds from the sale of more than 5% of the Shares.</w:t>
      </w:r>
    </w:p>
    <w:p>
      <w:pPr>
        <w:spacing w:after="0" w:line="181" w:lineRule="exact"/>
        <w:rPr>
          <w:sz w:val="20"/>
          <w:szCs w:val="20"/>
          <w:color w:val="auto"/>
        </w:rPr>
      </w:pPr>
    </w:p>
    <w:p>
      <w:pPr>
        <w:jc w:val="both"/>
        <w:ind w:left="980" w:hanging="971"/>
        <w:spacing w:after="0" w:line="241"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 applicable to investment fund managers is substantially comparable to the regulatory scheme applicable to the functionally equivalent U.S. institutions. The Reporting Person also undertakes to furnish to the Commission staff, upon request, information that would otherwise be disclosed in a Schedule 13D.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w:t>
      </w:r>
      <w:r>
        <w:rPr>
          <w:rFonts w:ascii="Arial" w:cs="Arial" w:eastAsia="Arial" w:hAnsi="Arial"/>
          <w:sz w:val="35"/>
          <w:szCs w:val="35"/>
          <w:color w:val="auto"/>
          <w:vertAlign w:val="superscript"/>
        </w:rPr>
        <w:t>st</w:t>
      </w:r>
      <w:r>
        <w:rPr>
          <w:rFonts w:ascii="Arial" w:cs="Arial" w:eastAsia="Arial" w:hAnsi="Arial"/>
          <w:sz w:val="22"/>
          <w:szCs w:val="22"/>
          <w:color w:val="auto"/>
        </w:rPr>
        <w:t>, 2022</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Signature</w:t>
      </w:r>
      <w:r>
        <w:rPr>
          <w:rFonts w:ascii="Arial" w:cs="Arial" w:eastAsia="Arial" w:hAnsi="Arial"/>
          <w:sz w:val="22"/>
          <w:szCs w:val="22"/>
          <w:i w:val="1"/>
          <w:iCs w:val="1"/>
          <w:color w:val="auto"/>
        </w:rPr>
        <w:t xml:space="preserve"> Stuart Grant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 Stuart Grant, CCO</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lvl w:ilvl="1">
      <w:lvlJc w:val="left"/>
      <w:lvlText w:val="(%2)"/>
      <w:numFmt w:val="lowerLetter"/>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2022-02-14T09:23:33Z</dcterms:created>
  <dcterms:modified xsi:type="dcterms:W3CDTF">2022-02-14T09:23:33Z</dcterms:modified>
</cp:coreProperties>
</file>