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14, 2023</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333-272401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DRAGONFLY ENERGY HOLDINGS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720" w:type="dxa"/>
        <w:tblCellMar>
          <w:top w:w="0" w:type="dxa"/>
          <w:left w:w="0" w:type="dxa"/>
          <w:bottom w:w="0" w:type="dxa"/>
          <w:right w:w="0" w:type="dxa"/>
        </w:tblCellMar>
      </w:tblPr>
      <w:tr>
        <w:trPr>
          <w:trHeight w:val="220"/>
        </w:trPr>
        <w:tc>
          <w:tcPr>
            <w:tcW w:w="3000" w:type="dxa"/>
            <w:vAlign w:val="bottom"/>
          </w:tcPr>
          <w:p>
            <w:pPr>
              <w:jc w:val="center"/>
              <w:ind w:right="730"/>
              <w:spacing w:after="0"/>
              <w:rPr>
                <w:sz w:val="20"/>
                <w:szCs w:val="20"/>
                <w:color w:val="auto"/>
              </w:rPr>
            </w:pPr>
            <w:r>
              <w:rPr>
                <w:rFonts w:ascii="Arial" w:cs="Arial" w:eastAsia="Arial" w:hAnsi="Arial"/>
                <w:sz w:val="18"/>
                <w:szCs w:val="18"/>
                <w:b w:val="1"/>
                <w:bCs w:val="1"/>
                <w:color w:val="auto"/>
                <w:w w:val="90"/>
              </w:rPr>
              <w:t>Nevada</w:t>
            </w:r>
          </w:p>
        </w:tc>
        <w:tc>
          <w:tcPr>
            <w:tcW w:w="4020" w:type="dxa"/>
            <w:vAlign w:val="bottom"/>
          </w:tcPr>
          <w:p>
            <w:pPr>
              <w:jc w:val="right"/>
              <w:ind w:right="1850"/>
              <w:spacing w:after="0"/>
              <w:rPr>
                <w:sz w:val="20"/>
                <w:szCs w:val="20"/>
                <w:color w:val="auto"/>
              </w:rPr>
            </w:pPr>
            <w:r>
              <w:rPr>
                <w:rFonts w:ascii="Arial" w:cs="Arial" w:eastAsia="Arial" w:hAnsi="Arial"/>
                <w:sz w:val="18"/>
                <w:szCs w:val="18"/>
                <w:b w:val="1"/>
                <w:bCs w:val="1"/>
                <w:color w:val="auto"/>
              </w:rPr>
              <w:t>3690</w:t>
            </w:r>
          </w:p>
        </w:tc>
        <w:tc>
          <w:tcPr>
            <w:tcW w:w="2380" w:type="dxa"/>
            <w:vAlign w:val="bottom"/>
          </w:tcPr>
          <w:p>
            <w:pPr>
              <w:jc w:val="center"/>
              <w:ind w:left="930"/>
              <w:spacing w:after="0"/>
              <w:rPr>
                <w:sz w:val="20"/>
                <w:szCs w:val="20"/>
                <w:color w:val="auto"/>
              </w:rPr>
            </w:pPr>
            <w:r>
              <w:rPr>
                <w:rFonts w:ascii="Arial" w:cs="Arial" w:eastAsia="Arial" w:hAnsi="Arial"/>
                <w:sz w:val="18"/>
                <w:szCs w:val="18"/>
                <w:b w:val="1"/>
                <w:bCs w:val="1"/>
                <w:color w:val="auto"/>
                <w:w w:val="91"/>
              </w:rPr>
              <w:t>85-1873463</w:t>
            </w:r>
          </w:p>
        </w:tc>
      </w:tr>
      <w:tr>
        <w:trPr>
          <w:trHeight w:val="216"/>
        </w:trPr>
        <w:tc>
          <w:tcPr>
            <w:tcW w:w="3000" w:type="dxa"/>
            <w:vAlign w:val="bottom"/>
          </w:tcPr>
          <w:p>
            <w:pPr>
              <w:jc w:val="center"/>
              <w:ind w:right="750"/>
              <w:spacing w:after="0"/>
              <w:rPr>
                <w:sz w:val="20"/>
                <w:szCs w:val="20"/>
                <w:color w:val="auto"/>
              </w:rPr>
            </w:pPr>
            <w:r>
              <w:rPr>
                <w:rFonts w:ascii="Arial" w:cs="Arial" w:eastAsia="Arial" w:hAnsi="Arial"/>
                <w:sz w:val="18"/>
                <w:szCs w:val="18"/>
                <w:color w:val="auto"/>
                <w:w w:val="93"/>
              </w:rPr>
              <w:t>(State or jurisdiction of</w:t>
            </w:r>
          </w:p>
        </w:tc>
        <w:tc>
          <w:tcPr>
            <w:tcW w:w="4020" w:type="dxa"/>
            <w:vAlign w:val="bottom"/>
          </w:tcPr>
          <w:p>
            <w:pPr>
              <w:jc w:val="center"/>
              <w:ind w:right="110"/>
              <w:spacing w:after="0"/>
              <w:rPr>
                <w:sz w:val="20"/>
                <w:szCs w:val="20"/>
                <w:color w:val="auto"/>
              </w:rPr>
            </w:pPr>
            <w:r>
              <w:rPr>
                <w:rFonts w:ascii="Arial" w:cs="Arial" w:eastAsia="Arial" w:hAnsi="Arial"/>
                <w:sz w:val="18"/>
                <w:szCs w:val="18"/>
                <w:color w:val="auto"/>
                <w:w w:val="91"/>
              </w:rPr>
              <w:t>(Primary Standard Industrial</w:t>
            </w:r>
          </w:p>
        </w:tc>
        <w:tc>
          <w:tcPr>
            <w:tcW w:w="2380" w:type="dxa"/>
            <w:vAlign w:val="bottom"/>
          </w:tcPr>
          <w:p>
            <w:pPr>
              <w:jc w:val="center"/>
              <w:ind w:left="930"/>
              <w:spacing w:after="0"/>
              <w:rPr>
                <w:sz w:val="20"/>
                <w:szCs w:val="20"/>
                <w:color w:val="auto"/>
              </w:rPr>
            </w:pPr>
            <w:r>
              <w:rPr>
                <w:rFonts w:ascii="Arial" w:cs="Arial" w:eastAsia="Arial" w:hAnsi="Arial"/>
                <w:sz w:val="18"/>
                <w:szCs w:val="18"/>
                <w:color w:val="auto"/>
                <w:w w:val="92"/>
              </w:rPr>
              <w:t>(IRS Employer</w:t>
            </w:r>
          </w:p>
        </w:tc>
      </w:tr>
      <w:tr>
        <w:trPr>
          <w:trHeight w:val="230"/>
        </w:trPr>
        <w:tc>
          <w:tcPr>
            <w:tcW w:w="3000" w:type="dxa"/>
            <w:vAlign w:val="bottom"/>
          </w:tcPr>
          <w:p>
            <w:pPr>
              <w:jc w:val="center"/>
              <w:ind w:right="750"/>
              <w:spacing w:after="0"/>
              <w:rPr>
                <w:sz w:val="20"/>
                <w:szCs w:val="20"/>
                <w:color w:val="auto"/>
              </w:rPr>
            </w:pPr>
            <w:r>
              <w:rPr>
                <w:rFonts w:ascii="Arial" w:cs="Arial" w:eastAsia="Arial" w:hAnsi="Arial"/>
                <w:sz w:val="18"/>
                <w:szCs w:val="18"/>
                <w:color w:val="auto"/>
                <w:w w:val="92"/>
              </w:rPr>
              <w:t>incorporation or organization)</w:t>
            </w:r>
          </w:p>
        </w:tc>
        <w:tc>
          <w:tcPr>
            <w:tcW w:w="4020" w:type="dxa"/>
            <w:vAlign w:val="bottom"/>
          </w:tcPr>
          <w:p>
            <w:pPr>
              <w:jc w:val="center"/>
              <w:ind w:right="130"/>
              <w:spacing w:after="0"/>
              <w:rPr>
                <w:sz w:val="20"/>
                <w:szCs w:val="20"/>
                <w:color w:val="auto"/>
              </w:rPr>
            </w:pPr>
            <w:r>
              <w:rPr>
                <w:rFonts w:ascii="Arial" w:cs="Arial" w:eastAsia="Arial" w:hAnsi="Arial"/>
                <w:sz w:val="18"/>
                <w:szCs w:val="18"/>
                <w:color w:val="auto"/>
                <w:w w:val="92"/>
              </w:rPr>
              <w:t>Classification Code Number)</w:t>
            </w:r>
          </w:p>
        </w:tc>
        <w:tc>
          <w:tcPr>
            <w:tcW w:w="2380" w:type="dxa"/>
            <w:vAlign w:val="bottom"/>
          </w:tcPr>
          <w:p>
            <w:pPr>
              <w:jc w:val="center"/>
              <w:ind w:left="9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000" w:type="dxa"/>
            <w:vAlign w:val="bottom"/>
          </w:tcPr>
          <w:p>
            <w:pPr>
              <w:spacing w:after="0"/>
              <w:rPr>
                <w:sz w:val="24"/>
                <w:szCs w:val="24"/>
                <w:color w:val="auto"/>
              </w:rPr>
            </w:pPr>
          </w:p>
        </w:tc>
        <w:tc>
          <w:tcPr>
            <w:tcW w:w="4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1190 Trademark Drive #108</w:t>
            </w:r>
          </w:p>
        </w:tc>
        <w:tc>
          <w:tcPr>
            <w:tcW w:w="238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40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Reno, Nevada 89521</w:t>
            </w:r>
          </w:p>
        </w:tc>
        <w:tc>
          <w:tcPr>
            <w:tcW w:w="2380" w:type="dxa"/>
            <w:vAlign w:val="bottom"/>
          </w:tcPr>
          <w:p>
            <w:pPr>
              <w:spacing w:after="0"/>
              <w:rPr>
                <w:sz w:val="18"/>
                <w:szCs w:val="18"/>
                <w:color w:val="auto"/>
              </w:rPr>
            </w:pPr>
          </w:p>
        </w:tc>
      </w:tr>
      <w:tr>
        <w:trPr>
          <w:trHeight w:val="234"/>
        </w:trPr>
        <w:tc>
          <w:tcPr>
            <w:tcW w:w="3000" w:type="dxa"/>
            <w:vAlign w:val="bottom"/>
          </w:tcPr>
          <w:p>
            <w:pPr>
              <w:spacing w:after="0"/>
              <w:rPr>
                <w:sz w:val="20"/>
                <w:szCs w:val="20"/>
                <w:color w:val="auto"/>
              </w:rPr>
            </w:pPr>
          </w:p>
        </w:tc>
        <w:tc>
          <w:tcPr>
            <w:tcW w:w="4020" w:type="dxa"/>
            <w:vAlign w:val="bottom"/>
          </w:tcPr>
          <w:p>
            <w:pPr>
              <w:jc w:val="right"/>
              <w:ind w:right="1470"/>
              <w:spacing w:after="0"/>
              <w:rPr>
                <w:sz w:val="20"/>
                <w:szCs w:val="20"/>
                <w:color w:val="auto"/>
              </w:rPr>
            </w:pPr>
            <w:r>
              <w:rPr>
                <w:rFonts w:ascii="Arial" w:cs="Arial" w:eastAsia="Arial" w:hAnsi="Arial"/>
                <w:sz w:val="18"/>
                <w:szCs w:val="18"/>
                <w:b w:val="1"/>
                <w:bCs w:val="1"/>
                <w:color w:val="auto"/>
              </w:rPr>
              <w:t>(775) 622-3448</w:t>
            </w:r>
          </w:p>
        </w:tc>
        <w:tc>
          <w:tcPr>
            <w:tcW w:w="2380" w:type="dxa"/>
            <w:vAlign w:val="bottom"/>
          </w:tcPr>
          <w:p>
            <w:pPr>
              <w:spacing w:after="0"/>
              <w:rPr>
                <w:sz w:val="20"/>
                <w:szCs w:val="20"/>
                <w:color w:val="auto"/>
              </w:rPr>
            </w:pPr>
          </w:p>
        </w:tc>
      </w:tr>
    </w:tbl>
    <w:p>
      <w:pPr>
        <w:jc w:val="center"/>
        <w:spacing w:after="0"/>
        <w:rPr>
          <w:sz w:val="20"/>
          <w:szCs w:val="20"/>
          <w:color w:val="auto"/>
        </w:rPr>
      </w:pPr>
      <w:r>
        <w:rPr>
          <w:rFonts w:ascii="Arial" w:cs="Arial" w:eastAsia="Arial" w:hAnsi="Arial"/>
          <w:sz w:val="18"/>
          <w:szCs w:val="18"/>
          <w:color w:val="auto"/>
        </w:rPr>
        <w:t>(Address, including zip code, and telephone number,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including 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1190 Trademark Drive #108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Reno, Nevada 89521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(775) 622-3488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including area code, of agent for service)</w:t>
      </w:r>
    </w:p>
    <w:p>
      <w:pPr>
        <w:spacing w:after="0" w:line="211" w:lineRule="exact"/>
        <w:rPr>
          <w:sz w:val="24"/>
          <w:szCs w:val="24"/>
          <w:color w:val="auto"/>
        </w:rPr>
      </w:pPr>
    </w:p>
    <w:tbl>
      <w:tblPr>
        <w:tblLayout w:type="fixed"/>
        <w:tblInd w:w="166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p>
        </w:tc>
        <w:tc>
          <w:tcPr>
            <w:tcW w:w="5040" w:type="dxa"/>
            <w:vAlign w:val="bottom"/>
          </w:tcPr>
          <w:p>
            <w:pPr>
              <w:ind w:left="620"/>
              <w:spacing w:after="0"/>
              <w:rPr>
                <w:sz w:val="20"/>
                <w:szCs w:val="20"/>
                <w:color w:val="auto"/>
              </w:rPr>
            </w:pPr>
            <w:r>
              <w:rPr>
                <w:rFonts w:ascii="Arial" w:cs="Arial" w:eastAsia="Arial" w:hAnsi="Arial"/>
                <w:sz w:val="18"/>
                <w:szCs w:val="18"/>
                <w:b w:val="1"/>
                <w:bCs w:val="1"/>
                <w:i w:val="1"/>
                <w:iCs w:val="1"/>
                <w:color w:val="auto"/>
              </w:rPr>
              <w:t>With copies to:</w:t>
            </w:r>
          </w:p>
        </w:tc>
      </w:tr>
      <w:tr>
        <w:trPr>
          <w:trHeight w:val="414"/>
        </w:trPr>
        <w:tc>
          <w:tcPr>
            <w:tcW w:w="2800" w:type="dxa"/>
            <w:vAlign w:val="bottom"/>
          </w:tcPr>
          <w:p>
            <w:pPr>
              <w:jc w:val="center"/>
              <w:ind w:right="510"/>
              <w:spacing w:after="0"/>
              <w:rPr>
                <w:sz w:val="20"/>
                <w:szCs w:val="20"/>
                <w:color w:val="auto"/>
              </w:rPr>
            </w:pPr>
            <w:r>
              <w:rPr>
                <w:rFonts w:ascii="Arial" w:cs="Arial" w:eastAsia="Arial" w:hAnsi="Arial"/>
                <w:sz w:val="18"/>
                <w:szCs w:val="18"/>
                <w:b w:val="1"/>
                <w:bCs w:val="1"/>
                <w:color w:val="auto"/>
                <w:w w:val="90"/>
              </w:rPr>
              <w:t>Steven M. Skolnick</w:t>
            </w:r>
          </w:p>
        </w:tc>
        <w:tc>
          <w:tcPr>
            <w:tcW w:w="5040" w:type="dxa"/>
            <w:vAlign w:val="bottom"/>
          </w:tcPr>
          <w:p>
            <w:pPr>
              <w:jc w:val="center"/>
              <w:ind w:left="2930"/>
              <w:spacing w:after="0"/>
              <w:rPr>
                <w:sz w:val="20"/>
                <w:szCs w:val="20"/>
                <w:color w:val="auto"/>
              </w:rPr>
            </w:pPr>
            <w:r>
              <w:rPr>
                <w:rFonts w:ascii="Arial" w:cs="Arial" w:eastAsia="Arial" w:hAnsi="Arial"/>
                <w:sz w:val="18"/>
                <w:szCs w:val="18"/>
                <w:b w:val="1"/>
                <w:bCs w:val="1"/>
                <w:color w:val="auto"/>
                <w:w w:val="86"/>
              </w:rPr>
              <w:t>James T. Seery</w:t>
            </w:r>
          </w:p>
        </w:tc>
      </w:tr>
      <w:tr>
        <w:trPr>
          <w:trHeight w:val="216"/>
        </w:trPr>
        <w:tc>
          <w:tcPr>
            <w:tcW w:w="2800" w:type="dxa"/>
            <w:vAlign w:val="bottom"/>
          </w:tcPr>
          <w:p>
            <w:pPr>
              <w:jc w:val="center"/>
              <w:ind w:right="510"/>
              <w:spacing w:after="0"/>
              <w:rPr>
                <w:sz w:val="20"/>
                <w:szCs w:val="20"/>
                <w:color w:val="auto"/>
              </w:rPr>
            </w:pPr>
            <w:r>
              <w:rPr>
                <w:rFonts w:ascii="Arial" w:cs="Arial" w:eastAsia="Arial" w:hAnsi="Arial"/>
                <w:sz w:val="18"/>
                <w:szCs w:val="18"/>
                <w:b w:val="1"/>
                <w:bCs w:val="1"/>
                <w:color w:val="auto"/>
                <w:w w:val="91"/>
              </w:rPr>
              <w:t>Lowenstein Sandler LLP</w:t>
            </w:r>
          </w:p>
        </w:tc>
        <w:tc>
          <w:tcPr>
            <w:tcW w:w="5040" w:type="dxa"/>
            <w:vAlign w:val="bottom"/>
          </w:tcPr>
          <w:p>
            <w:pPr>
              <w:jc w:val="center"/>
              <w:ind w:left="2910"/>
              <w:spacing w:after="0"/>
              <w:rPr>
                <w:sz w:val="20"/>
                <w:szCs w:val="20"/>
                <w:color w:val="auto"/>
              </w:rPr>
            </w:pPr>
            <w:r>
              <w:rPr>
                <w:rFonts w:ascii="Arial" w:cs="Arial" w:eastAsia="Arial" w:hAnsi="Arial"/>
                <w:sz w:val="18"/>
                <w:szCs w:val="18"/>
                <w:b w:val="1"/>
                <w:bCs w:val="1"/>
                <w:color w:val="auto"/>
                <w:w w:val="96"/>
              </w:rPr>
              <w:t>Duane Morris LLP</w:t>
            </w:r>
          </w:p>
        </w:tc>
      </w:tr>
      <w:tr>
        <w:trPr>
          <w:trHeight w:val="216"/>
        </w:trPr>
        <w:tc>
          <w:tcPr>
            <w:tcW w:w="2800" w:type="dxa"/>
            <w:vAlign w:val="bottom"/>
          </w:tcPr>
          <w:p>
            <w:pPr>
              <w:jc w:val="center"/>
              <w:ind w:right="510"/>
              <w:spacing w:after="0"/>
              <w:rPr>
                <w:sz w:val="20"/>
                <w:szCs w:val="20"/>
                <w:color w:val="auto"/>
              </w:rPr>
            </w:pPr>
            <w:r>
              <w:rPr>
                <w:rFonts w:ascii="Arial" w:cs="Arial" w:eastAsia="Arial" w:hAnsi="Arial"/>
                <w:sz w:val="18"/>
                <w:szCs w:val="18"/>
                <w:b w:val="1"/>
                <w:bCs w:val="1"/>
                <w:color w:val="auto"/>
                <w:w w:val="87"/>
              </w:rPr>
              <w:t>1251 Avenue of the Americas</w:t>
            </w:r>
          </w:p>
        </w:tc>
        <w:tc>
          <w:tcPr>
            <w:tcW w:w="5040" w:type="dxa"/>
            <w:vAlign w:val="bottom"/>
          </w:tcPr>
          <w:p>
            <w:pPr>
              <w:jc w:val="center"/>
              <w:ind w:left="2930"/>
              <w:spacing w:after="0"/>
              <w:rPr>
                <w:sz w:val="20"/>
                <w:szCs w:val="20"/>
                <w:color w:val="auto"/>
              </w:rPr>
            </w:pPr>
            <w:r>
              <w:rPr>
                <w:rFonts w:ascii="Arial" w:cs="Arial" w:eastAsia="Arial" w:hAnsi="Arial"/>
                <w:sz w:val="18"/>
                <w:szCs w:val="18"/>
                <w:b w:val="1"/>
                <w:bCs w:val="1"/>
                <w:color w:val="auto"/>
                <w:w w:val="89"/>
              </w:rPr>
              <w:t>1540 Broadway</w:t>
            </w:r>
          </w:p>
        </w:tc>
      </w:tr>
      <w:tr>
        <w:trPr>
          <w:trHeight w:val="216"/>
        </w:trPr>
        <w:tc>
          <w:tcPr>
            <w:tcW w:w="2800" w:type="dxa"/>
            <w:vAlign w:val="bottom"/>
          </w:tcPr>
          <w:p>
            <w:pPr>
              <w:jc w:val="center"/>
              <w:ind w:right="510"/>
              <w:spacing w:after="0"/>
              <w:rPr>
                <w:sz w:val="20"/>
                <w:szCs w:val="20"/>
                <w:color w:val="auto"/>
              </w:rPr>
            </w:pPr>
            <w:r>
              <w:rPr>
                <w:rFonts w:ascii="Arial" w:cs="Arial" w:eastAsia="Arial" w:hAnsi="Arial"/>
                <w:sz w:val="18"/>
                <w:szCs w:val="18"/>
                <w:b w:val="1"/>
                <w:bCs w:val="1"/>
                <w:color w:val="auto"/>
                <w:w w:val="92"/>
              </w:rPr>
              <w:t>New York, NY 10020</w:t>
            </w:r>
          </w:p>
        </w:tc>
        <w:tc>
          <w:tcPr>
            <w:tcW w:w="5040" w:type="dxa"/>
            <w:vAlign w:val="bottom"/>
          </w:tcPr>
          <w:p>
            <w:pPr>
              <w:jc w:val="center"/>
              <w:ind w:left="2930"/>
              <w:spacing w:after="0"/>
              <w:rPr>
                <w:sz w:val="20"/>
                <w:szCs w:val="20"/>
                <w:color w:val="auto"/>
              </w:rPr>
            </w:pPr>
            <w:r>
              <w:rPr>
                <w:rFonts w:ascii="Arial" w:cs="Arial" w:eastAsia="Arial" w:hAnsi="Arial"/>
                <w:sz w:val="18"/>
                <w:szCs w:val="18"/>
                <w:b w:val="1"/>
                <w:bCs w:val="1"/>
                <w:color w:val="auto"/>
                <w:w w:val="91"/>
              </w:rPr>
              <w:t>New York, NY 10036</w:t>
            </w:r>
          </w:p>
        </w:tc>
      </w:tr>
      <w:tr>
        <w:trPr>
          <w:trHeight w:val="234"/>
        </w:trPr>
        <w:tc>
          <w:tcPr>
            <w:tcW w:w="2800" w:type="dxa"/>
            <w:vAlign w:val="bottom"/>
          </w:tcPr>
          <w:p>
            <w:pPr>
              <w:jc w:val="center"/>
              <w:ind w:right="510"/>
              <w:spacing w:after="0"/>
              <w:rPr>
                <w:sz w:val="20"/>
                <w:szCs w:val="20"/>
                <w:color w:val="auto"/>
              </w:rPr>
            </w:pPr>
            <w:r>
              <w:rPr>
                <w:rFonts w:ascii="Arial" w:cs="Arial" w:eastAsia="Arial" w:hAnsi="Arial"/>
                <w:sz w:val="18"/>
                <w:szCs w:val="18"/>
                <w:b w:val="1"/>
                <w:bCs w:val="1"/>
                <w:color w:val="auto"/>
                <w:w w:val="89"/>
              </w:rPr>
              <w:t>Telephone: (212) 262-6700</w:t>
            </w:r>
          </w:p>
        </w:tc>
        <w:tc>
          <w:tcPr>
            <w:tcW w:w="5040" w:type="dxa"/>
            <w:vAlign w:val="bottom"/>
          </w:tcPr>
          <w:p>
            <w:pPr>
              <w:jc w:val="center"/>
              <w:ind w:left="2930"/>
              <w:spacing w:after="0"/>
              <w:rPr>
                <w:sz w:val="20"/>
                <w:szCs w:val="20"/>
                <w:color w:val="auto"/>
              </w:rPr>
            </w:pPr>
            <w:r>
              <w:rPr>
                <w:rFonts w:ascii="Arial" w:cs="Arial" w:eastAsia="Arial" w:hAnsi="Arial"/>
                <w:sz w:val="18"/>
                <w:szCs w:val="18"/>
                <w:b w:val="1"/>
                <w:bCs w:val="1"/>
                <w:color w:val="auto"/>
                <w:w w:val="90"/>
              </w:rPr>
              <w:t>Telephone: (212) 692-1000</w:t>
            </w:r>
          </w:p>
        </w:tc>
      </w:tr>
    </w:tbl>
    <w:p>
      <w:pPr>
        <w:spacing w:after="0" w:line="198"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of this Registration Statement.</w:t>
      </w:r>
    </w:p>
    <w:p>
      <w:pPr>
        <w:spacing w:after="0" w:line="252" w:lineRule="exact"/>
        <w:rPr>
          <w:sz w:val="24"/>
          <w:szCs w:val="24"/>
          <w:color w:val="auto"/>
        </w:rPr>
      </w:pPr>
    </w:p>
    <w:p>
      <w:pPr>
        <w:jc w:val="both"/>
        <w:ind w:firstLine="324"/>
        <w:spacing w:after="0" w:line="238"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jc w:val="both"/>
        <w:ind w:firstLine="324"/>
        <w:spacing w:after="0" w:line="238"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jc w:val="both"/>
        <w:ind w:firstLine="324"/>
        <w:spacing w:after="0" w:line="238"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jc w:val="both"/>
        <w:ind w:firstLine="324"/>
        <w:spacing w:after="0" w:line="238"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1600"/>
              <w:spacing w:after="0"/>
              <w:rPr>
                <w:sz w:val="20"/>
                <w:szCs w:val="20"/>
                <w:color w:val="auto"/>
              </w:rPr>
            </w:pPr>
            <w:r>
              <w:rPr>
                <w:rFonts w:ascii="Arial" w:cs="Arial" w:eastAsia="Arial" w:hAnsi="Arial"/>
                <w:sz w:val="18"/>
                <w:szCs w:val="18"/>
                <w:color w:val="auto"/>
              </w:rPr>
              <w:t>Accelerated filer</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1600"/>
              <w:spacing w:after="0"/>
              <w:rPr>
                <w:sz w:val="20"/>
                <w:szCs w:val="20"/>
                <w:color w:val="auto"/>
              </w:rPr>
            </w:pPr>
            <w:r>
              <w:rPr>
                <w:rFonts w:ascii="Arial" w:cs="Arial" w:eastAsia="Arial" w:hAnsi="Arial"/>
                <w:sz w:val="18"/>
                <w:szCs w:val="18"/>
                <w:color w:val="auto"/>
              </w:rPr>
              <w:t>Smaller reporting company</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320" w:type="dxa"/>
            <w:vAlign w:val="bottom"/>
          </w:tcPr>
          <w:p>
            <w:pPr>
              <w:ind w:left="1600"/>
              <w:spacing w:after="0"/>
              <w:rPr>
                <w:sz w:val="20"/>
                <w:szCs w:val="20"/>
                <w:color w:val="auto"/>
              </w:rPr>
            </w:pPr>
            <w:r>
              <w:rPr>
                <w:rFonts w:ascii="Arial" w:cs="Arial" w:eastAsia="Arial" w:hAnsi="Arial"/>
                <w:sz w:val="18"/>
                <w:szCs w:val="18"/>
                <w:color w:val="auto"/>
              </w:rPr>
              <w:t>Emerging growth company</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9" w:lineRule="exact"/>
        <w:rPr>
          <w:sz w:val="24"/>
          <w:szCs w:val="24"/>
          <w:color w:val="auto"/>
        </w:rPr>
      </w:pPr>
    </w:p>
    <w:p>
      <w:pPr>
        <w:jc w:val="both"/>
        <w:ind w:firstLine="32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905" w:orient="portrait"/>
          <w:cols w:equalWidth="0" w:num="1">
            <w:col w:w="11240"/>
          </w:cols>
          <w:pgMar w:left="320" w:top="445" w:right="339" w:bottom="0" w:gutter="0" w:footer="0" w:header="0"/>
        </w:sectPr>
      </w:pPr>
    </w:p>
    <w:bookmarkStart w:id="1" w:name="page2"/>
    <w:bookmarkEnd w:id="1"/>
    <w:p>
      <w:pPr>
        <w:jc w:val="both"/>
        <w:ind w:firstLine="324"/>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Amendment No. 3 (“Amendment No. 3”) to the Registration Statement on Form S-1 (File No. 333-272401) of Dragonfly Energy Holdings Corp. (the “Registration Statement”) is being filed solely for the purpose of filing certain exhibits as indicated in Part II of this Amendment No. 3. This Amendment No. 3 does not modify any provision of the prospectus that forms a part of the Registration Statement. Accordingly, a preliminary prospectus has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 and the Financial Industry Regulatory Authority, Inc. (“FINRA”) filing fee.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Amount to be</w:t>
            </w:r>
          </w:p>
        </w:tc>
      </w:tr>
      <w:tr>
        <w:trPr>
          <w:trHeight w:val="241"/>
        </w:trPr>
        <w:tc>
          <w:tcPr>
            <w:tcW w:w="9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Paid</w:t>
            </w:r>
          </w:p>
        </w:tc>
      </w:tr>
      <w:tr>
        <w:trPr>
          <w:trHeight w:val="216"/>
        </w:trPr>
        <w:tc>
          <w:tcPr>
            <w:tcW w:w="9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w:t>
            </w: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Transfer Agent’s fees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r>
      <w:tr>
        <w:trPr>
          <w:trHeight w:val="249"/>
        </w:trPr>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7"/>
        </w:trPr>
        <w:tc>
          <w:tcPr>
            <w:tcW w:w="90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430,000</w:t>
            </w:r>
          </w:p>
        </w:tc>
        <w:tc>
          <w:tcPr>
            <w:tcW w:w="1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Neither our Articles of Incorporation nor our Bylaws prevent us from indemnifying our officers, directors and agents to the extent permitted under the Nevada Revised Statutes, as amended (“NRS”). NRS Section 78.751 provides that a corporation shall indemnify any director, officer, employee or agent of a corporation against expenses, including attorneys’ fees, actually and reasonably incurred by him in connection with any the defense to the extent that a director, officer, employee or agent of a corporation has been successful on the merits or otherwise in defense of any action, suit or proceeding referred to Section 78.7502(1) or 78.7502(2), or in defense of any claim, issue or matter therein.</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NRS Section 78.7502(1)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 (a) is not liable pursuant to NRS Section 78.138; or (b) acted in good faith and in a manner which he reasonably believed to be in or not opposed to the best interests of the corporation, and, with respect to any criminal action or proceeding, had no reasonable cause to believe his conduct was unlawful.</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NRS Section 78.7502(2)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 is not liable pursuant to NRS Section 78.138; or</w:t>
      </w:r>
    </w:p>
    <w:p>
      <w:pPr>
        <w:spacing w:after="0" w:line="2" w:lineRule="exact"/>
        <w:rPr>
          <w:sz w:val="20"/>
          <w:szCs w:val="20"/>
          <w:color w:val="auto"/>
        </w:rPr>
      </w:pPr>
    </w:p>
    <w:p>
      <w:pPr>
        <w:jc w:val="both"/>
        <w:ind w:firstLine="8"/>
        <w:spacing w:after="0" w:line="271" w:lineRule="auto"/>
        <w:tabs>
          <w:tab w:leader="none" w:pos="262" w:val="left"/>
        </w:tabs>
        <w:numPr>
          <w:ilvl w:val="0"/>
          <w:numId w:val="1"/>
        </w:numPr>
        <w:rPr>
          <w:rFonts w:ascii="Arial" w:cs="Arial" w:eastAsia="Arial" w:hAnsi="Arial"/>
          <w:sz w:val="17"/>
          <w:szCs w:val="17"/>
          <w:color w:val="auto"/>
        </w:rPr>
      </w:pPr>
      <w:r>
        <w:rPr>
          <w:rFonts w:ascii="Arial" w:cs="Arial" w:eastAsia="Arial" w:hAnsi="Arial"/>
          <w:sz w:val="17"/>
          <w:szCs w:val="17"/>
          <w:color w:val="auto"/>
        </w:rPr>
        <w:t>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 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both"/>
        <w:ind w:firstLine="648"/>
        <w:spacing w:after="0" w:line="263" w:lineRule="auto"/>
        <w:rPr>
          <w:sz w:val="20"/>
          <w:szCs w:val="20"/>
          <w:color w:val="auto"/>
        </w:rPr>
      </w:pPr>
      <w:r>
        <w:rPr>
          <w:rFonts w:ascii="Arial" w:cs="Arial" w:eastAsia="Arial" w:hAnsi="Arial"/>
          <w:sz w:val="18"/>
          <w:szCs w:val="18"/>
          <w:color w:val="auto"/>
        </w:rPr>
        <w:t>NRS Section 78.747 provides that except as otherwise provided by specific statute or agreement, no person other than a corporation is individually liable for a debt or liability of the corporation, unless the person acts as the alter ego of the corporation. The court as a matter of law must determine the question of whether the person acts as the alter ego of a corporation.</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or controlling persons of ours, pursuant to the foregoing provisions, or otherwise, we have been informed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a director, officer or controlling person in connection with the securities being registered, we will, unless in the opinion of its counsel the matter has been settled by controlling precedent, submit to a court of appropriate jurisdiction the question whether such indemnification is against public policy as expressed hereby in the Securities Act and we will be governed by the final adjudication of such issue.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underwriting agreement or distribution agreement that we enter into with any underwriters or agents involved in the offering or sale of any securities registered hereby may require such underwriters or dealers to indemnify us, some or all of our directors and officers and its controlling persons, if any, for specified liabilities, which may include liabilities under the Securities 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also the undertakings set out in response to Item 17 of this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IPO and Business Combination Issuances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August 13, 2021, simultaneously with the closing of the CNTQ IPO, CNTQ completed the private sale of an aggregate of 4,361,456 Private Warrants to Warrant Holdings at a purchase price of approximately $0.93 per Private Warrant, generating gross proceeds to CNTQ of $4,052,000. The Private Warrants are identical to the warrants sold in the IPO except that the Private Warrants, so long as they are held by the initial purchasers or their respective permitted transferees, (i) were not redeemable by CNTQ, (ii) could not, subject to certain limited exceptions, be transferred, assigned, or sold by the initial purchaser until 30 days after the completion of the Business Combination, and (iii) may be exercised by the holders on a cashless basis. No underwriting discounts or commissions were paid with respect to such sale. The issuance of the Private Warrants was made pursuant to the exemption from registration contained in Section 4(a)(2) of the Securities Act.</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the Closing, we issued an additional 15,000 shares to CCM pursuant to the terms of the Subscription Agreement. See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 The Business Combination — PIPE Investment</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Closing, in connection with the entry into the Term Loan Agreement, we entered into (i) the Penny Warrants and (ii) the $10 Warrants. See “</w:t>
      </w:r>
      <w:r>
        <w:rPr>
          <w:rFonts w:ascii="Arial" w:cs="Arial" w:eastAsia="Arial" w:hAnsi="Arial"/>
          <w:sz w:val="18"/>
          <w:szCs w:val="18"/>
          <w:i w:val="1"/>
          <w:iCs w:val="1"/>
          <w:color w:val="auto"/>
        </w:rPr>
        <w:t>Certain Relationships and Related Person Transactions — Debt Financing — Warrant Agreements</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jc w:val="both"/>
        <w:ind w:firstLine="648"/>
        <w:spacing w:after="0" w:line="275" w:lineRule="auto"/>
        <w:rPr>
          <w:sz w:val="20"/>
          <w:szCs w:val="20"/>
          <w:color w:val="auto"/>
        </w:rPr>
      </w:pPr>
      <w:r>
        <w:rPr>
          <w:rFonts w:ascii="Arial" w:cs="Arial" w:eastAsia="Arial" w:hAnsi="Arial"/>
          <w:sz w:val="17"/>
          <w:szCs w:val="17"/>
          <w:color w:val="auto"/>
        </w:rPr>
        <w:t>Except for the registered transactions, we issued the securities in the foregoing transactions under Section 4(a)(2) of the Securities Act, and/or Rule 506 of Regulation D promulgated under the Securities Act, as a transaction not requiring registration under Section 5 of the Securities Act. The parties receiving the securities represented their intentions to acquire the securities for investment only and not with a view to or for sale in connection with any distribution, and appropriate restrictive legends were affixed to the certificates representing the securities (or reflected in restricted book entry with our transfer agent). The parties also had adequate access, through business or other relationships, to information about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 Grants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October 7, 2022, we granted each of our non-employee directors (i.e. Jonathan Bellows, Perry Boyle, Karina Edmonds, Luisa Ingargiola, Brian Nelson, and Rick Parod) an award of 30,000 restricted stock units (“RSUs”) under the Dragonfly Energy Holdings Corp. 2022 Equity Incentive Plan. The RSUs are eligible to vest on the first anniversary of the grant date, subject to each director’s continued service on our board through the vesting date.</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transactions did not involve any underwriters, underwriting discounts or commissions, or any public offering. We believe these transactions were exempt from registration under the Securities Act in reliance on Section 4(a)(2) of the Securities Act (and Regulation D promulgated thereunder) as transactions by an issuer not involving any public offering.</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certificates or book entry statements representing the securities issued in the transactions described above included appropriate legends setting forth that the securities had not been offered or sold pursuant to a registration statement and describing the applicable restrictions on transfer of the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5, 2023, we issued a note in the principal amount of $1.0 million (the “Principal Amount”) to Brian Nelson (the “Note”), one of our directors, in a private placement in exchange for cash in an equal amount. The Note became due and payable in full on April 1, 2023. We were also obligated to pay a loan fee in the amount of $100,000 to Mr. Nelson on April 4, 2023 (the “Loan Fee”). The Principal Amount of the Note was paid in full on April 1, 2023 and the Loan Fee was paid in full on April 4, 2023.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720" w:type="dxa"/>
            <w:vAlign w:val="bottom"/>
            <w:gridSpan w:val="37"/>
          </w:tcPr>
          <w:p>
            <w:pPr>
              <w:spacing w:after="0"/>
              <w:rPr>
                <w:sz w:val="20"/>
                <w:szCs w:val="20"/>
                <w:color w:val="auto"/>
              </w:rPr>
            </w:pPr>
            <w:r>
              <w:rPr>
                <w:rFonts w:ascii="Arial" w:cs="Arial" w:eastAsia="Arial" w:hAnsi="Arial"/>
                <w:sz w:val="18"/>
                <w:szCs w:val="18"/>
                <w:b w:val="1"/>
                <w:bCs w:val="1"/>
                <w:color w:val="auto"/>
              </w:rPr>
              <w:t>Item 16. Exhibits and Financial Statement Schedules.</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(a) Exhibits: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52"/>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w w:val="99"/>
              </w:rPr>
              <w:t>Incorporated By Reference</w:t>
            </w:r>
          </w:p>
        </w:tc>
      </w:tr>
      <w:tr>
        <w:trPr>
          <w:trHeight w:val="198"/>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Filing</w:t>
            </w:r>
          </w:p>
        </w:tc>
      </w:tr>
      <w:tr>
        <w:trPr>
          <w:trHeight w:val="241"/>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w w:val="95"/>
              </w:rPr>
              <w:t>Exhibit No.</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00" w:type="dxa"/>
            <w:vAlign w:val="bottom"/>
            <w:gridSpan w:val="23"/>
          </w:tcPr>
          <w:p>
            <w:pPr>
              <w:spacing w:after="0"/>
              <w:rPr>
                <w:sz w:val="20"/>
                <w:szCs w:val="20"/>
                <w:color w:val="auto"/>
              </w:rPr>
            </w:pPr>
            <w:r>
              <w:rPr>
                <w:rFonts w:ascii="Arial" w:cs="Arial" w:eastAsia="Arial" w:hAnsi="Arial"/>
                <w:sz w:val="18"/>
                <w:szCs w:val="18"/>
                <w:b w:val="1"/>
                <w:bCs w:val="1"/>
                <w:color w:val="auto"/>
              </w:rPr>
              <w:t>Description</w:t>
            </w:r>
          </w:p>
        </w:tc>
        <w:tc>
          <w:tcPr>
            <w:tcW w:w="660" w:type="dxa"/>
            <w:vAlign w:val="bottom"/>
          </w:tcPr>
          <w:p>
            <w:pPr>
              <w:ind w:left="120"/>
              <w:spacing w:after="0"/>
              <w:rPr>
                <w:sz w:val="20"/>
                <w:szCs w:val="20"/>
                <w:color w:val="auto"/>
              </w:rPr>
            </w:pPr>
            <w:r>
              <w:rPr>
                <w:rFonts w:ascii="Arial" w:cs="Arial" w:eastAsia="Arial" w:hAnsi="Arial"/>
                <w:sz w:val="18"/>
                <w:szCs w:val="18"/>
                <w:b w:val="1"/>
                <w:bCs w:val="1"/>
                <w:color w:val="auto"/>
              </w:rPr>
              <w:t>Form</w:t>
            </w:r>
          </w:p>
        </w:tc>
        <w:tc>
          <w:tcPr>
            <w:tcW w:w="140" w:type="dxa"/>
            <w:vAlign w:val="bottom"/>
          </w:tcPr>
          <w:p>
            <w:pPr>
              <w:spacing w:after="0"/>
              <w:rPr>
                <w:sz w:val="20"/>
                <w:szCs w:val="20"/>
                <w:color w:val="auto"/>
              </w:rPr>
            </w:pPr>
          </w:p>
        </w:tc>
        <w:tc>
          <w:tcPr>
            <w:tcW w:w="780" w:type="dxa"/>
            <w:vAlign w:val="bottom"/>
          </w:tcPr>
          <w:p>
            <w:pPr>
              <w:ind w:left="10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7"/>
              </w:rPr>
              <w:t>Date</w:t>
            </w:r>
          </w:p>
        </w:tc>
      </w:tr>
      <w:tr>
        <w:trPr>
          <w:trHeight w:val="176"/>
        </w:trPr>
        <w:tc>
          <w:tcPr>
            <w:tcW w:w="9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1.1*</w:t>
            </w:r>
          </w:p>
        </w:tc>
        <w:tc>
          <w:tcPr>
            <w:tcW w:w="140" w:type="dxa"/>
            <w:vAlign w:val="bottom"/>
          </w:tcPr>
          <w:p>
            <w:pPr>
              <w:spacing w:after="0"/>
              <w:rPr>
                <w:sz w:val="15"/>
                <w:szCs w:val="15"/>
                <w:color w:val="auto"/>
              </w:rPr>
            </w:pPr>
          </w:p>
        </w:tc>
        <w:tc>
          <w:tcPr>
            <w:tcW w:w="7500" w:type="dxa"/>
            <w:vAlign w:val="bottom"/>
            <w:tcBorders>
              <w:top w:val="single" w:sz="8" w:color="auto"/>
            </w:tcBorders>
            <w:gridSpan w:val="34"/>
          </w:tcPr>
          <w:p>
            <w:pPr>
              <w:spacing w:after="0" w:line="176" w:lineRule="exact"/>
              <w:rPr>
                <w:sz w:val="20"/>
                <w:szCs w:val="20"/>
                <w:color w:val="auto"/>
              </w:rPr>
            </w:pPr>
            <w:r>
              <w:rPr>
                <w:rFonts w:ascii="Arial" w:cs="Arial" w:eastAsia="Arial" w:hAnsi="Arial"/>
                <w:sz w:val="18"/>
                <w:szCs w:val="18"/>
                <w:color w:val="0000EE"/>
              </w:rPr>
              <w:t>Form of Underwriting Agreement.</w:t>
            </w: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2.1#</w:t>
            </w:r>
          </w:p>
        </w:tc>
        <w:tc>
          <w:tcPr>
            <w:tcW w:w="140" w:type="dxa"/>
            <w:vAlign w:val="bottom"/>
          </w:tcPr>
          <w:p>
            <w:pPr>
              <w:spacing w:after="0"/>
              <w:rPr>
                <w:sz w:val="17"/>
                <w:szCs w:val="17"/>
                <w:color w:val="auto"/>
              </w:rPr>
            </w:pPr>
          </w:p>
        </w:tc>
        <w:tc>
          <w:tcPr>
            <w:tcW w:w="730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17">
              <w:r>
                <w:rPr>
                  <w:rFonts w:ascii="Arial" w:cs="Arial" w:eastAsia="Arial" w:hAnsi="Arial"/>
                  <w:sz w:val="18"/>
                  <w:szCs w:val="18"/>
                  <w:color w:val="0000EE"/>
                  <w:w w:val="90"/>
                </w:rPr>
                <w:t>Agreement and Plan of Merger, dated as of May 15, 2022, by and among Dragonfly Energy Holdings</w:t>
              </w:r>
            </w:hyperlink>
          </w:p>
        </w:tc>
        <w:tc>
          <w:tcPr>
            <w:tcW w:w="300" w:type="dxa"/>
            <w:vAlign w:val="bottom"/>
            <w:gridSpan w:val="6"/>
          </w:tcPr>
          <w:p>
            <w:pPr>
              <w:spacing w:after="0"/>
              <w:rPr>
                <w:sz w:val="17"/>
                <w:szCs w:val="17"/>
                <w:color w:val="auto"/>
              </w:rPr>
            </w:pPr>
          </w:p>
        </w:tc>
        <w:tc>
          <w:tcPr>
            <w:tcW w:w="660" w:type="dxa"/>
            <w:vAlign w:val="bottom"/>
          </w:tcPr>
          <w:p>
            <w:pPr>
              <w:ind w:left="20"/>
              <w:spacing w:after="0" w:line="196" w:lineRule="exact"/>
              <w:rPr>
                <w:sz w:val="20"/>
                <w:szCs w:val="20"/>
                <w:color w:val="auto"/>
              </w:rPr>
            </w:pPr>
            <w:r>
              <w:rPr>
                <w:rFonts w:ascii="Arial" w:cs="Arial" w:eastAsia="Arial" w:hAnsi="Arial"/>
                <w:sz w:val="18"/>
                <w:szCs w:val="18"/>
                <w:color w:val="auto"/>
              </w:rPr>
              <w:t>S-4</w:t>
            </w:r>
          </w:p>
        </w:tc>
        <w:tc>
          <w:tcPr>
            <w:tcW w:w="92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2.1</w:t>
            </w:r>
          </w:p>
        </w:tc>
        <w:tc>
          <w:tcPr>
            <w:tcW w:w="94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9"/>
              </w:rPr>
              <w:t>7/22/2022</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gridSpan w:val="35"/>
          </w:tcPr>
          <w:p>
            <w:pPr>
              <w:spacing w:after="0" w:line="196" w:lineRule="exact"/>
              <w:rPr>
                <w:rFonts w:ascii="Arial" w:cs="Arial" w:eastAsia="Arial" w:hAnsi="Arial"/>
                <w:sz w:val="18"/>
                <w:szCs w:val="18"/>
                <w:color w:val="0000EE"/>
                <w:w w:val="96"/>
              </w:rPr>
            </w:pPr>
            <w:hyperlink r:id="rId17">
              <w:r>
                <w:rPr>
                  <w:rFonts w:ascii="Arial" w:cs="Arial" w:eastAsia="Arial" w:hAnsi="Arial"/>
                  <w:sz w:val="18"/>
                  <w:szCs w:val="18"/>
                  <w:color w:val="0000EE"/>
                  <w:w w:val="96"/>
                </w:rPr>
                <w:t>Corp. (f/k/a Chardan NexTech Acquisition 2 Corp.), Bronco Merger Sub, Inc. and Dragonfly Energy</w:t>
              </w:r>
            </w:hyperlink>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9"/>
              </w:rPr>
            </w:pPr>
            <w:hyperlink r:id="rId17">
              <w:r>
                <w:rPr>
                  <w:rFonts w:ascii="Arial" w:cs="Arial" w:eastAsia="Arial" w:hAnsi="Arial"/>
                  <w:sz w:val="18"/>
                  <w:szCs w:val="18"/>
                  <w:color w:val="0000EE"/>
                  <w:w w:val="89"/>
                </w:rPr>
                <w:t>Corp. (included as Annex A to the proxy statement/prospectus).</w:t>
              </w:r>
            </w:hyperlink>
          </w:p>
        </w:tc>
        <w:tc>
          <w:tcPr>
            <w:tcW w:w="2660" w:type="dxa"/>
            <w:vAlign w:val="bottom"/>
            <w:tcBorders>
              <w:top w:val="single" w:sz="8" w:color="0000EE"/>
            </w:tcBorders>
            <w:gridSpan w:val="7"/>
          </w:tcPr>
          <w:p>
            <w:pPr>
              <w:spacing w:after="0"/>
              <w:rPr>
                <w:sz w:val="17"/>
                <w:szCs w:val="17"/>
                <w:color w:val="auto"/>
              </w:rPr>
            </w:pPr>
          </w:p>
        </w:tc>
        <w:tc>
          <w:tcPr>
            <w:tcW w:w="38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2.2</w:t>
            </w:r>
          </w:p>
        </w:tc>
        <w:tc>
          <w:tcPr>
            <w:tcW w:w="140" w:type="dxa"/>
            <w:vAlign w:val="bottom"/>
          </w:tcPr>
          <w:p>
            <w:pPr>
              <w:spacing w:after="0"/>
              <w:rPr>
                <w:sz w:val="17"/>
                <w:szCs w:val="17"/>
                <w:color w:val="auto"/>
              </w:rPr>
            </w:pPr>
          </w:p>
        </w:tc>
        <w:tc>
          <w:tcPr>
            <w:tcW w:w="7600" w:type="dxa"/>
            <w:vAlign w:val="bottom"/>
            <w:gridSpan w:val="35"/>
          </w:tcPr>
          <w:p>
            <w:pPr>
              <w:spacing w:after="0" w:line="196" w:lineRule="exact"/>
              <w:rPr>
                <w:rFonts w:ascii="Arial" w:cs="Arial" w:eastAsia="Arial" w:hAnsi="Arial"/>
                <w:sz w:val="18"/>
                <w:szCs w:val="18"/>
                <w:color w:val="0000EE"/>
                <w:w w:val="96"/>
              </w:rPr>
            </w:pPr>
            <w:hyperlink r:id="rId18">
              <w:r>
                <w:rPr>
                  <w:rFonts w:ascii="Arial" w:cs="Arial" w:eastAsia="Arial" w:hAnsi="Arial"/>
                  <w:sz w:val="18"/>
                  <w:szCs w:val="18"/>
                  <w:color w:val="0000EE"/>
                  <w:w w:val="96"/>
                </w:rPr>
                <w:t>Amendment to Agreement and Plan of Merger, dated as of July 12, 2022, by and among Dragonfly</w:t>
              </w:r>
            </w:hyperlink>
          </w:p>
        </w:tc>
        <w:tc>
          <w:tcPr>
            <w:tcW w:w="660" w:type="dxa"/>
            <w:vAlign w:val="bottom"/>
          </w:tcPr>
          <w:p>
            <w:pPr>
              <w:ind w:left="20"/>
              <w:spacing w:after="0" w:line="196" w:lineRule="exact"/>
              <w:rPr>
                <w:sz w:val="20"/>
                <w:szCs w:val="20"/>
                <w:color w:val="auto"/>
              </w:rPr>
            </w:pPr>
            <w:r>
              <w:rPr>
                <w:rFonts w:ascii="Arial" w:cs="Arial" w:eastAsia="Arial" w:hAnsi="Arial"/>
                <w:sz w:val="18"/>
                <w:szCs w:val="18"/>
                <w:color w:val="auto"/>
              </w:rPr>
              <w:t>S-4</w:t>
            </w:r>
          </w:p>
        </w:tc>
        <w:tc>
          <w:tcPr>
            <w:tcW w:w="140" w:type="dxa"/>
            <w:vAlign w:val="bottom"/>
          </w:tcPr>
          <w:p>
            <w:pPr>
              <w:spacing w:after="0"/>
              <w:rPr>
                <w:sz w:val="17"/>
                <w:szCs w:val="17"/>
                <w:color w:val="auto"/>
              </w:rPr>
            </w:pPr>
          </w:p>
        </w:tc>
        <w:tc>
          <w:tcPr>
            <w:tcW w:w="780" w:type="dxa"/>
            <w:vAlign w:val="bottom"/>
          </w:tcPr>
          <w:p>
            <w:pPr>
              <w:spacing w:after="0" w:line="196" w:lineRule="exact"/>
              <w:rPr>
                <w:sz w:val="20"/>
                <w:szCs w:val="20"/>
                <w:color w:val="auto"/>
              </w:rPr>
            </w:pPr>
            <w:r>
              <w:rPr>
                <w:rFonts w:ascii="Arial" w:cs="Arial" w:eastAsia="Arial" w:hAnsi="Arial"/>
                <w:sz w:val="18"/>
                <w:szCs w:val="18"/>
                <w:color w:val="auto"/>
              </w:rPr>
              <w:t>2.1(a)</w:t>
            </w:r>
          </w:p>
        </w:tc>
        <w:tc>
          <w:tcPr>
            <w:tcW w:w="94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9"/>
              </w:rPr>
              <w:t>7/22/2022</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gridSpan w:val="35"/>
          </w:tcPr>
          <w:p>
            <w:pPr>
              <w:spacing w:after="0" w:line="196" w:lineRule="exact"/>
              <w:rPr>
                <w:rFonts w:ascii="Arial" w:cs="Arial" w:eastAsia="Arial" w:hAnsi="Arial"/>
                <w:sz w:val="18"/>
                <w:szCs w:val="18"/>
                <w:color w:val="0000EE"/>
                <w:w w:val="97"/>
              </w:rPr>
            </w:pPr>
            <w:hyperlink r:id="rId18">
              <w:r>
                <w:rPr>
                  <w:rFonts w:ascii="Arial" w:cs="Arial" w:eastAsia="Arial" w:hAnsi="Arial"/>
                  <w:sz w:val="18"/>
                  <w:szCs w:val="18"/>
                  <w:color w:val="0000EE"/>
                  <w:w w:val="97"/>
                </w:rPr>
                <w:t>Energy Holdings Corp. (f/k/a Chardan NexTech Acquisition 2 Corp.), Bronco Merger Sub, Inc. and</w:t>
              </w:r>
            </w:hyperlink>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8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Dragonfly Energy Corp.</w:t>
              </w:r>
            </w:hyperlink>
          </w:p>
        </w:tc>
        <w:tc>
          <w:tcPr>
            <w:tcW w:w="12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2.3</w:t>
            </w:r>
          </w:p>
        </w:tc>
        <w:tc>
          <w:tcPr>
            <w:tcW w:w="140" w:type="dxa"/>
            <w:vAlign w:val="bottom"/>
          </w:tcPr>
          <w:p>
            <w:pPr>
              <w:spacing w:after="0"/>
              <w:rPr>
                <w:sz w:val="17"/>
                <w:szCs w:val="17"/>
                <w:color w:val="auto"/>
              </w:rPr>
            </w:pPr>
          </w:p>
        </w:tc>
        <w:tc>
          <w:tcPr>
            <w:tcW w:w="17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Plan of Conversion.</w:t>
              </w:r>
            </w:hyperlink>
          </w:p>
        </w:tc>
        <w:tc>
          <w:tcPr>
            <w:tcW w:w="5860" w:type="dxa"/>
            <w:vAlign w:val="bottom"/>
            <w:gridSpan w:val="33"/>
          </w:tcPr>
          <w:p>
            <w:pPr>
              <w:spacing w:after="0"/>
              <w:rPr>
                <w:sz w:val="17"/>
                <w:szCs w:val="17"/>
                <w:color w:val="auto"/>
              </w:rPr>
            </w:pPr>
          </w:p>
        </w:tc>
        <w:tc>
          <w:tcPr>
            <w:tcW w:w="660" w:type="dxa"/>
            <w:vAlign w:val="bottom"/>
          </w:tcPr>
          <w:p>
            <w:pPr>
              <w:ind w:left="20"/>
              <w:spacing w:after="0" w:line="196" w:lineRule="exact"/>
              <w:rPr>
                <w:sz w:val="20"/>
                <w:szCs w:val="20"/>
                <w:color w:val="auto"/>
              </w:rPr>
            </w:pPr>
            <w:r>
              <w:rPr>
                <w:rFonts w:ascii="Arial" w:cs="Arial" w:eastAsia="Arial" w:hAnsi="Arial"/>
                <w:sz w:val="18"/>
                <w:szCs w:val="18"/>
                <w:color w:val="auto"/>
              </w:rPr>
              <w:t>8-K</w:t>
            </w:r>
          </w:p>
        </w:tc>
        <w:tc>
          <w:tcPr>
            <w:tcW w:w="92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2.1</w:t>
            </w:r>
          </w:p>
        </w:tc>
        <w:tc>
          <w:tcPr>
            <w:tcW w:w="94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9"/>
              </w:rPr>
              <w:t>3/31/2023</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7"/>
                <w:szCs w:val="17"/>
                <w:color w:val="auto"/>
              </w:rPr>
            </w:pPr>
          </w:p>
        </w:tc>
        <w:tc>
          <w:tcPr>
            <w:tcW w:w="448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20">
              <w:r>
                <w:rPr>
                  <w:rFonts w:ascii="Arial" w:cs="Arial" w:eastAsia="Arial" w:hAnsi="Arial"/>
                  <w:sz w:val="18"/>
                  <w:szCs w:val="18"/>
                  <w:color w:val="0000EE"/>
                  <w:w w:val="93"/>
                </w:rPr>
                <w:t>Articles of Incorporation of Dragonfly Energy Holdings Corp.</w:t>
              </w:r>
            </w:hyperlink>
          </w:p>
        </w:tc>
        <w:tc>
          <w:tcPr>
            <w:tcW w:w="3120" w:type="dxa"/>
            <w:vAlign w:val="bottom"/>
            <w:gridSpan w:val="17"/>
          </w:tcPr>
          <w:p>
            <w:pPr>
              <w:spacing w:after="0"/>
              <w:rPr>
                <w:sz w:val="17"/>
                <w:szCs w:val="17"/>
                <w:color w:val="auto"/>
              </w:rPr>
            </w:pPr>
          </w:p>
        </w:tc>
        <w:tc>
          <w:tcPr>
            <w:tcW w:w="660" w:type="dxa"/>
            <w:vAlign w:val="bottom"/>
          </w:tcPr>
          <w:p>
            <w:pPr>
              <w:ind w:left="20"/>
              <w:spacing w:after="0" w:line="196" w:lineRule="exact"/>
              <w:rPr>
                <w:sz w:val="20"/>
                <w:szCs w:val="20"/>
                <w:color w:val="auto"/>
              </w:rPr>
            </w:pPr>
            <w:r>
              <w:rPr>
                <w:rFonts w:ascii="Arial" w:cs="Arial" w:eastAsia="Arial" w:hAnsi="Arial"/>
                <w:sz w:val="18"/>
                <w:szCs w:val="18"/>
                <w:color w:val="auto"/>
              </w:rPr>
              <w:t>8-K</w:t>
            </w:r>
          </w:p>
        </w:tc>
        <w:tc>
          <w:tcPr>
            <w:tcW w:w="92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3.1</w:t>
            </w:r>
          </w:p>
        </w:tc>
        <w:tc>
          <w:tcPr>
            <w:tcW w:w="94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9"/>
              </w:rPr>
              <w:t>3/31/2023</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40" w:type="dxa"/>
            <w:vAlign w:val="bottom"/>
          </w:tcPr>
          <w:p>
            <w:pPr>
              <w:spacing w:after="0"/>
              <w:rPr>
                <w:sz w:val="17"/>
                <w:szCs w:val="17"/>
                <w:color w:val="auto"/>
              </w:rPr>
            </w:pPr>
          </w:p>
        </w:tc>
        <w:tc>
          <w:tcPr>
            <w:tcW w:w="7600" w:type="dxa"/>
            <w:vAlign w:val="bottom"/>
            <w:gridSpan w:val="35"/>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Bylaws of Dragonfly Energy Holdings Corp.</w:t>
              </w:r>
            </w:hyperlink>
          </w:p>
        </w:tc>
        <w:tc>
          <w:tcPr>
            <w:tcW w:w="660" w:type="dxa"/>
            <w:vAlign w:val="bottom"/>
          </w:tcPr>
          <w:p>
            <w:pPr>
              <w:ind w:left="20"/>
              <w:spacing w:after="0" w:line="196" w:lineRule="exact"/>
              <w:rPr>
                <w:sz w:val="20"/>
                <w:szCs w:val="20"/>
                <w:color w:val="auto"/>
              </w:rPr>
            </w:pPr>
            <w:r>
              <w:rPr>
                <w:rFonts w:ascii="Arial" w:cs="Arial" w:eastAsia="Arial" w:hAnsi="Arial"/>
                <w:sz w:val="18"/>
                <w:szCs w:val="18"/>
                <w:color w:val="auto"/>
              </w:rPr>
              <w:t>8-K</w:t>
            </w:r>
          </w:p>
        </w:tc>
        <w:tc>
          <w:tcPr>
            <w:tcW w:w="92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3.2</w:t>
            </w:r>
          </w:p>
        </w:tc>
        <w:tc>
          <w:tcPr>
            <w:tcW w:w="94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9"/>
              </w:rPr>
              <w:t>3/31/2023</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40" w:type="dxa"/>
            <w:vAlign w:val="bottom"/>
          </w:tcPr>
          <w:p>
            <w:pPr>
              <w:spacing w:after="0"/>
              <w:rPr>
                <w:sz w:val="17"/>
                <w:szCs w:val="17"/>
                <w:color w:val="auto"/>
              </w:rPr>
            </w:pPr>
          </w:p>
        </w:tc>
        <w:tc>
          <w:tcPr>
            <w:tcW w:w="7600" w:type="dxa"/>
            <w:vAlign w:val="bottom"/>
            <w:gridSpan w:val="35"/>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Specimen Common Stock Certificate of Dragonfly Energy Holdings Corp.</w:t>
              </w:r>
            </w:hyperlink>
          </w:p>
        </w:tc>
        <w:tc>
          <w:tcPr>
            <w:tcW w:w="660" w:type="dxa"/>
            <w:vAlign w:val="bottom"/>
          </w:tcPr>
          <w:p>
            <w:pPr>
              <w:ind w:left="20"/>
              <w:spacing w:after="0" w:line="196" w:lineRule="exact"/>
              <w:rPr>
                <w:sz w:val="20"/>
                <w:szCs w:val="20"/>
                <w:color w:val="auto"/>
              </w:rPr>
            </w:pPr>
            <w:r>
              <w:rPr>
                <w:rFonts w:ascii="Arial" w:cs="Arial" w:eastAsia="Arial" w:hAnsi="Arial"/>
                <w:sz w:val="18"/>
                <w:szCs w:val="18"/>
                <w:color w:val="auto"/>
              </w:rPr>
              <w:t>8-K</w:t>
            </w:r>
          </w:p>
        </w:tc>
        <w:tc>
          <w:tcPr>
            <w:tcW w:w="92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4.1</w:t>
            </w:r>
          </w:p>
        </w:tc>
        <w:tc>
          <w:tcPr>
            <w:tcW w:w="94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10/11/2022</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140" w:type="dxa"/>
            <w:vAlign w:val="bottom"/>
          </w:tcPr>
          <w:p>
            <w:pPr>
              <w:spacing w:after="0"/>
              <w:rPr>
                <w:sz w:val="17"/>
                <w:szCs w:val="17"/>
                <w:color w:val="auto"/>
              </w:rPr>
            </w:pPr>
          </w:p>
        </w:tc>
        <w:tc>
          <w:tcPr>
            <w:tcW w:w="53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 xml:space="preserve">Form of </w:t>
              </w:r>
              <w:r>
                <w:rPr>
                  <w:rFonts w:ascii="Arial" w:cs="Arial" w:eastAsia="Arial" w:hAnsi="Arial"/>
                  <w:sz w:val="18"/>
                  <w:szCs w:val="18"/>
                  <w:u w:val="single" w:color="auto"/>
                  <w:color w:val="0000EE"/>
                </w:rPr>
                <w:t>$</w:t>
              </w:r>
              <w:r>
                <w:rPr>
                  <w:rFonts w:ascii="Arial" w:cs="Arial" w:eastAsia="Arial" w:hAnsi="Arial"/>
                  <w:sz w:val="18"/>
                  <w:szCs w:val="18"/>
                  <w:color w:val="0000EE"/>
                </w:rPr>
                <w:t>10 Warrant of Dragonfly Energy Holdings Corp.</w:t>
              </w:r>
            </w:hyperlink>
          </w:p>
        </w:tc>
        <w:tc>
          <w:tcPr>
            <w:tcW w:w="2240" w:type="dxa"/>
            <w:vAlign w:val="bottom"/>
            <w:gridSpan w:val="10"/>
          </w:tcPr>
          <w:p>
            <w:pPr>
              <w:spacing w:after="0"/>
              <w:rPr>
                <w:sz w:val="17"/>
                <w:szCs w:val="17"/>
                <w:color w:val="auto"/>
              </w:rPr>
            </w:pPr>
          </w:p>
        </w:tc>
        <w:tc>
          <w:tcPr>
            <w:tcW w:w="660" w:type="dxa"/>
            <w:vAlign w:val="bottom"/>
          </w:tcPr>
          <w:p>
            <w:pPr>
              <w:ind w:left="20"/>
              <w:spacing w:after="0" w:line="196" w:lineRule="exact"/>
              <w:rPr>
                <w:sz w:val="20"/>
                <w:szCs w:val="20"/>
                <w:color w:val="auto"/>
              </w:rPr>
            </w:pPr>
            <w:r>
              <w:rPr>
                <w:rFonts w:ascii="Arial" w:cs="Arial" w:eastAsia="Arial" w:hAnsi="Arial"/>
                <w:sz w:val="18"/>
                <w:szCs w:val="18"/>
                <w:color w:val="auto"/>
              </w:rPr>
              <w:t>8-K</w:t>
            </w:r>
          </w:p>
        </w:tc>
        <w:tc>
          <w:tcPr>
            <w:tcW w:w="92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4.2</w:t>
            </w:r>
          </w:p>
        </w:tc>
        <w:tc>
          <w:tcPr>
            <w:tcW w:w="94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10/11/2022</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140" w:type="dxa"/>
            <w:vAlign w:val="bottom"/>
          </w:tcPr>
          <w:p>
            <w:pPr>
              <w:spacing w:after="0"/>
              <w:rPr>
                <w:sz w:val="17"/>
                <w:szCs w:val="17"/>
                <w:color w:val="auto"/>
              </w:rPr>
            </w:pPr>
          </w:p>
        </w:tc>
        <w:tc>
          <w:tcPr>
            <w:tcW w:w="7600" w:type="dxa"/>
            <w:vAlign w:val="bottom"/>
            <w:gridSpan w:val="35"/>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Form of Penny Warrant of Dragonfly Energy Holdings Corp.</w:t>
              </w:r>
            </w:hyperlink>
          </w:p>
        </w:tc>
        <w:tc>
          <w:tcPr>
            <w:tcW w:w="660" w:type="dxa"/>
            <w:vAlign w:val="bottom"/>
          </w:tcPr>
          <w:p>
            <w:pPr>
              <w:ind w:left="20"/>
              <w:spacing w:after="0" w:line="196" w:lineRule="exact"/>
              <w:rPr>
                <w:sz w:val="20"/>
                <w:szCs w:val="20"/>
                <w:color w:val="auto"/>
              </w:rPr>
            </w:pPr>
            <w:r>
              <w:rPr>
                <w:rFonts w:ascii="Arial" w:cs="Arial" w:eastAsia="Arial" w:hAnsi="Arial"/>
                <w:sz w:val="18"/>
                <w:szCs w:val="18"/>
                <w:color w:val="auto"/>
              </w:rPr>
              <w:t>8-K</w:t>
            </w:r>
          </w:p>
        </w:tc>
        <w:tc>
          <w:tcPr>
            <w:tcW w:w="92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4.3</w:t>
            </w:r>
          </w:p>
        </w:tc>
        <w:tc>
          <w:tcPr>
            <w:tcW w:w="94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10/11/2022</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140" w:type="dxa"/>
            <w:vAlign w:val="bottom"/>
          </w:tcPr>
          <w:p>
            <w:pPr>
              <w:spacing w:after="0"/>
              <w:rPr>
                <w:sz w:val="17"/>
                <w:szCs w:val="17"/>
                <w:color w:val="auto"/>
              </w:rPr>
            </w:pPr>
          </w:p>
        </w:tc>
        <w:tc>
          <w:tcPr>
            <w:tcW w:w="7600" w:type="dxa"/>
            <w:vAlign w:val="bottom"/>
            <w:gridSpan w:val="35"/>
          </w:tcPr>
          <w:p>
            <w:pPr>
              <w:spacing w:after="0" w:line="196" w:lineRule="exact"/>
              <w:rPr>
                <w:rFonts w:ascii="Arial" w:cs="Arial" w:eastAsia="Arial" w:hAnsi="Arial"/>
                <w:sz w:val="18"/>
                <w:szCs w:val="18"/>
                <w:color w:val="0000EE"/>
                <w:w w:val="97"/>
              </w:rPr>
            </w:pPr>
            <w:hyperlink r:id="rId25">
              <w:r>
                <w:rPr>
                  <w:rFonts w:ascii="Arial" w:cs="Arial" w:eastAsia="Arial" w:hAnsi="Arial"/>
                  <w:sz w:val="18"/>
                  <w:szCs w:val="18"/>
                  <w:color w:val="0000EE"/>
                  <w:w w:val="97"/>
                </w:rPr>
                <w:t>Warrant Agreement, dated as of October 19, 2022, between Dragonfly Energy Holdings Corp. and</w:t>
              </w:r>
            </w:hyperlink>
          </w:p>
        </w:tc>
        <w:tc>
          <w:tcPr>
            <w:tcW w:w="660" w:type="dxa"/>
            <w:vAlign w:val="bottom"/>
          </w:tcPr>
          <w:p>
            <w:pPr>
              <w:ind w:left="20"/>
              <w:spacing w:after="0" w:line="196" w:lineRule="exact"/>
              <w:rPr>
                <w:sz w:val="20"/>
                <w:szCs w:val="20"/>
                <w:color w:val="auto"/>
              </w:rPr>
            </w:pPr>
            <w:r>
              <w:rPr>
                <w:rFonts w:ascii="Arial" w:cs="Arial" w:eastAsia="Arial" w:hAnsi="Arial"/>
                <w:sz w:val="18"/>
                <w:szCs w:val="18"/>
                <w:color w:val="auto"/>
              </w:rPr>
              <w:t>S-1</w:t>
            </w:r>
          </w:p>
        </w:tc>
        <w:tc>
          <w:tcPr>
            <w:tcW w:w="92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4.4</w:t>
            </w:r>
          </w:p>
        </w:tc>
        <w:tc>
          <w:tcPr>
            <w:tcW w:w="94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10/21/2022</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8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American Stock Transfer &amp; Trust Company, LLC.</w:t>
              </w:r>
            </w:hyperlink>
          </w:p>
        </w:tc>
        <w:tc>
          <w:tcPr>
            <w:tcW w:w="12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140" w:type="dxa"/>
            <w:vAlign w:val="bottom"/>
          </w:tcPr>
          <w:p>
            <w:pPr>
              <w:spacing w:after="0"/>
              <w:rPr>
                <w:sz w:val="17"/>
                <w:szCs w:val="17"/>
                <w:color w:val="auto"/>
              </w:rPr>
            </w:pPr>
          </w:p>
        </w:tc>
        <w:tc>
          <w:tcPr>
            <w:tcW w:w="48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26">
              <w:r>
                <w:rPr>
                  <w:rFonts w:ascii="Arial" w:cs="Arial" w:eastAsia="Arial" w:hAnsi="Arial"/>
                  <w:sz w:val="18"/>
                  <w:szCs w:val="18"/>
                  <w:color w:val="0000EE"/>
                  <w:w w:val="91"/>
                </w:rPr>
                <w:t>Specimen Warrant Certificate of Dragonfly Energy Holdings Corp.</w:t>
              </w:r>
            </w:hyperlink>
          </w:p>
        </w:tc>
        <w:tc>
          <w:tcPr>
            <w:tcW w:w="2780" w:type="dxa"/>
            <w:vAlign w:val="bottom"/>
            <w:gridSpan w:val="12"/>
          </w:tcPr>
          <w:p>
            <w:pPr>
              <w:spacing w:after="0"/>
              <w:rPr>
                <w:sz w:val="17"/>
                <w:szCs w:val="17"/>
                <w:color w:val="auto"/>
              </w:rPr>
            </w:pPr>
          </w:p>
        </w:tc>
        <w:tc>
          <w:tcPr>
            <w:tcW w:w="66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92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4.5</w:t>
            </w:r>
          </w:p>
        </w:tc>
        <w:tc>
          <w:tcPr>
            <w:tcW w:w="94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9"/>
              </w:rPr>
              <w:t>4/17/2023</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4.6</w:t>
            </w:r>
          </w:p>
        </w:tc>
        <w:tc>
          <w:tcPr>
            <w:tcW w:w="140" w:type="dxa"/>
            <w:vAlign w:val="bottom"/>
          </w:tcPr>
          <w:p>
            <w:pPr>
              <w:spacing w:after="0"/>
              <w:rPr>
                <w:sz w:val="17"/>
                <w:szCs w:val="17"/>
                <w:color w:val="auto"/>
              </w:rPr>
            </w:pPr>
          </w:p>
        </w:tc>
        <w:tc>
          <w:tcPr>
            <w:tcW w:w="7600" w:type="dxa"/>
            <w:vAlign w:val="bottom"/>
            <w:gridSpan w:val="35"/>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Promissory Note of the Company, dated March 5, 2023.</w:t>
              </w:r>
            </w:hyperlink>
          </w:p>
        </w:tc>
        <w:tc>
          <w:tcPr>
            <w:tcW w:w="660" w:type="dxa"/>
            <w:vAlign w:val="bottom"/>
          </w:tcPr>
          <w:p>
            <w:pPr>
              <w:ind w:left="20"/>
              <w:spacing w:after="0" w:line="196" w:lineRule="exact"/>
              <w:rPr>
                <w:sz w:val="20"/>
                <w:szCs w:val="20"/>
                <w:color w:val="auto"/>
              </w:rPr>
            </w:pPr>
            <w:r>
              <w:rPr>
                <w:rFonts w:ascii="Arial" w:cs="Arial" w:eastAsia="Arial" w:hAnsi="Arial"/>
                <w:sz w:val="18"/>
                <w:szCs w:val="18"/>
                <w:color w:val="auto"/>
              </w:rPr>
              <w:t>8-K</w:t>
            </w:r>
          </w:p>
        </w:tc>
        <w:tc>
          <w:tcPr>
            <w:tcW w:w="92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4.1</w:t>
            </w:r>
          </w:p>
        </w:tc>
        <w:tc>
          <w:tcPr>
            <w:tcW w:w="94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3/9/2023</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4.7</w:t>
            </w:r>
          </w:p>
        </w:tc>
        <w:tc>
          <w:tcPr>
            <w:tcW w:w="140" w:type="dxa"/>
            <w:vAlign w:val="bottom"/>
          </w:tcPr>
          <w:p>
            <w:pPr>
              <w:spacing w:after="0"/>
              <w:rPr>
                <w:sz w:val="17"/>
                <w:szCs w:val="17"/>
                <w:color w:val="auto"/>
              </w:rPr>
            </w:pPr>
          </w:p>
        </w:tc>
        <w:tc>
          <w:tcPr>
            <w:tcW w:w="40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Description of Securities.</w:t>
              </w:r>
            </w:hyperlink>
          </w:p>
        </w:tc>
        <w:tc>
          <w:tcPr>
            <w:tcW w:w="3580" w:type="dxa"/>
            <w:vAlign w:val="bottom"/>
            <w:gridSpan w:val="20"/>
          </w:tcPr>
          <w:p>
            <w:pPr>
              <w:spacing w:after="0"/>
              <w:rPr>
                <w:sz w:val="17"/>
                <w:szCs w:val="17"/>
                <w:color w:val="auto"/>
              </w:rPr>
            </w:pPr>
          </w:p>
        </w:tc>
        <w:tc>
          <w:tcPr>
            <w:tcW w:w="660" w:type="dxa"/>
            <w:vAlign w:val="bottom"/>
          </w:tcPr>
          <w:p>
            <w:pPr>
              <w:ind w:left="20"/>
              <w:spacing w:after="0" w:line="196" w:lineRule="exact"/>
              <w:rPr>
                <w:sz w:val="20"/>
                <w:szCs w:val="20"/>
                <w:color w:val="auto"/>
              </w:rPr>
            </w:pPr>
            <w:r>
              <w:rPr>
                <w:rFonts w:ascii="Arial" w:cs="Arial" w:eastAsia="Arial" w:hAnsi="Arial"/>
                <w:sz w:val="18"/>
                <w:szCs w:val="18"/>
                <w:color w:val="auto"/>
              </w:rPr>
              <w:t>10-K</w:t>
            </w:r>
          </w:p>
        </w:tc>
        <w:tc>
          <w:tcPr>
            <w:tcW w:w="92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4.7</w:t>
            </w:r>
          </w:p>
        </w:tc>
        <w:tc>
          <w:tcPr>
            <w:tcW w:w="94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9"/>
              </w:rPr>
              <w:t>4/17/2023</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4.8*</w:t>
            </w:r>
          </w:p>
        </w:tc>
        <w:tc>
          <w:tcPr>
            <w:tcW w:w="140" w:type="dxa"/>
            <w:vAlign w:val="bottom"/>
          </w:tcPr>
          <w:p>
            <w:pPr>
              <w:spacing w:after="0"/>
              <w:rPr>
                <w:sz w:val="17"/>
                <w:szCs w:val="17"/>
                <w:color w:val="auto"/>
              </w:rPr>
            </w:pPr>
          </w:p>
        </w:tc>
        <w:tc>
          <w:tcPr>
            <w:tcW w:w="7600" w:type="dxa"/>
            <w:vAlign w:val="bottom"/>
            <w:gridSpan w:val="35"/>
          </w:tcPr>
          <w:p>
            <w:pPr>
              <w:spacing w:after="0" w:line="196" w:lineRule="exact"/>
              <w:rPr>
                <w:sz w:val="20"/>
                <w:szCs w:val="20"/>
                <w:color w:val="auto"/>
              </w:rPr>
            </w:pPr>
            <w:r>
              <w:rPr>
                <w:rFonts w:ascii="Arial" w:cs="Arial" w:eastAsia="Arial" w:hAnsi="Arial"/>
                <w:sz w:val="18"/>
                <w:szCs w:val="18"/>
                <w:color w:val="0000EE"/>
              </w:rPr>
              <w:t>Form of Underwriter Warrant.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4.9*</w:t>
            </w:r>
          </w:p>
        </w:tc>
        <w:tc>
          <w:tcPr>
            <w:tcW w:w="14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Form of Investor Warrant.</w:t>
            </w:r>
          </w:p>
        </w:tc>
        <w:tc>
          <w:tcPr>
            <w:tcW w:w="340" w:type="dxa"/>
            <w:vAlign w:val="bottom"/>
            <w:tcBorders>
              <w:top w:val="single" w:sz="8" w:color="0000EE"/>
            </w:tcBorders>
            <w:gridSpan w:val="2"/>
          </w:tcPr>
          <w:p>
            <w:pPr>
              <w:spacing w:after="0"/>
              <w:rPr>
                <w:sz w:val="17"/>
                <w:szCs w:val="17"/>
                <w:color w:val="auto"/>
              </w:rPr>
            </w:pPr>
          </w:p>
        </w:tc>
        <w:tc>
          <w:tcPr>
            <w:tcW w:w="5380" w:type="dxa"/>
            <w:vAlign w:val="bottom"/>
            <w:gridSpan w:val="29"/>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5.1*</w:t>
            </w:r>
          </w:p>
        </w:tc>
        <w:tc>
          <w:tcPr>
            <w:tcW w:w="140" w:type="dxa"/>
            <w:vAlign w:val="bottom"/>
          </w:tcPr>
          <w:p>
            <w:pPr>
              <w:spacing w:after="0"/>
              <w:rPr>
                <w:sz w:val="17"/>
                <w:szCs w:val="17"/>
                <w:color w:val="auto"/>
              </w:rPr>
            </w:pPr>
          </w:p>
        </w:tc>
        <w:tc>
          <w:tcPr>
            <w:tcW w:w="26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1"/>
              </w:rPr>
              <w:t>Opinion of Parsons Behle &amp; Latimer.</w:t>
            </w:r>
          </w:p>
        </w:tc>
        <w:tc>
          <w:tcPr>
            <w:tcW w:w="4920" w:type="dxa"/>
            <w:vAlign w:val="bottom"/>
            <w:gridSpan w:val="25"/>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5.2*</w:t>
            </w:r>
          </w:p>
        </w:tc>
        <w:tc>
          <w:tcPr>
            <w:tcW w:w="140" w:type="dxa"/>
            <w:vAlign w:val="bottom"/>
          </w:tcPr>
          <w:p>
            <w:pPr>
              <w:spacing w:after="0"/>
              <w:rPr>
                <w:sz w:val="17"/>
                <w:szCs w:val="17"/>
                <w:color w:val="auto"/>
              </w:rPr>
            </w:pPr>
          </w:p>
        </w:tc>
        <w:tc>
          <w:tcPr>
            <w:tcW w:w="7600" w:type="dxa"/>
            <w:vAlign w:val="bottom"/>
            <w:gridSpan w:val="35"/>
          </w:tcPr>
          <w:p>
            <w:pPr>
              <w:spacing w:after="0" w:line="196" w:lineRule="exact"/>
              <w:rPr>
                <w:sz w:val="20"/>
                <w:szCs w:val="20"/>
                <w:color w:val="auto"/>
              </w:rPr>
            </w:pPr>
            <w:r>
              <w:rPr>
                <w:rFonts w:ascii="Arial" w:cs="Arial" w:eastAsia="Arial" w:hAnsi="Arial"/>
                <w:sz w:val="18"/>
                <w:szCs w:val="18"/>
                <w:color w:val="0000EE"/>
              </w:rPr>
              <w:t>Opinion of Lowenstein Sandler LLP.</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7"/>
                <w:szCs w:val="17"/>
                <w:color w:val="auto"/>
              </w:rPr>
            </w:pPr>
          </w:p>
        </w:tc>
        <w:tc>
          <w:tcPr>
            <w:tcW w:w="7600" w:type="dxa"/>
            <w:vAlign w:val="bottom"/>
            <w:gridSpan w:val="35"/>
          </w:tcPr>
          <w:p>
            <w:pPr>
              <w:spacing w:after="0" w:line="196" w:lineRule="exact"/>
              <w:rPr>
                <w:rFonts w:ascii="Arial" w:cs="Arial" w:eastAsia="Arial" w:hAnsi="Arial"/>
                <w:sz w:val="18"/>
                <w:szCs w:val="18"/>
                <w:color w:val="0000EE"/>
                <w:w w:val="90"/>
              </w:rPr>
            </w:pPr>
            <w:hyperlink r:id="rId29">
              <w:r>
                <w:rPr>
                  <w:rFonts w:ascii="Arial" w:cs="Arial" w:eastAsia="Arial" w:hAnsi="Arial"/>
                  <w:sz w:val="18"/>
                  <w:szCs w:val="18"/>
                  <w:color w:val="0000EE"/>
                  <w:w w:val="90"/>
                </w:rPr>
                <w:t>Sponsor Support Agreement, dated as of May 15, 2022, by and among Chardan NexTech Investments 2</w:t>
              </w:r>
            </w:hyperlink>
          </w:p>
        </w:tc>
        <w:tc>
          <w:tcPr>
            <w:tcW w:w="660" w:type="dxa"/>
            <w:vAlign w:val="bottom"/>
          </w:tcPr>
          <w:p>
            <w:pPr>
              <w:ind w:left="20"/>
              <w:spacing w:after="0" w:line="196" w:lineRule="exact"/>
              <w:rPr>
                <w:sz w:val="20"/>
                <w:szCs w:val="20"/>
                <w:color w:val="auto"/>
              </w:rPr>
            </w:pPr>
            <w:r>
              <w:rPr>
                <w:rFonts w:ascii="Arial" w:cs="Arial" w:eastAsia="Arial" w:hAnsi="Arial"/>
                <w:sz w:val="18"/>
                <w:szCs w:val="18"/>
                <w:color w:val="auto"/>
              </w:rPr>
              <w:t>S-4</w:t>
            </w:r>
          </w:p>
        </w:tc>
        <w:tc>
          <w:tcPr>
            <w:tcW w:w="92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10.4</w:t>
            </w:r>
          </w:p>
        </w:tc>
        <w:tc>
          <w:tcPr>
            <w:tcW w:w="94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9"/>
              </w:rPr>
              <w:t>7/22/2022</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gridSpan w:val="35"/>
          </w:tcPr>
          <w:p>
            <w:pPr>
              <w:spacing w:after="0" w:line="196" w:lineRule="exact"/>
              <w:rPr>
                <w:rFonts w:ascii="Arial" w:cs="Arial" w:eastAsia="Arial" w:hAnsi="Arial"/>
                <w:sz w:val="18"/>
                <w:szCs w:val="18"/>
                <w:color w:val="0000EE"/>
                <w:w w:val="95"/>
              </w:rPr>
            </w:pPr>
            <w:hyperlink r:id="rId29">
              <w:r>
                <w:rPr>
                  <w:rFonts w:ascii="Arial" w:cs="Arial" w:eastAsia="Arial" w:hAnsi="Arial"/>
                  <w:sz w:val="18"/>
                  <w:szCs w:val="18"/>
                  <w:color w:val="0000EE"/>
                  <w:w w:val="95"/>
                </w:rPr>
                <w:t>LLC, Dragonfly Energy Corp. and Chardan NexTech Investments 2 LLC (included as Annex E to the</w:t>
              </w:r>
            </w:hyperlink>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8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proxy statement/prospectus).</w:t>
              </w:r>
            </w:hyperlink>
          </w:p>
        </w:tc>
        <w:tc>
          <w:tcPr>
            <w:tcW w:w="12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7"/>
                <w:szCs w:val="17"/>
                <w:color w:val="auto"/>
              </w:rPr>
            </w:pPr>
          </w:p>
        </w:tc>
        <w:tc>
          <w:tcPr>
            <w:tcW w:w="7600" w:type="dxa"/>
            <w:vAlign w:val="bottom"/>
            <w:gridSpan w:val="35"/>
          </w:tcPr>
          <w:p>
            <w:pPr>
              <w:spacing w:after="0" w:line="196" w:lineRule="exact"/>
              <w:rPr>
                <w:rFonts w:ascii="Arial" w:cs="Arial" w:eastAsia="Arial" w:hAnsi="Arial"/>
                <w:sz w:val="18"/>
                <w:szCs w:val="18"/>
                <w:color w:val="0000EE"/>
                <w:w w:val="94"/>
              </w:rPr>
            </w:pPr>
            <w:hyperlink r:id="rId30">
              <w:r>
                <w:rPr>
                  <w:rFonts w:ascii="Arial" w:cs="Arial" w:eastAsia="Arial" w:hAnsi="Arial"/>
                  <w:sz w:val="18"/>
                  <w:szCs w:val="18"/>
                  <w:color w:val="0000EE"/>
                  <w:w w:val="94"/>
                </w:rPr>
                <w:t>Commitment Letter, dated as of May 15, 2022, by and among Dragonfly Energy Holdings Corp. (f/k/a</w:t>
              </w:r>
            </w:hyperlink>
          </w:p>
        </w:tc>
        <w:tc>
          <w:tcPr>
            <w:tcW w:w="660" w:type="dxa"/>
            <w:vAlign w:val="bottom"/>
          </w:tcPr>
          <w:p>
            <w:pPr>
              <w:ind w:left="20"/>
              <w:spacing w:after="0" w:line="196" w:lineRule="exact"/>
              <w:rPr>
                <w:sz w:val="20"/>
                <w:szCs w:val="20"/>
                <w:color w:val="auto"/>
              </w:rPr>
            </w:pPr>
            <w:r>
              <w:rPr>
                <w:rFonts w:ascii="Arial" w:cs="Arial" w:eastAsia="Arial" w:hAnsi="Arial"/>
                <w:sz w:val="18"/>
                <w:szCs w:val="18"/>
                <w:color w:val="auto"/>
              </w:rPr>
              <w:t>S-4</w:t>
            </w:r>
          </w:p>
        </w:tc>
        <w:tc>
          <w:tcPr>
            <w:tcW w:w="92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10.5</w:t>
            </w:r>
          </w:p>
        </w:tc>
        <w:tc>
          <w:tcPr>
            <w:tcW w:w="94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2"/>
              </w:rPr>
              <w:t>7/22/2022</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2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92"/>
              </w:rPr>
            </w:pPr>
            <w:hyperlink r:id="rId30">
              <w:r>
                <w:rPr>
                  <w:rFonts w:ascii="Arial" w:cs="Arial" w:eastAsia="Arial" w:hAnsi="Arial"/>
                  <w:sz w:val="18"/>
                  <w:szCs w:val="18"/>
                  <w:color w:val="0000EE"/>
                  <w:w w:val="92"/>
                </w:rPr>
                <w:t>Chardan NexTech Acquisition 2 Corp.), Dragonfly Energy Corp., CCM Investments 5 LLC and EICF</w:t>
              </w:r>
            </w:hyperlink>
          </w:p>
        </w:tc>
        <w:tc>
          <w:tcPr>
            <w:tcW w:w="40" w:type="dxa"/>
            <w:vAlign w:val="bottom"/>
            <w:tcBorders>
              <w:top w:val="single" w:sz="8" w:color="0000EE"/>
            </w:tcBorders>
          </w:tcPr>
          <w:p>
            <w:pPr>
              <w:spacing w:after="0"/>
              <w:rPr>
                <w:sz w:val="17"/>
                <w:szCs w:val="17"/>
                <w:color w:val="auto"/>
              </w:rPr>
            </w:pPr>
          </w:p>
        </w:tc>
        <w:tc>
          <w:tcPr>
            <w:tcW w:w="24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30">
              <w:r>
                <w:rPr>
                  <w:rFonts w:ascii="Arial" w:cs="Arial" w:eastAsia="Arial" w:hAnsi="Arial"/>
                  <w:sz w:val="18"/>
                  <w:szCs w:val="18"/>
                  <w:color w:val="0000EE"/>
                  <w:w w:val="90"/>
                </w:rPr>
                <w:t>Agent LLC (included as Annex J to the proxy statement/prospectus).</w:t>
              </w:r>
            </w:hyperlink>
          </w:p>
        </w:tc>
        <w:tc>
          <w:tcPr>
            <w:tcW w:w="266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40" w:type="dxa"/>
            <w:vAlign w:val="bottom"/>
          </w:tcPr>
          <w:p>
            <w:pPr>
              <w:spacing w:after="0"/>
              <w:rPr>
                <w:sz w:val="17"/>
                <w:szCs w:val="17"/>
                <w:color w:val="auto"/>
              </w:rPr>
            </w:pPr>
          </w:p>
        </w:tc>
        <w:tc>
          <w:tcPr>
            <w:tcW w:w="7600" w:type="dxa"/>
            <w:vAlign w:val="bottom"/>
            <w:gridSpan w:val="35"/>
          </w:tcPr>
          <w:p>
            <w:pPr>
              <w:spacing w:after="0" w:line="196" w:lineRule="exact"/>
              <w:rPr>
                <w:rFonts w:ascii="Arial" w:cs="Arial" w:eastAsia="Arial" w:hAnsi="Arial"/>
                <w:sz w:val="18"/>
                <w:szCs w:val="18"/>
                <w:color w:val="0000EE"/>
                <w:w w:val="95"/>
              </w:rPr>
            </w:pPr>
            <w:hyperlink r:id="rId31">
              <w:r>
                <w:rPr>
                  <w:rFonts w:ascii="Arial" w:cs="Arial" w:eastAsia="Arial" w:hAnsi="Arial"/>
                  <w:sz w:val="18"/>
                  <w:szCs w:val="18"/>
                  <w:color w:val="0000EE"/>
                  <w:w w:val="95"/>
                </w:rPr>
                <w:t>Equity Facility Letter Agreement, dated as of May 15, 2022, by and among Dragonfly Energy Corp.,</w:t>
              </w:r>
            </w:hyperlink>
          </w:p>
        </w:tc>
        <w:tc>
          <w:tcPr>
            <w:tcW w:w="660" w:type="dxa"/>
            <w:vAlign w:val="bottom"/>
          </w:tcPr>
          <w:p>
            <w:pPr>
              <w:ind w:left="20"/>
              <w:spacing w:after="0" w:line="196" w:lineRule="exact"/>
              <w:rPr>
                <w:sz w:val="20"/>
                <w:szCs w:val="20"/>
                <w:color w:val="auto"/>
              </w:rPr>
            </w:pPr>
            <w:r>
              <w:rPr>
                <w:rFonts w:ascii="Arial" w:cs="Arial" w:eastAsia="Arial" w:hAnsi="Arial"/>
                <w:sz w:val="18"/>
                <w:szCs w:val="18"/>
                <w:color w:val="auto"/>
              </w:rPr>
              <w:t>S-4</w:t>
            </w:r>
          </w:p>
        </w:tc>
        <w:tc>
          <w:tcPr>
            <w:tcW w:w="92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10.6</w:t>
            </w:r>
          </w:p>
        </w:tc>
        <w:tc>
          <w:tcPr>
            <w:tcW w:w="94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2"/>
              </w:rPr>
              <w:t>7/22/2022</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20" w:type="dxa"/>
            <w:vAlign w:val="bottom"/>
            <w:tcBorders>
              <w:right w:val="single" w:sz="8" w:color="0000EE"/>
            </w:tcBorders>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gridSpan w:val="35"/>
          </w:tcPr>
          <w:p>
            <w:pPr>
              <w:spacing w:after="0" w:line="196" w:lineRule="exact"/>
              <w:rPr>
                <w:rFonts w:ascii="Arial" w:cs="Arial" w:eastAsia="Arial" w:hAnsi="Arial"/>
                <w:sz w:val="18"/>
                <w:szCs w:val="18"/>
                <w:color w:val="0000EE"/>
                <w:w w:val="94"/>
              </w:rPr>
            </w:pPr>
            <w:hyperlink r:id="rId31">
              <w:r>
                <w:rPr>
                  <w:rFonts w:ascii="Arial" w:cs="Arial" w:eastAsia="Arial" w:hAnsi="Arial"/>
                  <w:sz w:val="18"/>
                  <w:szCs w:val="18"/>
                  <w:color w:val="0000EE"/>
                  <w:w w:val="94"/>
                </w:rPr>
                <w:t>Dragonfly Energy Holdings Corp. (f/k/a Chardan NexTech Acquisition 2 Corp.) and CCM Investments</w:t>
              </w:r>
            </w:hyperlink>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5 LLC (included as Annex K to the proxy statement/prospectus).</w:t>
              </w:r>
            </w:hyperlink>
          </w:p>
        </w:tc>
        <w:tc>
          <w:tcPr>
            <w:tcW w:w="20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20" w:type="dxa"/>
            <w:vAlign w:val="bottom"/>
            <w:tcBorders>
              <w:right w:val="single" w:sz="8" w:color="0000EE"/>
            </w:tcBorders>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140" w:type="dxa"/>
            <w:vAlign w:val="bottom"/>
          </w:tcPr>
          <w:p>
            <w:pPr>
              <w:spacing w:after="0"/>
              <w:rPr>
                <w:sz w:val="17"/>
                <w:szCs w:val="17"/>
                <w:color w:val="auto"/>
              </w:rPr>
            </w:pPr>
          </w:p>
        </w:tc>
        <w:tc>
          <w:tcPr>
            <w:tcW w:w="7600" w:type="dxa"/>
            <w:vAlign w:val="bottom"/>
            <w:gridSpan w:val="35"/>
          </w:tcPr>
          <w:p>
            <w:pPr>
              <w:spacing w:after="0" w:line="196" w:lineRule="exact"/>
              <w:rPr>
                <w:rFonts w:ascii="Arial" w:cs="Arial" w:eastAsia="Arial" w:hAnsi="Arial"/>
                <w:sz w:val="18"/>
                <w:szCs w:val="18"/>
                <w:color w:val="0000EE"/>
                <w:w w:val="95"/>
              </w:rPr>
            </w:pPr>
            <w:hyperlink r:id="rId32">
              <w:r>
                <w:rPr>
                  <w:rFonts w:ascii="Arial" w:cs="Arial" w:eastAsia="Arial" w:hAnsi="Arial"/>
                  <w:sz w:val="18"/>
                  <w:szCs w:val="18"/>
                  <w:color w:val="0000EE"/>
                  <w:w w:val="95"/>
                </w:rPr>
                <w:t>Subscription Agreement, dated as of May 15, 2022, between Dragonfly Energy Holdings Corp. (f/k/a</w:t>
              </w:r>
            </w:hyperlink>
          </w:p>
        </w:tc>
        <w:tc>
          <w:tcPr>
            <w:tcW w:w="660" w:type="dxa"/>
            <w:vAlign w:val="bottom"/>
          </w:tcPr>
          <w:p>
            <w:pPr>
              <w:ind w:left="20"/>
              <w:spacing w:after="0" w:line="196" w:lineRule="exact"/>
              <w:rPr>
                <w:sz w:val="20"/>
                <w:szCs w:val="20"/>
                <w:color w:val="auto"/>
              </w:rPr>
            </w:pPr>
            <w:r>
              <w:rPr>
                <w:rFonts w:ascii="Arial" w:cs="Arial" w:eastAsia="Arial" w:hAnsi="Arial"/>
                <w:sz w:val="18"/>
                <w:szCs w:val="18"/>
                <w:color w:val="auto"/>
              </w:rPr>
              <w:t>S-4</w:t>
            </w:r>
          </w:p>
        </w:tc>
        <w:tc>
          <w:tcPr>
            <w:tcW w:w="92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10.7</w:t>
            </w:r>
          </w:p>
        </w:tc>
        <w:tc>
          <w:tcPr>
            <w:tcW w:w="94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2"/>
              </w:rPr>
              <w:t>7/22/2022</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20" w:type="dxa"/>
            <w:vAlign w:val="bottom"/>
            <w:tcBorders>
              <w:right w:val="single" w:sz="8" w:color="0000EE"/>
            </w:tcBorders>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1120" w:type="dxa"/>
            <w:vAlign w:val="bottom"/>
            <w:gridSpan w:val="7"/>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gridSpan w:val="35"/>
          </w:tcPr>
          <w:p>
            <w:pPr>
              <w:spacing w:after="0" w:line="196" w:lineRule="exact"/>
              <w:rPr>
                <w:rFonts w:ascii="Arial" w:cs="Arial" w:eastAsia="Arial" w:hAnsi="Arial"/>
                <w:sz w:val="18"/>
                <w:szCs w:val="18"/>
                <w:color w:val="0000EE"/>
                <w:w w:val="92"/>
              </w:rPr>
            </w:pPr>
            <w:hyperlink r:id="rId32">
              <w:r>
                <w:rPr>
                  <w:rFonts w:ascii="Arial" w:cs="Arial" w:eastAsia="Arial" w:hAnsi="Arial"/>
                  <w:sz w:val="18"/>
                  <w:szCs w:val="18"/>
                  <w:color w:val="0000EE"/>
                  <w:w w:val="92"/>
                </w:rPr>
                <w:t>Chardan NexTech Acquisition 2 Corp.) and Chardan NexTech Investments 2 LLC (included as Annex F</w:t>
              </w:r>
            </w:hyperlink>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r:id="rId32">
              <w:r>
                <w:rPr>
                  <w:rFonts w:ascii="Arial" w:cs="Arial" w:eastAsia="Arial" w:hAnsi="Arial"/>
                  <w:sz w:val="18"/>
                  <w:szCs w:val="18"/>
                  <w:color w:val="0000EE"/>
                  <w:w w:val="88"/>
                </w:rPr>
                <w:t>to the proxy statement/prospectus).</w:t>
              </w:r>
            </w:hyperlink>
          </w:p>
        </w:tc>
        <w:tc>
          <w:tcPr>
            <w:tcW w:w="4960" w:type="dxa"/>
            <w:vAlign w:val="bottom"/>
            <w:tcBorders>
              <w:top w:val="single" w:sz="8" w:color="0000EE"/>
            </w:tcBorders>
            <w:gridSpan w:val="25"/>
          </w:tcPr>
          <w:p>
            <w:pPr>
              <w:spacing w:after="0"/>
              <w:rPr>
                <w:sz w:val="17"/>
                <w:szCs w:val="17"/>
                <w:color w:val="auto"/>
              </w:rPr>
            </w:pPr>
          </w:p>
        </w:tc>
        <w:tc>
          <w:tcPr>
            <w:tcW w:w="12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140" w:type="dxa"/>
            <w:vAlign w:val="bottom"/>
          </w:tcPr>
          <w:p>
            <w:pPr>
              <w:spacing w:after="0"/>
              <w:rPr>
                <w:sz w:val="17"/>
                <w:szCs w:val="17"/>
                <w:color w:val="auto"/>
              </w:rPr>
            </w:pPr>
          </w:p>
        </w:tc>
        <w:tc>
          <w:tcPr>
            <w:tcW w:w="450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33">
              <w:r>
                <w:rPr>
                  <w:rFonts w:ascii="Arial" w:cs="Arial" w:eastAsia="Arial" w:hAnsi="Arial"/>
                  <w:sz w:val="18"/>
                  <w:szCs w:val="18"/>
                  <w:color w:val="0000EE"/>
                  <w:w w:val="92"/>
                </w:rPr>
                <w:t>Dragonfly Energy Holdings Corp. 2022 Equity Incentive Plan.</w:t>
              </w:r>
            </w:hyperlink>
          </w:p>
        </w:tc>
        <w:tc>
          <w:tcPr>
            <w:tcW w:w="3100" w:type="dxa"/>
            <w:vAlign w:val="bottom"/>
            <w:gridSpan w:val="16"/>
          </w:tcPr>
          <w:p>
            <w:pPr>
              <w:spacing w:after="0"/>
              <w:rPr>
                <w:sz w:val="17"/>
                <w:szCs w:val="17"/>
                <w:color w:val="auto"/>
              </w:rPr>
            </w:pPr>
          </w:p>
        </w:tc>
        <w:tc>
          <w:tcPr>
            <w:tcW w:w="660" w:type="dxa"/>
            <w:vAlign w:val="bottom"/>
          </w:tcPr>
          <w:p>
            <w:pPr>
              <w:ind w:left="20"/>
              <w:spacing w:after="0" w:line="196" w:lineRule="exact"/>
              <w:rPr>
                <w:sz w:val="20"/>
                <w:szCs w:val="20"/>
                <w:color w:val="auto"/>
              </w:rPr>
            </w:pPr>
            <w:r>
              <w:rPr>
                <w:rFonts w:ascii="Arial" w:cs="Arial" w:eastAsia="Arial" w:hAnsi="Arial"/>
                <w:sz w:val="18"/>
                <w:szCs w:val="18"/>
                <w:color w:val="auto"/>
              </w:rPr>
              <w:t>8-K</w:t>
            </w:r>
          </w:p>
        </w:tc>
        <w:tc>
          <w:tcPr>
            <w:tcW w:w="92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10.5</w:t>
            </w:r>
          </w:p>
        </w:tc>
        <w:tc>
          <w:tcPr>
            <w:tcW w:w="94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10/11/2022</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140" w:type="dxa"/>
            <w:vAlign w:val="bottom"/>
          </w:tcPr>
          <w:p>
            <w:pPr>
              <w:spacing w:after="0"/>
              <w:rPr>
                <w:sz w:val="17"/>
                <w:szCs w:val="17"/>
                <w:color w:val="auto"/>
              </w:rPr>
            </w:pPr>
          </w:p>
        </w:tc>
        <w:tc>
          <w:tcPr>
            <w:tcW w:w="47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34">
              <w:r>
                <w:rPr>
                  <w:rFonts w:ascii="Arial" w:cs="Arial" w:eastAsia="Arial" w:hAnsi="Arial"/>
                  <w:sz w:val="18"/>
                  <w:szCs w:val="18"/>
                  <w:color w:val="0000EE"/>
                  <w:w w:val="90"/>
                </w:rPr>
                <w:t>Dragonfly Energy Holdings Corp. Employee Stock Purchase Plan.</w:t>
              </w:r>
            </w:hyperlink>
          </w:p>
        </w:tc>
        <w:tc>
          <w:tcPr>
            <w:tcW w:w="2820" w:type="dxa"/>
            <w:vAlign w:val="bottom"/>
            <w:gridSpan w:val="13"/>
          </w:tcPr>
          <w:p>
            <w:pPr>
              <w:spacing w:after="0"/>
              <w:rPr>
                <w:sz w:val="17"/>
                <w:szCs w:val="17"/>
                <w:color w:val="auto"/>
              </w:rPr>
            </w:pPr>
          </w:p>
        </w:tc>
        <w:tc>
          <w:tcPr>
            <w:tcW w:w="660" w:type="dxa"/>
            <w:vAlign w:val="bottom"/>
          </w:tcPr>
          <w:p>
            <w:pPr>
              <w:ind w:left="20"/>
              <w:spacing w:after="0" w:line="196" w:lineRule="exact"/>
              <w:rPr>
                <w:sz w:val="20"/>
                <w:szCs w:val="20"/>
                <w:color w:val="auto"/>
              </w:rPr>
            </w:pPr>
            <w:r>
              <w:rPr>
                <w:rFonts w:ascii="Arial" w:cs="Arial" w:eastAsia="Arial" w:hAnsi="Arial"/>
                <w:sz w:val="18"/>
                <w:szCs w:val="18"/>
                <w:color w:val="auto"/>
              </w:rPr>
              <w:t>8-K</w:t>
            </w:r>
          </w:p>
        </w:tc>
        <w:tc>
          <w:tcPr>
            <w:tcW w:w="92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10.6</w:t>
            </w:r>
          </w:p>
        </w:tc>
        <w:tc>
          <w:tcPr>
            <w:tcW w:w="94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10/11/2022</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140" w:type="dxa"/>
            <w:vAlign w:val="bottom"/>
          </w:tcPr>
          <w:p>
            <w:pPr>
              <w:spacing w:after="0"/>
              <w:rPr>
                <w:sz w:val="17"/>
                <w:szCs w:val="17"/>
                <w:color w:val="auto"/>
              </w:rPr>
            </w:pPr>
          </w:p>
        </w:tc>
        <w:tc>
          <w:tcPr>
            <w:tcW w:w="33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35">
              <w:r>
                <w:rPr>
                  <w:rFonts w:ascii="Arial" w:cs="Arial" w:eastAsia="Arial" w:hAnsi="Arial"/>
                  <w:sz w:val="18"/>
                  <w:szCs w:val="18"/>
                  <w:color w:val="0000EE"/>
                  <w:w w:val="92"/>
                </w:rPr>
                <w:t>Form of Director Indemnification Agreement.</w:t>
              </w:r>
            </w:hyperlink>
          </w:p>
        </w:tc>
        <w:tc>
          <w:tcPr>
            <w:tcW w:w="4300" w:type="dxa"/>
            <w:vAlign w:val="bottom"/>
            <w:gridSpan w:val="23"/>
          </w:tcPr>
          <w:p>
            <w:pPr>
              <w:spacing w:after="0"/>
              <w:rPr>
                <w:sz w:val="17"/>
                <w:szCs w:val="17"/>
                <w:color w:val="auto"/>
              </w:rPr>
            </w:pPr>
          </w:p>
        </w:tc>
        <w:tc>
          <w:tcPr>
            <w:tcW w:w="660" w:type="dxa"/>
            <w:vAlign w:val="bottom"/>
          </w:tcPr>
          <w:p>
            <w:pPr>
              <w:ind w:left="20"/>
              <w:spacing w:after="0" w:line="196" w:lineRule="exact"/>
              <w:rPr>
                <w:sz w:val="20"/>
                <w:szCs w:val="20"/>
                <w:color w:val="auto"/>
              </w:rPr>
            </w:pPr>
            <w:r>
              <w:rPr>
                <w:rFonts w:ascii="Arial" w:cs="Arial" w:eastAsia="Arial" w:hAnsi="Arial"/>
                <w:sz w:val="18"/>
                <w:szCs w:val="18"/>
                <w:color w:val="auto"/>
              </w:rPr>
              <w:t>S-4/A</w:t>
            </w:r>
          </w:p>
        </w:tc>
        <w:tc>
          <w:tcPr>
            <w:tcW w:w="92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10.10</w:t>
            </w:r>
          </w:p>
        </w:tc>
        <w:tc>
          <w:tcPr>
            <w:tcW w:w="94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2"/>
              </w:rPr>
              <w:t>9/14/2022</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140" w:type="dxa"/>
            <w:vAlign w:val="bottom"/>
          </w:tcPr>
          <w:p>
            <w:pPr>
              <w:spacing w:after="0"/>
              <w:rPr>
                <w:sz w:val="17"/>
                <w:szCs w:val="17"/>
                <w:color w:val="auto"/>
              </w:rPr>
            </w:pPr>
          </w:p>
        </w:tc>
        <w:tc>
          <w:tcPr>
            <w:tcW w:w="7600" w:type="dxa"/>
            <w:vAlign w:val="bottom"/>
            <w:gridSpan w:val="35"/>
          </w:tcPr>
          <w:p>
            <w:pPr>
              <w:spacing w:after="0" w:line="196" w:lineRule="exact"/>
              <w:rPr>
                <w:rFonts w:ascii="Arial" w:cs="Arial" w:eastAsia="Arial" w:hAnsi="Arial"/>
                <w:sz w:val="18"/>
                <w:szCs w:val="18"/>
                <w:color w:val="0000EE"/>
                <w:w w:val="94"/>
              </w:rPr>
            </w:pPr>
            <w:hyperlink r:id="rId36">
              <w:r>
                <w:rPr>
                  <w:rFonts w:ascii="Arial" w:cs="Arial" w:eastAsia="Arial" w:hAnsi="Arial"/>
                  <w:sz w:val="18"/>
                  <w:szCs w:val="18"/>
                  <w:color w:val="0000EE"/>
                  <w:w w:val="94"/>
                </w:rPr>
                <w:t>Multi-tenant Industrial Triple Net Lease, dated as of March 1, 2021, between Dragonfly Energy Corp.</w:t>
              </w:r>
            </w:hyperlink>
          </w:p>
        </w:tc>
        <w:tc>
          <w:tcPr>
            <w:tcW w:w="660" w:type="dxa"/>
            <w:vAlign w:val="bottom"/>
          </w:tcPr>
          <w:p>
            <w:pPr>
              <w:ind w:left="20"/>
              <w:spacing w:after="0" w:line="196" w:lineRule="exact"/>
              <w:rPr>
                <w:sz w:val="20"/>
                <w:szCs w:val="20"/>
                <w:color w:val="auto"/>
              </w:rPr>
            </w:pPr>
            <w:r>
              <w:rPr>
                <w:rFonts w:ascii="Arial" w:cs="Arial" w:eastAsia="Arial" w:hAnsi="Arial"/>
                <w:sz w:val="18"/>
                <w:szCs w:val="18"/>
                <w:color w:val="auto"/>
              </w:rPr>
              <w:t>S-4</w:t>
            </w:r>
          </w:p>
        </w:tc>
        <w:tc>
          <w:tcPr>
            <w:tcW w:w="92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10.11</w:t>
            </w:r>
          </w:p>
        </w:tc>
        <w:tc>
          <w:tcPr>
            <w:tcW w:w="94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2"/>
              </w:rPr>
              <w:t>7/22/2022</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36">
              <w:r>
                <w:rPr>
                  <w:rFonts w:ascii="Arial" w:cs="Arial" w:eastAsia="Arial" w:hAnsi="Arial"/>
                  <w:sz w:val="18"/>
                  <w:szCs w:val="18"/>
                  <w:color w:val="0000EE"/>
                  <w:w w:val="90"/>
                </w:rPr>
                <w:t>and Icon Reno Property Owner Pool 3 Nevada, LLC.</w:t>
              </w:r>
            </w:hyperlink>
          </w:p>
        </w:tc>
        <w:tc>
          <w:tcPr>
            <w:tcW w:w="3660" w:type="dxa"/>
            <w:vAlign w:val="bottom"/>
            <w:tcBorders>
              <w:top w:val="single" w:sz="8" w:color="0000EE"/>
            </w:tcBorders>
            <w:gridSpan w:val="19"/>
          </w:tcPr>
          <w:p>
            <w:pPr>
              <w:spacing w:after="0"/>
              <w:rPr>
                <w:sz w:val="17"/>
                <w:szCs w:val="17"/>
                <w:color w:val="auto"/>
              </w:rPr>
            </w:pPr>
          </w:p>
        </w:tc>
        <w:tc>
          <w:tcPr>
            <w:tcW w:w="12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140" w:type="dxa"/>
            <w:vAlign w:val="bottom"/>
          </w:tcPr>
          <w:p>
            <w:pPr>
              <w:spacing w:after="0"/>
              <w:rPr>
                <w:sz w:val="17"/>
                <w:szCs w:val="17"/>
                <w:color w:val="auto"/>
              </w:rPr>
            </w:pPr>
          </w:p>
        </w:tc>
        <w:tc>
          <w:tcPr>
            <w:tcW w:w="7600" w:type="dxa"/>
            <w:vAlign w:val="bottom"/>
            <w:gridSpan w:val="35"/>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Lease, dated as of February 8, 2022, between Dragonfly Energy Corp. and Prologis, L.P.</w:t>
              </w:r>
            </w:hyperlink>
          </w:p>
        </w:tc>
        <w:tc>
          <w:tcPr>
            <w:tcW w:w="660" w:type="dxa"/>
            <w:vAlign w:val="bottom"/>
          </w:tcPr>
          <w:p>
            <w:pPr>
              <w:ind w:left="20"/>
              <w:spacing w:after="0" w:line="196" w:lineRule="exact"/>
              <w:rPr>
                <w:sz w:val="20"/>
                <w:szCs w:val="20"/>
                <w:color w:val="auto"/>
              </w:rPr>
            </w:pPr>
            <w:r>
              <w:rPr>
                <w:rFonts w:ascii="Arial" w:cs="Arial" w:eastAsia="Arial" w:hAnsi="Arial"/>
                <w:sz w:val="18"/>
                <w:szCs w:val="18"/>
                <w:color w:val="auto"/>
              </w:rPr>
              <w:t>S-4</w:t>
            </w:r>
          </w:p>
        </w:tc>
        <w:tc>
          <w:tcPr>
            <w:tcW w:w="92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10.12</w:t>
            </w:r>
          </w:p>
        </w:tc>
        <w:tc>
          <w:tcPr>
            <w:tcW w:w="94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2"/>
              </w:rPr>
              <w:t>7/22/2022</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20" w:type="dxa"/>
            <w:vAlign w:val="bottom"/>
            <w:tcBorders>
              <w:right w:val="single" w:sz="8" w:color="0000EE"/>
            </w:tcBorders>
            <w:gridSpan w:val="6"/>
            <w:shd w:val="clear" w:color="auto" w:fill="0000EE"/>
          </w:tcPr>
          <w:p>
            <w:pPr>
              <w:spacing w:after="0" w:line="20" w:lineRule="exact"/>
              <w:rPr>
                <w:sz w:val="1"/>
                <w:szCs w:val="1"/>
                <w:color w:val="auto"/>
              </w:rPr>
            </w:pPr>
          </w:p>
        </w:tc>
        <w:tc>
          <w:tcPr>
            <w:tcW w:w="4140" w:type="dxa"/>
            <w:vAlign w:val="bottom"/>
            <w:gridSpan w:val="20"/>
            <w:shd w:val="clear" w:color="auto" w:fill="0000EE"/>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140" w:type="dxa"/>
            <w:vAlign w:val="bottom"/>
          </w:tcPr>
          <w:p>
            <w:pPr>
              <w:spacing w:after="0"/>
              <w:rPr>
                <w:sz w:val="17"/>
                <w:szCs w:val="17"/>
                <w:color w:val="auto"/>
              </w:rPr>
            </w:pPr>
          </w:p>
        </w:tc>
        <w:tc>
          <w:tcPr>
            <w:tcW w:w="7600" w:type="dxa"/>
            <w:vAlign w:val="bottom"/>
            <w:gridSpan w:val="35"/>
          </w:tcPr>
          <w:p>
            <w:pPr>
              <w:spacing w:after="0" w:line="196" w:lineRule="exact"/>
              <w:rPr>
                <w:rFonts w:ascii="Arial" w:cs="Arial" w:eastAsia="Arial" w:hAnsi="Arial"/>
                <w:sz w:val="18"/>
                <w:szCs w:val="18"/>
                <w:color w:val="0000EE"/>
                <w:w w:val="96"/>
              </w:rPr>
            </w:pPr>
            <w:hyperlink r:id="rId38">
              <w:r>
                <w:rPr>
                  <w:rFonts w:ascii="Arial" w:cs="Arial" w:eastAsia="Arial" w:hAnsi="Arial"/>
                  <w:sz w:val="18"/>
                  <w:szCs w:val="18"/>
                  <w:color w:val="0000EE"/>
                  <w:w w:val="96"/>
                </w:rPr>
                <w:t>Purchase Agreement, dated as of October 7, 2022, between Dragonfly Energy Holdings Corp. and</w:t>
              </w:r>
            </w:hyperlink>
          </w:p>
        </w:tc>
        <w:tc>
          <w:tcPr>
            <w:tcW w:w="660" w:type="dxa"/>
            <w:vAlign w:val="bottom"/>
          </w:tcPr>
          <w:p>
            <w:pPr>
              <w:ind w:left="20"/>
              <w:spacing w:after="0" w:line="196" w:lineRule="exact"/>
              <w:rPr>
                <w:sz w:val="20"/>
                <w:szCs w:val="20"/>
                <w:color w:val="auto"/>
              </w:rPr>
            </w:pPr>
            <w:r>
              <w:rPr>
                <w:rFonts w:ascii="Arial" w:cs="Arial" w:eastAsia="Arial" w:hAnsi="Arial"/>
                <w:sz w:val="18"/>
                <w:szCs w:val="18"/>
                <w:color w:val="auto"/>
              </w:rPr>
              <w:t>8-K</w:t>
            </w:r>
          </w:p>
        </w:tc>
        <w:tc>
          <w:tcPr>
            <w:tcW w:w="92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10.10</w:t>
            </w:r>
          </w:p>
        </w:tc>
        <w:tc>
          <w:tcPr>
            <w:tcW w:w="94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10/11/2022</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8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Chardan Capital Markets LLC.</w:t>
              </w:r>
            </w:hyperlink>
          </w:p>
        </w:tc>
        <w:tc>
          <w:tcPr>
            <w:tcW w:w="12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w w:val="95"/>
              </w:rPr>
              <w:t>Exhibit No.</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320" w:type="dxa"/>
            <w:vAlign w:val="bottom"/>
            <w:gridSpan w:val="7"/>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9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7480" w:type="dxa"/>
            <w:vAlign w:val="bottom"/>
            <w:tcBorders>
              <w:top w:val="single" w:sz="8" w:color="auto"/>
              <w:bottom w:val="single" w:sz="8" w:color="0000EE"/>
            </w:tcBorders>
            <w:gridSpan w:val="19"/>
          </w:tcPr>
          <w:p>
            <w:pPr>
              <w:spacing w:after="0" w:line="176" w:lineRule="exact"/>
              <w:rPr>
                <w:rFonts w:ascii="Arial" w:cs="Arial" w:eastAsia="Arial" w:hAnsi="Arial"/>
                <w:sz w:val="18"/>
                <w:szCs w:val="18"/>
                <w:color w:val="0000EE"/>
                <w:w w:val="90"/>
              </w:rPr>
            </w:pPr>
            <w:hyperlink r:id="rId40">
              <w:r>
                <w:rPr>
                  <w:rFonts w:ascii="Arial" w:cs="Arial" w:eastAsia="Arial" w:hAnsi="Arial"/>
                  <w:sz w:val="18"/>
                  <w:szCs w:val="18"/>
                  <w:color w:val="0000EE"/>
                  <w:w w:val="90"/>
                </w:rPr>
                <w:t>Registration Rights Agreement, dated as of October 7, 2022, between Dragonfly Energy Holdings Corp.</w:t>
              </w:r>
            </w:hyperlink>
          </w:p>
        </w:tc>
        <w:tc>
          <w:tcPr>
            <w:tcW w:w="20" w:type="dxa"/>
            <w:vAlign w:val="bottom"/>
            <w:tcBorders>
              <w:bottom w:val="single" w:sz="8" w:color="0000EE"/>
            </w:tcBorders>
          </w:tcPr>
          <w:p>
            <w:pPr>
              <w:spacing w:after="0"/>
              <w:rPr>
                <w:sz w:val="15"/>
                <w:szCs w:val="15"/>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and Chardan Capital Markets LLC.</w:t>
              </w:r>
            </w:hyperlink>
          </w:p>
        </w:tc>
        <w:tc>
          <w:tcPr>
            <w:tcW w:w="4960" w:type="dxa"/>
            <w:vAlign w:val="bottom"/>
            <w:gridSpan w:val="10"/>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r:id="rId41">
              <w:r>
                <w:rPr>
                  <w:rFonts w:ascii="Arial" w:cs="Arial" w:eastAsia="Arial" w:hAnsi="Arial"/>
                  <w:sz w:val="18"/>
                  <w:szCs w:val="18"/>
                  <w:color w:val="0000EE"/>
                  <w:w w:val="95"/>
                </w:rPr>
                <w:t>Term Loan Agreement, dated as of October 7, 2022, by and among the Dragonfly Energy Holdings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0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41">
              <w:r>
                <w:rPr>
                  <w:rFonts w:ascii="Arial" w:cs="Arial" w:eastAsia="Arial" w:hAnsi="Arial"/>
                  <w:sz w:val="18"/>
                  <w:szCs w:val="18"/>
                  <w:color w:val="0000EE"/>
                  <w:w w:val="92"/>
                </w:rPr>
                <w:t>Corp., Dragonfly Energy Corp., the lenders from time to time party thereto and Alter Domus (US) LLC.</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42">
              <w:r>
                <w:rPr>
                  <w:rFonts w:ascii="Arial" w:cs="Arial" w:eastAsia="Arial" w:hAnsi="Arial"/>
                  <w:sz w:val="18"/>
                  <w:szCs w:val="18"/>
                  <w:color w:val="0000EE"/>
                  <w:w w:val="92"/>
                </w:rPr>
                <w:t>Pledge Agreement, dated as of October 7, 2022, by and among Dragonfly Energy Holdings Corp. and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r:id="rId42">
              <w:r>
                <w:rPr>
                  <w:rFonts w:ascii="Arial" w:cs="Arial" w:eastAsia="Arial" w:hAnsi="Arial"/>
                  <w:sz w:val="18"/>
                  <w:szCs w:val="18"/>
                  <w:color w:val="0000EE"/>
                  <w:w w:val="96"/>
                </w:rPr>
                <w:t>Alter Domus (US) LLC.</w:t>
              </w:r>
            </w:hyperlink>
          </w:p>
        </w:tc>
        <w:tc>
          <w:tcPr>
            <w:tcW w:w="5720" w:type="dxa"/>
            <w:vAlign w:val="bottom"/>
            <w:gridSpan w:val="1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43">
              <w:r>
                <w:rPr>
                  <w:rFonts w:ascii="Arial" w:cs="Arial" w:eastAsia="Arial" w:hAnsi="Arial"/>
                  <w:sz w:val="18"/>
                  <w:szCs w:val="18"/>
                  <w:color w:val="0000EE"/>
                  <w:w w:val="94"/>
                </w:rPr>
                <w:t>Employment Agreement, dated as of January 1, 2022, by and between Dragonfly Energy Corp. and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43">
              <w:r>
                <w:rPr>
                  <w:rFonts w:ascii="Arial" w:cs="Arial" w:eastAsia="Arial" w:hAnsi="Arial"/>
                  <w:sz w:val="18"/>
                  <w:szCs w:val="18"/>
                  <w:color w:val="0000EE"/>
                  <w:w w:val="86"/>
                </w:rPr>
                <w:t>Denis Phares.</w:t>
              </w:r>
            </w:hyperlink>
          </w:p>
        </w:tc>
        <w:tc>
          <w:tcPr>
            <w:tcW w:w="6520" w:type="dxa"/>
            <w:vAlign w:val="bottom"/>
            <w:gridSpan w:val="19"/>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44">
              <w:r>
                <w:rPr>
                  <w:rFonts w:ascii="Arial" w:cs="Arial" w:eastAsia="Arial" w:hAnsi="Arial"/>
                  <w:sz w:val="18"/>
                  <w:szCs w:val="18"/>
                  <w:color w:val="0000EE"/>
                  <w:w w:val="92"/>
                </w:rPr>
                <w:t>Amendment to Employment Agreement, dated as of May 15, 2022, by and between Dragonfly Energy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44">
              <w:r>
                <w:rPr>
                  <w:rFonts w:ascii="Arial" w:cs="Arial" w:eastAsia="Arial" w:hAnsi="Arial"/>
                  <w:sz w:val="18"/>
                  <w:szCs w:val="18"/>
                  <w:color w:val="0000EE"/>
                  <w:w w:val="88"/>
                </w:rPr>
                <w:t>Corp. and Denis Phares.</w:t>
              </w:r>
            </w:hyperlink>
          </w:p>
        </w:tc>
        <w:tc>
          <w:tcPr>
            <w:tcW w:w="5760" w:type="dxa"/>
            <w:vAlign w:val="bottom"/>
            <w:gridSpan w:val="1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45">
              <w:r>
                <w:rPr>
                  <w:rFonts w:ascii="Arial" w:cs="Arial" w:eastAsia="Arial" w:hAnsi="Arial"/>
                  <w:sz w:val="18"/>
                  <w:szCs w:val="18"/>
                  <w:color w:val="0000EE"/>
                  <w:w w:val="94"/>
                </w:rPr>
                <w:t>Employment Agreement, dated as of January 1, 2022, by and between Dragonfly Energy Corp. and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gridSpan w:val="21"/>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Sean Nichols.</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Amendment to Employment Agreement, dated as of May 15, 2022, by and between Dragonfly Energy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46">
              <w:r>
                <w:rPr>
                  <w:rFonts w:ascii="Arial" w:cs="Arial" w:eastAsia="Arial" w:hAnsi="Arial"/>
                  <w:sz w:val="18"/>
                  <w:szCs w:val="18"/>
                  <w:color w:val="0000EE"/>
                  <w:w w:val="90"/>
                </w:rPr>
                <w:t>Corp. and Sean Nichols.</w:t>
              </w:r>
            </w:hyperlink>
          </w:p>
        </w:tc>
        <w:tc>
          <w:tcPr>
            <w:tcW w:w="5740" w:type="dxa"/>
            <w:vAlign w:val="bottom"/>
            <w:gridSpan w:val="15"/>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47">
              <w:r>
                <w:rPr>
                  <w:rFonts w:ascii="Arial" w:cs="Arial" w:eastAsia="Arial" w:hAnsi="Arial"/>
                  <w:sz w:val="18"/>
                  <w:szCs w:val="18"/>
                  <w:color w:val="0000EE"/>
                  <w:w w:val="94"/>
                </w:rPr>
                <w:t>Employment Agreement, dated as of August 17, 2021, by and between Dragonfly Energy Corp. and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47">
              <w:r>
                <w:rPr>
                  <w:rFonts w:ascii="Arial" w:cs="Arial" w:eastAsia="Arial" w:hAnsi="Arial"/>
                  <w:sz w:val="18"/>
                  <w:szCs w:val="18"/>
                  <w:color w:val="0000EE"/>
                  <w:w w:val="90"/>
                </w:rPr>
                <w:t>John Marchetti.</w:t>
              </w:r>
            </w:hyperlink>
          </w:p>
        </w:tc>
        <w:tc>
          <w:tcPr>
            <w:tcW w:w="6380" w:type="dxa"/>
            <w:vAlign w:val="bottom"/>
            <w:gridSpan w:val="18"/>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120" w:type="dxa"/>
            <w:vAlign w:val="bottom"/>
          </w:tcPr>
          <w:p>
            <w:pPr>
              <w:spacing w:after="0"/>
              <w:rPr>
                <w:sz w:val="17"/>
                <w:szCs w:val="17"/>
                <w:color w:val="auto"/>
              </w:rPr>
            </w:pPr>
          </w:p>
        </w:tc>
        <w:tc>
          <w:tcPr>
            <w:tcW w:w="7520" w:type="dxa"/>
            <w:vAlign w:val="bottom"/>
            <w:gridSpan w:val="21"/>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Dragonfly Energy Corp. 2019 Stock Incentive Plan.</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120" w:type="dxa"/>
            <w:vAlign w:val="bottom"/>
          </w:tcPr>
          <w:p>
            <w:pPr>
              <w:spacing w:after="0"/>
              <w:rPr>
                <w:sz w:val="17"/>
                <w:szCs w:val="17"/>
                <w:color w:val="auto"/>
              </w:rPr>
            </w:pPr>
          </w:p>
        </w:tc>
        <w:tc>
          <w:tcPr>
            <w:tcW w:w="7520" w:type="dxa"/>
            <w:vAlign w:val="bottom"/>
            <w:gridSpan w:val="21"/>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Dragonfly Energy Corp. 2021 Stock Incentive Plan.</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50">
              <w:r>
                <w:rPr>
                  <w:rFonts w:ascii="Arial" w:cs="Arial" w:eastAsia="Arial" w:hAnsi="Arial"/>
                  <w:sz w:val="18"/>
                  <w:szCs w:val="18"/>
                  <w:color w:val="0000EE"/>
                  <w:w w:val="94"/>
                </w:rPr>
                <w:t>Amended and Restated Registration Rights Agreement, dated as of October 7, 2022, by and among</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gridSpan w:val="21"/>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Dragonfly Energy Holdings Corp. and each of the stockholders thereto.</w:t>
              </w:r>
            </w:hyperlink>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12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51">
              <w:r>
                <w:rPr>
                  <w:rFonts w:ascii="Arial" w:cs="Arial" w:eastAsia="Arial" w:hAnsi="Arial"/>
                  <w:sz w:val="18"/>
                  <w:szCs w:val="18"/>
                  <w:color w:val="0000EE"/>
                  <w:w w:val="91"/>
                </w:rPr>
                <w:t>Director Compensation Policy.</w:t>
              </w:r>
            </w:hyperlink>
          </w:p>
        </w:tc>
        <w:tc>
          <w:tcPr>
            <w:tcW w:w="2900" w:type="dxa"/>
            <w:vAlign w:val="bottom"/>
            <w:tcBorders>
              <w:top w:val="single" w:sz="8" w:color="0000EE"/>
            </w:tcBorders>
            <w:gridSpan w:val="9"/>
          </w:tcPr>
          <w:p>
            <w:pPr>
              <w:spacing w:after="0"/>
              <w:rPr>
                <w:sz w:val="17"/>
                <w:szCs w:val="17"/>
                <w:color w:val="auto"/>
              </w:rPr>
            </w:pPr>
          </w:p>
        </w:tc>
        <w:tc>
          <w:tcPr>
            <w:tcW w:w="238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10.23++</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52">
              <w:r>
                <w:rPr>
                  <w:rFonts w:ascii="Arial" w:cs="Arial" w:eastAsia="Arial" w:hAnsi="Arial"/>
                  <w:sz w:val="18"/>
                  <w:szCs w:val="18"/>
                  <w:color w:val="0000EE"/>
                  <w:w w:val="94"/>
                </w:rPr>
                <w:t>Employment Agreement, dated as of October 11, 2022, by and between Dragonfly Energy Holdings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52">
              <w:r>
                <w:rPr>
                  <w:rFonts w:ascii="Arial" w:cs="Arial" w:eastAsia="Arial" w:hAnsi="Arial"/>
                  <w:sz w:val="18"/>
                  <w:szCs w:val="18"/>
                  <w:color w:val="0000EE"/>
                  <w:w w:val="88"/>
                </w:rPr>
                <w:t>Corp. and Denis Phares.</w:t>
              </w:r>
            </w:hyperlink>
          </w:p>
        </w:tc>
        <w:tc>
          <w:tcPr>
            <w:tcW w:w="5760" w:type="dxa"/>
            <w:vAlign w:val="bottom"/>
            <w:gridSpan w:val="1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10.24++</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53">
              <w:r>
                <w:rPr>
                  <w:rFonts w:ascii="Arial" w:cs="Arial" w:eastAsia="Arial" w:hAnsi="Arial"/>
                  <w:sz w:val="18"/>
                  <w:szCs w:val="18"/>
                  <w:color w:val="0000EE"/>
                  <w:w w:val="94"/>
                </w:rPr>
                <w:t>Employment Agreement, dated as of October 11, 2022, by and between Dragonfly Energy Holdings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53">
              <w:r>
                <w:rPr>
                  <w:rFonts w:ascii="Arial" w:cs="Arial" w:eastAsia="Arial" w:hAnsi="Arial"/>
                  <w:sz w:val="18"/>
                  <w:szCs w:val="18"/>
                  <w:color w:val="0000EE"/>
                  <w:w w:val="90"/>
                </w:rPr>
                <w:t>Corp. and John Marchetti.</w:t>
              </w:r>
            </w:hyperlink>
          </w:p>
        </w:tc>
        <w:tc>
          <w:tcPr>
            <w:tcW w:w="5620" w:type="dxa"/>
            <w:vAlign w:val="bottom"/>
            <w:gridSpan w:val="1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10.25++</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7"/>
              </w:rPr>
            </w:pPr>
            <w:hyperlink r:id="rId54">
              <w:r>
                <w:rPr>
                  <w:rFonts w:ascii="Arial" w:cs="Arial" w:eastAsia="Arial" w:hAnsi="Arial"/>
                  <w:sz w:val="18"/>
                  <w:szCs w:val="18"/>
                  <w:color w:val="0000EE"/>
                  <w:w w:val="97"/>
                </w:rPr>
                <w:t>First Amended and Restated Employment Agreement, dated February 24, 2023, by and between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gridSpan w:val="21"/>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Dragonfly Energy Holdings Corp. and John Marchetti.</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10.26</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r:id="rId55">
              <w:r>
                <w:rPr>
                  <w:rFonts w:ascii="Arial" w:cs="Arial" w:eastAsia="Arial" w:hAnsi="Arial"/>
                  <w:sz w:val="18"/>
                  <w:szCs w:val="18"/>
                  <w:color w:val="0000EE"/>
                  <w:w w:val="95"/>
                </w:rPr>
                <w:t>Separation Agreement by and between Dragonfly Energy Holdings Corp. and Sean Nichols, dated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gridSpan w:val="21"/>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October 25, 2022.</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10.27</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56">
              <w:r>
                <w:rPr>
                  <w:rFonts w:ascii="Arial" w:cs="Arial" w:eastAsia="Arial" w:hAnsi="Arial"/>
                  <w:sz w:val="18"/>
                  <w:szCs w:val="18"/>
                  <w:color w:val="0000EE"/>
                  <w:w w:val="90"/>
                </w:rPr>
                <w:t>First Amendment to Separation Agreement by and between Dragonfly Energy Holdings Corp. and Sean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56">
              <w:r>
                <w:rPr>
                  <w:rFonts w:ascii="Arial" w:cs="Arial" w:eastAsia="Arial" w:hAnsi="Arial"/>
                  <w:sz w:val="18"/>
                  <w:szCs w:val="18"/>
                  <w:color w:val="0000EE"/>
                  <w:w w:val="90"/>
                </w:rPr>
                <w:t>Nichols, dated November 14, 2022.</w:t>
              </w:r>
            </w:hyperlink>
          </w:p>
        </w:tc>
        <w:tc>
          <w:tcPr>
            <w:tcW w:w="4940" w:type="dxa"/>
            <w:vAlign w:val="bottom"/>
            <w:gridSpan w:val="9"/>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10.28</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r:id="rId57">
              <w:r>
                <w:rPr>
                  <w:rFonts w:ascii="Arial" w:cs="Arial" w:eastAsia="Arial" w:hAnsi="Arial"/>
                  <w:sz w:val="18"/>
                  <w:szCs w:val="18"/>
                  <w:color w:val="0000EE"/>
                  <w:w w:val="93"/>
                </w:rPr>
                <w:t>Asset Purchase Agreement, dated April 22, 2022, by and among Dragonfly Energy Corp., Thomason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57">
              <w:r>
                <w:rPr>
                  <w:rFonts w:ascii="Arial" w:cs="Arial" w:eastAsia="Arial" w:hAnsi="Arial"/>
                  <w:sz w:val="18"/>
                  <w:szCs w:val="18"/>
                  <w:color w:val="0000EE"/>
                  <w:w w:val="90"/>
                </w:rPr>
                <w:t>Jones Company, LLC, William Thomason and Richard Jones.</w:t>
              </w:r>
            </w:hyperlink>
          </w:p>
        </w:tc>
        <w:tc>
          <w:tcPr>
            <w:tcW w:w="3060" w:type="dxa"/>
            <w:vAlign w:val="bottom"/>
            <w:gridSpan w:val="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10.29</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7"/>
              </w:rPr>
            </w:pPr>
            <w:hyperlink r:id="rId58">
              <w:r>
                <w:rPr>
                  <w:rFonts w:ascii="Arial" w:cs="Arial" w:eastAsia="Arial" w:hAnsi="Arial"/>
                  <w:sz w:val="18"/>
                  <w:szCs w:val="18"/>
                  <w:color w:val="0000EE"/>
                  <w:w w:val="97"/>
                </w:rPr>
                <w:t>Manufacturing Supply Agreement, dated November 19, 2021, by and between Dragonfly Energy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gridSpan w:val="21"/>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Holdings Corp. and Keystone RV Company.</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9"/>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10.30</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59">
              <w:r>
                <w:rPr>
                  <w:rFonts w:ascii="Arial" w:cs="Arial" w:eastAsia="Arial" w:hAnsi="Arial"/>
                  <w:sz w:val="18"/>
                  <w:szCs w:val="18"/>
                  <w:color w:val="0000EE"/>
                  <w:w w:val="92"/>
                </w:rPr>
                <w:t>Asset Purchase Agreement, dated January 1, 2022, by and between Dragonfly Energy Holdings Corp.</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gridSpan w:val="21"/>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and Bourns Productions, Inc.</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9"/>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10.31</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60">
              <w:r>
                <w:rPr>
                  <w:rFonts w:ascii="Arial" w:cs="Arial" w:eastAsia="Arial" w:hAnsi="Arial"/>
                  <w:sz w:val="18"/>
                  <w:szCs w:val="18"/>
                  <w:color w:val="0000EE"/>
                  <w:w w:val="94"/>
                </w:rPr>
                <w:t>Assignment and Assumption Agreement, dated January 1, 2022, by and between Dragonfly Energy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60">
              <w:r>
                <w:rPr>
                  <w:rFonts w:ascii="Arial" w:cs="Arial" w:eastAsia="Arial" w:hAnsi="Arial"/>
                  <w:sz w:val="18"/>
                  <w:szCs w:val="18"/>
                  <w:color w:val="0000EE"/>
                  <w:w w:val="90"/>
                </w:rPr>
                <w:t>Corp. and Bourns Productions, Inc.</w:t>
              </w:r>
            </w:hyperlink>
          </w:p>
        </w:tc>
        <w:tc>
          <w:tcPr>
            <w:tcW w:w="4960" w:type="dxa"/>
            <w:vAlign w:val="bottom"/>
            <w:gridSpan w:val="10"/>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10.32</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61">
              <w:r>
                <w:rPr>
                  <w:rFonts w:ascii="Arial" w:cs="Arial" w:eastAsia="Arial" w:hAnsi="Arial"/>
                  <w:sz w:val="18"/>
                  <w:szCs w:val="18"/>
                  <w:color w:val="0000EE"/>
                  <w:w w:val="94"/>
                </w:rPr>
                <w:t>Assignment and Assumption of Lease Agreement, dated January 1, 2022, by and among Dragonfly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gridSpan w:val="21"/>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Energy Corp., Bourns Productions, Inc. and Los Angeles &amp; Steel Co.</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gridSpan w:val="13"/>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10.33</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62">
              <w:r>
                <w:rPr>
                  <w:rFonts w:ascii="Arial" w:cs="Arial" w:eastAsia="Arial" w:hAnsi="Arial"/>
                  <w:sz w:val="18"/>
                  <w:szCs w:val="18"/>
                  <w:color w:val="0000EE"/>
                  <w:w w:val="92"/>
                </w:rPr>
                <w:t>Research and Development Lab Lease, dated April 25, 2019, by and between Dragonfly Energy Corp.</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and BRE RS Greg Park Owner LLC.</w:t>
              </w:r>
            </w:hyperlink>
          </w:p>
        </w:tc>
        <w:tc>
          <w:tcPr>
            <w:tcW w:w="4840" w:type="dxa"/>
            <w:vAlign w:val="bottom"/>
            <w:gridSpan w:val="8"/>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10.34</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r:id="rId63">
              <w:r>
                <w:rPr>
                  <w:rFonts w:ascii="Arial" w:cs="Arial" w:eastAsia="Arial" w:hAnsi="Arial"/>
                  <w:sz w:val="18"/>
                  <w:szCs w:val="18"/>
                  <w:color w:val="0000EE"/>
                  <w:w w:val="96"/>
                </w:rPr>
                <w:t>Amendment No. 1 to Research and Lab Lease, dated March 12, 2020, by and between Dragonfly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Energy Corp. and DRE RS Greg Park Owner LLC.</w:t>
              </w:r>
            </w:hyperlink>
          </w:p>
        </w:tc>
        <w:tc>
          <w:tcPr>
            <w:tcW w:w="3780" w:type="dxa"/>
            <w:vAlign w:val="bottom"/>
            <w:gridSpan w:val="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10.35</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Amendment No. 2 to Research and Lab Lease, dated July 27, 2020, by and between Dragonfly Energy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64">
              <w:r>
                <w:rPr>
                  <w:rFonts w:ascii="Arial" w:cs="Arial" w:eastAsia="Arial" w:hAnsi="Arial"/>
                  <w:sz w:val="18"/>
                  <w:szCs w:val="18"/>
                  <w:color w:val="0000EE"/>
                  <w:w w:val="92"/>
                </w:rPr>
                <w:t>Corp. and DRE RS Greg Park Owner LLC.</w:t>
              </w:r>
            </w:hyperlink>
          </w:p>
        </w:tc>
        <w:tc>
          <w:tcPr>
            <w:tcW w:w="4320" w:type="dxa"/>
            <w:vAlign w:val="bottom"/>
            <w:gridSpan w:val="7"/>
          </w:tcPr>
          <w:p>
            <w:pPr>
              <w:spacing w:after="0"/>
              <w:rPr>
                <w:sz w:val="17"/>
                <w:szCs w:val="17"/>
                <w:color w:val="auto"/>
              </w:rPr>
            </w:pPr>
          </w:p>
        </w:tc>
      </w:tr>
    </w:tbl>
    <w:p>
      <w:pPr>
        <w:spacing w:after="0" w:line="22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7"/>
          <w:szCs w:val="17"/>
          <w:b w:val="1"/>
          <w:bCs w:val="1"/>
          <w:color w:val="auto"/>
        </w:rPr>
        <w:t>Incorporated By Reference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Filing</w:t>
            </w:r>
          </w:p>
        </w:tc>
      </w:tr>
      <w:tr>
        <w:trPr>
          <w:trHeight w:val="241"/>
        </w:trPr>
        <w:tc>
          <w:tcPr>
            <w:tcW w:w="20" w:type="dxa"/>
            <w:vAlign w:val="bottom"/>
          </w:tcPr>
          <w:p>
            <w:pPr>
              <w:spacing w:after="0"/>
              <w:rPr>
                <w:sz w:val="20"/>
                <w:szCs w:val="20"/>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Form</w:t>
            </w:r>
          </w:p>
        </w:tc>
        <w:tc>
          <w:tcPr>
            <w:tcW w:w="120" w:type="dxa"/>
            <w:vAlign w:val="bottom"/>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10/11/2022</w:t>
            </w:r>
          </w:p>
        </w:tc>
      </w:tr>
      <w:tr>
        <w:trPr>
          <w:trHeight w:val="418"/>
        </w:trPr>
        <w:tc>
          <w:tcPr>
            <w:tcW w:w="66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10.12</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88"/>
              </w:rPr>
              <w:t>10/11/2022</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10.13</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88"/>
              </w:rPr>
              <w:t>10/11/2022</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10.14</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88"/>
              </w:rPr>
              <w:t>10/11/2022</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10.15</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88"/>
              </w:rPr>
              <w:t>10/11/2022</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10.16</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88"/>
              </w:rPr>
              <w:t>10/11/2022</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10.17</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88"/>
              </w:rPr>
              <w:t>10/11/2022</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10.18</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88"/>
              </w:rPr>
              <w:t>10/11/2022</w:t>
            </w:r>
          </w:p>
        </w:tc>
      </w:tr>
      <w:tr>
        <w:trPr>
          <w:trHeight w:val="418"/>
        </w:trPr>
        <w:tc>
          <w:tcPr>
            <w:tcW w:w="66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10.19</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88"/>
              </w:rPr>
              <w:t>10/11/2022</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10.20</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88"/>
              </w:rPr>
              <w:t>10/11/2022</w:t>
            </w:r>
          </w:p>
        </w:tc>
      </w:tr>
      <w:tr>
        <w:trPr>
          <w:trHeight w:val="230"/>
        </w:trPr>
        <w:tc>
          <w:tcPr>
            <w:tcW w:w="66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10.21</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88"/>
              </w:rPr>
              <w:t>10/11/2022</w:t>
            </w:r>
          </w:p>
        </w:tc>
      </w:tr>
      <w:tr>
        <w:trPr>
          <w:trHeight w:val="418"/>
        </w:trPr>
        <w:tc>
          <w:tcPr>
            <w:tcW w:w="660" w:type="dxa"/>
            <w:vAlign w:val="bottom"/>
            <w:gridSpan w:val="2"/>
          </w:tcPr>
          <w:p>
            <w:pPr>
              <w:spacing w:after="0"/>
              <w:rPr>
                <w:sz w:val="20"/>
                <w:szCs w:val="20"/>
                <w:color w:val="auto"/>
              </w:rPr>
            </w:pPr>
            <w:r>
              <w:rPr>
                <w:rFonts w:ascii="Arial" w:cs="Arial" w:eastAsia="Arial" w:hAnsi="Arial"/>
                <w:sz w:val="18"/>
                <w:szCs w:val="18"/>
                <w:color w:val="auto"/>
              </w:rPr>
              <w:t>S-1</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10.22</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11/4/2022</w:t>
            </w:r>
          </w:p>
        </w:tc>
      </w:tr>
      <w:tr>
        <w:trPr>
          <w:trHeight w:val="230"/>
        </w:trPr>
        <w:tc>
          <w:tcPr>
            <w:tcW w:w="660" w:type="dxa"/>
            <w:vAlign w:val="bottom"/>
            <w:gridSpan w:val="2"/>
          </w:tcPr>
          <w:p>
            <w:pPr>
              <w:spacing w:after="0"/>
              <w:rPr>
                <w:sz w:val="20"/>
                <w:szCs w:val="20"/>
                <w:color w:val="auto"/>
              </w:rPr>
            </w:pPr>
            <w:r>
              <w:rPr>
                <w:rFonts w:ascii="Arial" w:cs="Arial" w:eastAsia="Arial" w:hAnsi="Arial"/>
                <w:sz w:val="18"/>
                <w:szCs w:val="18"/>
                <w:color w:val="auto"/>
              </w:rPr>
              <w:t>S-1</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10.23</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11/4/2022</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S-1</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10.24</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11/4/2022</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10.1</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3/2/2023</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10-K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10.26</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4/17/2023</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10-K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10.27</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4/17/2023</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10-K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10.28</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4/17/2023</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10-K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10.29</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4/17/2023</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10-K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10.30</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4/17/2023</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10-K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10.31</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4/17/2023</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10-K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10.32</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4/17/2023</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10-K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10.33</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4/17/2023</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10-K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10.34</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4/17/2023</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10-K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10.35</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4/17/2023</w:t>
            </w:r>
          </w:p>
        </w:tc>
      </w:tr>
    </w:tbl>
    <w:p>
      <w:pPr>
        <w:sectPr>
          <w:pgSz w:w="11900" w:h="16838" w:orient="portrait"/>
          <w:cols w:equalWidth="0" w:num="2">
            <w:col w:w="8620" w:space="120"/>
            <w:col w:w="2500"/>
          </w:cols>
          <w:pgMar w:left="320" w:top="688" w:right="339" w:bottom="1440" w:gutter="0" w:footer="0" w:header="0"/>
        </w:sectPr>
      </w:pPr>
    </w:p>
    <w:bookmarkStart w:id="8" w:name="page9"/>
    <w:bookmarkEnd w:id="8"/>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auto"/>
        </w:rPr>
        <w:t>Exhibit No.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10.36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10.38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10.39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10.40++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24.1^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101.SCH^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47574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6">
                      <a:extLst>
                        <a:ext uri="{28A0092B-C50C-407E-A947-70E740481C1C}"/>
                      </a:extLst>
                    </a:blip>
                    <a:srcRect/>
                    <a:stretch>
                      <a:fillRect/>
                    </a:stretch>
                  </pic:blipFill>
                  <pic:spPr bwMode="auto">
                    <a:xfrm>
                      <a:off x="0" y="0"/>
                      <a:ext cx="4757420" cy="17145"/>
                    </a:xfrm>
                    <a:prstGeom prst="rect">
                      <a:avLst/>
                    </a:prstGeom>
                    <a:noFill/>
                  </pic:spPr>
                </pic:pic>
              </a:graphicData>
            </a:graphic>
          </wp:anchor>
        </w:drawing>
      </w:r>
    </w:p>
    <w:p>
      <w:pPr>
        <w:spacing w:after="0" w:line="20" w:lineRule="exact"/>
        <w:rPr>
          <w:sz w:val="20"/>
          <w:szCs w:val="20"/>
          <w:color w:val="auto"/>
        </w:rPr>
      </w:pPr>
    </w:p>
    <w:p>
      <w:pPr>
        <w:jc w:val="both"/>
        <w:spacing w:after="0" w:line="258" w:lineRule="auto"/>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Amendment No. 3 to Research and Lab Lease, dated August 26, 2020, by and between Dragonfly</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Energy Corp. and DRE RS Greg Park Owner LLC.</w:t>
        </w:r>
      </w:hyperlink>
    </w:p>
    <w:p>
      <w:pPr>
        <w:spacing w:after="0" w:line="1" w:lineRule="exact"/>
        <w:rPr>
          <w:sz w:val="20"/>
          <w:szCs w:val="20"/>
          <w:color w:val="auto"/>
        </w:rPr>
      </w:pPr>
    </w:p>
    <w:p>
      <w:pPr>
        <w:jc w:val="both"/>
        <w:spacing w:after="0" w:line="250" w:lineRule="auto"/>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Amendment No. 4 to Research and Lab Lease, dated December 16, 2020, by and between Dragonfly</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Energy Corp. and BRS RS Greg Park Owner LLC.</w:t>
        </w:r>
      </w:hyperlink>
    </w:p>
    <w:p>
      <w:pPr>
        <w:spacing w:after="0" w:line="1" w:lineRule="exact"/>
        <w:rPr>
          <w:sz w:val="20"/>
          <w:szCs w:val="20"/>
          <w:color w:val="auto"/>
        </w:rPr>
      </w:pPr>
    </w:p>
    <w:p>
      <w:pPr>
        <w:jc w:val="both"/>
        <w:spacing w:after="0" w:line="250" w:lineRule="auto"/>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Amendment No. 5 to Research and Lab Lease, dated January 28, 2022, by and between Dragonfly</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Energy Corp. and BRS RS Greg Park Owner LLC.</w:t>
        </w:r>
      </w:hyperlink>
    </w:p>
    <w:p>
      <w:pPr>
        <w:spacing w:after="0" w:line="1" w:lineRule="exact"/>
        <w:rPr>
          <w:sz w:val="20"/>
          <w:szCs w:val="20"/>
          <w:color w:val="auto"/>
        </w:rPr>
      </w:pPr>
    </w:p>
    <w:p>
      <w:pPr>
        <w:jc w:val="both"/>
        <w:spacing w:after="0" w:line="265" w:lineRule="auto"/>
        <w:rPr>
          <w:rFonts w:ascii="Arial" w:cs="Arial" w:eastAsia="Arial" w:hAnsi="Arial"/>
          <w:sz w:val="17"/>
          <w:szCs w:val="17"/>
          <w:u w:val="single" w:color="auto"/>
          <w:color w:val="0000EE"/>
        </w:rPr>
      </w:pPr>
      <w:hyperlink r:id="rId70">
        <w:r>
          <w:rPr>
            <w:rFonts w:ascii="Arial" w:cs="Arial" w:eastAsia="Arial" w:hAnsi="Arial"/>
            <w:sz w:val="17"/>
            <w:szCs w:val="17"/>
            <w:u w:val="single" w:color="auto"/>
            <w:color w:val="0000EE"/>
          </w:rPr>
          <w:t>Limited Waiver, dated as of March 29, 2023, to the Term Loan, Guarantee and Security Agreement,</w:t>
        </w:r>
      </w:hyperlink>
      <w:r>
        <w:rPr>
          <w:rFonts w:ascii="Arial" w:cs="Arial" w:eastAsia="Arial" w:hAnsi="Arial"/>
          <w:sz w:val="17"/>
          <w:szCs w:val="17"/>
          <w:u w:val="single" w:color="auto"/>
          <w:color w:val="0000EE"/>
        </w:rPr>
        <w:t xml:space="preserve"> </w:t>
      </w:r>
      <w:hyperlink r:id="rId70">
        <w:r>
          <w:rPr>
            <w:rFonts w:ascii="Arial" w:cs="Arial" w:eastAsia="Arial" w:hAnsi="Arial"/>
            <w:sz w:val="17"/>
            <w:szCs w:val="17"/>
            <w:u w:val="single" w:color="auto"/>
            <w:color w:val="0000EE"/>
          </w:rPr>
          <w:t>dated as of October 7, 2022, by and among Dragonfly Energy Holdings Corp., Dragonfly Energy Corp.,</w:t>
        </w:r>
      </w:hyperlink>
      <w:r>
        <w:rPr>
          <w:rFonts w:ascii="Arial" w:cs="Arial" w:eastAsia="Arial" w:hAnsi="Arial"/>
          <w:sz w:val="17"/>
          <w:szCs w:val="17"/>
          <w:u w:val="single" w:color="auto"/>
          <w:color w:val="0000EE"/>
        </w:rPr>
        <w:t xml:space="preserve"> </w:t>
      </w:r>
      <w:hyperlink r:id="rId70">
        <w:r>
          <w:rPr>
            <w:rFonts w:ascii="Arial" w:cs="Arial" w:eastAsia="Arial" w:hAnsi="Arial"/>
            <w:sz w:val="17"/>
            <w:szCs w:val="17"/>
            <w:u w:val="single" w:color="auto"/>
            <w:color w:val="0000EE"/>
          </w:rPr>
          <w:t>the lenders from time to time party thereto and Alter Domus (US) LLC.</w:t>
        </w:r>
      </w:hyperlink>
    </w:p>
    <w:p>
      <w:pPr>
        <w:spacing w:after="0"/>
        <w:rPr>
          <w:rFonts w:ascii="Arial" w:cs="Arial" w:eastAsia="Arial" w:hAnsi="Arial"/>
          <w:sz w:val="17"/>
          <w:szCs w:val="17"/>
          <w:u w:val="single" w:color="auto"/>
          <w:color w:val="0000EE"/>
        </w:rPr>
      </w:pPr>
      <w:hyperlink r:id="rId71">
        <w:r>
          <w:rPr>
            <w:rFonts w:ascii="Arial" w:cs="Arial" w:eastAsia="Arial" w:hAnsi="Arial"/>
            <w:sz w:val="17"/>
            <w:szCs w:val="17"/>
            <w:u w:val="single" w:color="auto"/>
            <w:color w:val="0000EE"/>
          </w:rPr>
          <w:t>Employment Agreement, dated as of October 11, 2022, by and between Dragonfly Energy Holdings</w:t>
        </w:r>
      </w:hyperlink>
    </w:p>
    <w:p>
      <w:pPr>
        <w:spacing w:after="0" w:line="21" w:lineRule="exact"/>
        <w:rPr>
          <w:rFonts w:ascii="Arial" w:cs="Arial" w:eastAsia="Arial" w:hAnsi="Arial"/>
          <w:sz w:val="17"/>
          <w:szCs w:val="17"/>
          <w:u w:val="single" w:color="auto"/>
          <w:color w:val="0000EE"/>
        </w:rPr>
      </w:pPr>
    </w:p>
    <w:p>
      <w:pPr>
        <w:spacing w:after="0"/>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Corp. and Nicole Harvey.</w:t>
        </w:r>
      </w:hyperlink>
    </w:p>
    <w:p>
      <w:pPr>
        <w:spacing w:after="0" w:line="9" w:lineRule="exact"/>
        <w:rPr>
          <w:rFonts w:ascii="Arial" w:cs="Arial" w:eastAsia="Arial" w:hAnsi="Arial"/>
          <w:sz w:val="17"/>
          <w:szCs w:val="17"/>
          <w:u w:val="single" w:color="auto"/>
          <w:color w:val="0000EE"/>
        </w:rPr>
      </w:pPr>
    </w:p>
    <w:p>
      <w:pPr>
        <w:spacing w:after="0"/>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List of Subsidiaries.</w:t>
        </w:r>
      </w:hyperlink>
    </w:p>
    <w:p>
      <w:pPr>
        <w:spacing w:after="0" w:line="9" w:lineRule="exact"/>
        <w:rPr>
          <w:rFonts w:ascii="Arial" w:cs="Arial" w:eastAsia="Arial" w:hAnsi="Arial"/>
          <w:sz w:val="17"/>
          <w:szCs w:val="17"/>
          <w:u w:val="single" w:color="auto"/>
          <w:color w:val="0000EE"/>
        </w:rPr>
      </w:pPr>
    </w:p>
    <w:p>
      <w:pPr>
        <w:spacing w:after="0"/>
        <w:rPr>
          <w:rFonts w:ascii="Arial" w:cs="Arial" w:eastAsia="Arial" w:hAnsi="Arial"/>
          <w:sz w:val="18"/>
          <w:szCs w:val="18"/>
          <w:u w:val="single" w:color="auto"/>
          <w:color w:val="0000EE"/>
        </w:rPr>
      </w:pPr>
      <w:hyperlink r:id="rId73">
        <w:r>
          <w:rPr>
            <w:rFonts w:ascii="Arial" w:cs="Arial" w:eastAsia="Arial" w:hAnsi="Arial"/>
            <w:sz w:val="18"/>
            <w:szCs w:val="18"/>
            <w:u w:val="single" w:color="auto"/>
            <w:color w:val="0000EE"/>
          </w:rPr>
          <w:t>Consent of BDO USA, LLP.</w:t>
        </w:r>
      </w:hyperlink>
    </w:p>
    <w:p>
      <w:pPr>
        <w:spacing w:after="0" w:line="9"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8"/>
          <w:szCs w:val="18"/>
          <w:u w:val="single" w:color="auto"/>
          <w:color w:val="0000EE"/>
        </w:rPr>
        <w:t>Consent of Parsons Behle &amp; Latimer (included in Exhibit 5.1 hereto).</w:t>
      </w:r>
    </w:p>
    <w:p>
      <w:pPr>
        <w:spacing w:after="0" w:line="9"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8"/>
          <w:szCs w:val="18"/>
          <w:u w:val="single" w:color="auto"/>
          <w:color w:val="0000EE"/>
        </w:rPr>
        <w:t>Consent of Lowenstein Sandler LLP (included in Exhibit 5.2 hereto).</w:t>
      </w:r>
    </w:p>
    <w:p>
      <w:pPr>
        <w:spacing w:after="0" w:line="9" w:lineRule="exact"/>
        <w:rPr>
          <w:rFonts w:ascii="Arial" w:cs="Arial" w:eastAsia="Arial" w:hAnsi="Arial"/>
          <w:sz w:val="17"/>
          <w:szCs w:val="17"/>
          <w:u w:val="single" w:color="auto"/>
          <w:color w:val="0000EE"/>
        </w:rPr>
      </w:pPr>
    </w:p>
    <w:p>
      <w:pPr>
        <w:spacing w:after="0" w:line="250" w:lineRule="auto"/>
        <w:rPr>
          <w:sz w:val="20"/>
          <w:szCs w:val="20"/>
          <w:color w:val="auto"/>
        </w:rPr>
      </w:pPr>
      <w:r>
        <w:rPr>
          <w:rFonts w:ascii="Arial" w:cs="Arial" w:eastAsia="Arial" w:hAnsi="Arial"/>
          <w:sz w:val="18"/>
          <w:szCs w:val="18"/>
          <w:u w:val="single" w:color="auto"/>
          <w:color w:val="0000EE"/>
        </w:rPr>
        <w:t>Power of Attorney (included on the signature page to the prospectus which forms part of this registration statement).</w:t>
      </w:r>
    </w:p>
    <w:p>
      <w:pPr>
        <w:spacing w:after="0" w:line="1"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8"/>
          <w:szCs w:val="18"/>
          <w:color w:val="auto"/>
        </w:rPr>
        <w:t>Inline XBRL Instance Document</w:t>
      </w:r>
    </w:p>
    <w:p>
      <w:pPr>
        <w:spacing w:after="0" w:line="9"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9" w:lineRule="exact"/>
        <w:rPr>
          <w:rFonts w:ascii="Arial" w:cs="Arial" w:eastAsia="Arial" w:hAnsi="Arial"/>
          <w:sz w:val="17"/>
          <w:szCs w:val="17"/>
          <w:u w:val="single" w:color="auto"/>
          <w:color w:val="0000EE"/>
        </w:rPr>
      </w:pPr>
    </w:p>
    <w:p>
      <w:pPr>
        <w:ind w:right="2560"/>
        <w:spacing w:after="0" w:line="281" w:lineRule="auto"/>
        <w:rPr>
          <w:sz w:val="20"/>
          <w:szCs w:val="20"/>
          <w:color w:val="auto"/>
        </w:rPr>
      </w:pPr>
      <w:r>
        <w:rPr>
          <w:rFonts w:ascii="Arial" w:cs="Arial" w:eastAsia="Arial" w:hAnsi="Arial"/>
          <w:sz w:val="16"/>
          <w:szCs w:val="16"/>
          <w:color w:val="auto"/>
        </w:rPr>
        <w:t>Inline XBRL Taxonomy Extension Calculation Linkbase Document Inline XBRL Taxonomy Extension Definition Linkbase Document Inline XBRL Taxonomy Extension Label Linkbase Document Inline XBRL Taxonomy Extension Presentation Linkbase Document</w:t>
      </w:r>
    </w:p>
    <w:p>
      <w:pPr>
        <w:spacing w:after="0" w:line="2"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8"/>
          <w:szCs w:val="18"/>
          <w:color w:val="auto"/>
        </w:rPr>
        <w:t>Cover Page Interactive Data File (embedded within the Inline XBRL document).</w:t>
      </w:r>
    </w:p>
    <w:p>
      <w:pPr>
        <w:spacing w:after="0" w:line="9"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8"/>
          <w:szCs w:val="18"/>
          <w:u w:val="single" w:color="auto"/>
          <w:color w:val="0000EE"/>
        </w:rPr>
        <w:t>Filing Fee Exhibit.</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ind w:left="200"/>
        <w:spacing w:after="0"/>
        <w:rPr>
          <w:sz w:val="20"/>
          <w:szCs w:val="20"/>
          <w:color w:val="auto"/>
        </w:rPr>
      </w:pPr>
      <w:r>
        <w:rPr>
          <w:rFonts w:ascii="Arial" w:cs="Arial" w:eastAsia="Arial" w:hAnsi="Arial"/>
          <w:sz w:val="17"/>
          <w:szCs w:val="17"/>
          <w:b w:val="1"/>
          <w:bCs w:val="1"/>
          <w:color w:val="auto"/>
        </w:rPr>
        <w:t>Incorporated By Reference</w:t>
      </w:r>
    </w:p>
    <w:p>
      <w:pPr>
        <w:spacing w:after="0" w:line="39" w:lineRule="exact"/>
        <w:rPr>
          <w:rFonts w:ascii="Arial" w:cs="Arial" w:eastAsia="Arial" w:hAnsi="Arial"/>
          <w:sz w:val="17"/>
          <w:szCs w:val="17"/>
          <w:u w:val="single" w:color="auto"/>
          <w:color w:val="0000EE"/>
        </w:rPr>
      </w:pPr>
    </w:p>
    <w:tbl>
      <w:tblPr>
        <w:tblLayout w:type="fixed"/>
        <w:tblInd w:w="0" w:type="dxa"/>
        <w:tblCellMar>
          <w:top w:w="0" w:type="dxa"/>
          <w:left w:w="0" w:type="dxa"/>
          <w:bottom w:w="0" w:type="dxa"/>
          <w:right w:w="0" w:type="dxa"/>
        </w:tblCellMar>
      </w:tblPr>
      <w:tr>
        <w:trPr>
          <w:trHeight w:val="218"/>
        </w:trPr>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Filing</w:t>
            </w:r>
          </w:p>
        </w:tc>
      </w:tr>
      <w:tr>
        <w:trPr>
          <w:trHeight w:val="241"/>
        </w:trPr>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Form</w:t>
            </w:r>
          </w:p>
        </w:tc>
        <w:tc>
          <w:tcPr>
            <w:tcW w:w="120" w:type="dxa"/>
            <w:vAlign w:val="bottom"/>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10.36</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4/17/2023</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10-K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10.37</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4/17/2023</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10-K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10.38</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4/17/2023</w:t>
            </w:r>
          </w:p>
        </w:tc>
      </w:tr>
      <w:tr>
        <w:trPr>
          <w:trHeight w:val="540"/>
        </w:trPr>
        <w:tc>
          <w:tcPr>
            <w:tcW w:w="660" w:type="dxa"/>
            <w:vAlign w:val="bottom"/>
          </w:tcPr>
          <w:p>
            <w:pPr>
              <w:spacing w:after="0"/>
              <w:rPr>
                <w:sz w:val="20"/>
                <w:szCs w:val="20"/>
                <w:color w:val="auto"/>
              </w:rPr>
            </w:pPr>
            <w:r>
              <w:rPr>
                <w:rFonts w:ascii="Arial" w:cs="Arial" w:eastAsia="Arial" w:hAnsi="Arial"/>
                <w:sz w:val="18"/>
                <w:szCs w:val="18"/>
                <w:color w:val="auto"/>
              </w:rPr>
              <w:t>8-K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10.1</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3/29/2023</w:t>
            </w:r>
          </w:p>
        </w:tc>
      </w:tr>
      <w:tr>
        <w:trPr>
          <w:trHeight w:val="540"/>
        </w:trPr>
        <w:tc>
          <w:tcPr>
            <w:tcW w:w="660" w:type="dxa"/>
            <w:vAlign w:val="bottom"/>
          </w:tcPr>
          <w:p>
            <w:pPr>
              <w:spacing w:after="0"/>
              <w:rPr>
                <w:sz w:val="20"/>
                <w:szCs w:val="20"/>
                <w:color w:val="auto"/>
              </w:rPr>
            </w:pPr>
            <w:r>
              <w:rPr>
                <w:rFonts w:ascii="Arial" w:cs="Arial" w:eastAsia="Arial" w:hAnsi="Arial"/>
                <w:sz w:val="18"/>
                <w:szCs w:val="18"/>
                <w:color w:val="auto"/>
              </w:rPr>
              <w:t>10-K/A</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10.1</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5/1/2023</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8-K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21.1</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88"/>
              </w:rPr>
              <w:t>10/11/2022</w:t>
            </w:r>
          </w:p>
        </w:tc>
      </w:tr>
    </w:tbl>
    <w:p>
      <w:pPr>
        <w:spacing w:after="0" w:line="2998" w:lineRule="exact"/>
        <w:rPr>
          <w:rFonts w:ascii="Arial" w:cs="Arial" w:eastAsia="Arial" w:hAnsi="Arial"/>
          <w:sz w:val="17"/>
          <w:szCs w:val="17"/>
          <w:u w:val="single" w:color="auto"/>
          <w:color w:val="0000EE"/>
        </w:rPr>
      </w:pPr>
    </w:p>
    <w:p>
      <w:pPr>
        <w:sectPr>
          <w:pgSz w:w="11900" w:h="16838" w:orient="portrait"/>
          <w:cols w:equalWidth="0" w:num="3">
            <w:col w:w="940" w:space="160"/>
            <w:col w:w="7520" w:space="120"/>
            <w:col w:w="2500"/>
          </w:cols>
          <w:pgMar w:left="320" w:top="688" w:right="339" w:bottom="1440" w:gutter="0" w:footer="0" w:header="0"/>
        </w:sectPr>
      </w:pPr>
    </w:p>
    <w:p>
      <w:pPr>
        <w:spacing w:after="0" w:line="11" w:lineRule="exact"/>
        <w:rPr>
          <w:rFonts w:ascii="Arial" w:cs="Arial" w:eastAsia="Arial" w:hAnsi="Arial"/>
          <w:sz w:val="17"/>
          <w:szCs w:val="17"/>
          <w:u w:val="single" w:color="auto"/>
          <w:color w:val="0000EE"/>
        </w:rPr>
      </w:pPr>
    </w:p>
    <w:p>
      <w:pPr>
        <w:ind w:right="9920" w:firstLine="8"/>
        <w:spacing w:after="0" w:line="291" w:lineRule="auto"/>
        <w:tabs>
          <w:tab w:leader="none" w:pos="129"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Previously filed. * Filed herewith.</w:t>
      </w:r>
    </w:p>
    <w:p>
      <w:pPr>
        <w:spacing w:after="0" w:line="250" w:lineRule="auto"/>
        <w:rPr>
          <w:rFonts w:ascii="Arial" w:cs="Arial" w:eastAsia="Arial" w:hAnsi="Arial"/>
          <w:sz w:val="16"/>
          <w:szCs w:val="16"/>
          <w:color w:val="auto"/>
        </w:rPr>
      </w:pPr>
      <w:r>
        <w:rPr>
          <w:rFonts w:ascii="Arial" w:cs="Arial" w:eastAsia="Arial" w:hAnsi="Arial"/>
          <w:sz w:val="18"/>
          <w:szCs w:val="18"/>
          <w:color w:val="auto"/>
        </w:rPr>
        <w:t># Portions of schedules and exhibits to the agreement have been omitted pursuant to Item 601(b)(2) of Regulation S-K. A copy of any omitted schedule and/or exhibit will be furnished to the Securities and Exchange Commission upon request.</w:t>
      </w:r>
    </w:p>
    <w:p>
      <w:pPr>
        <w:spacing w:after="0"/>
        <w:rPr>
          <w:rFonts w:ascii="Arial" w:cs="Arial" w:eastAsia="Arial" w:hAnsi="Arial"/>
          <w:sz w:val="16"/>
          <w:szCs w:val="16"/>
          <w:color w:val="auto"/>
        </w:rPr>
      </w:pPr>
      <w:r>
        <w:rPr>
          <w:rFonts w:ascii="Arial" w:cs="Arial" w:eastAsia="Arial" w:hAnsi="Arial"/>
          <w:sz w:val="18"/>
          <w:szCs w:val="18"/>
          <w:color w:val="auto"/>
        </w:rPr>
        <w:t>++ Indicates a management contract or compensatory plan.</w:t>
      </w:r>
    </w:p>
    <w:p>
      <w:pPr>
        <w:spacing w:after="0" w:line="211" w:lineRule="exact"/>
        <w:rPr>
          <w:rFonts w:ascii="Arial" w:cs="Arial" w:eastAsia="Arial" w:hAnsi="Arial"/>
          <w:sz w:val="17"/>
          <w:szCs w:val="17"/>
          <w:u w:val="single" w:color="auto"/>
          <w:color w:val="0000EE"/>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225" w:lineRule="exact"/>
        <w:rPr>
          <w:rFonts w:ascii="Arial" w:cs="Arial" w:eastAsia="Arial" w:hAnsi="Arial"/>
          <w:sz w:val="18"/>
          <w:szCs w:val="18"/>
          <w:color w:val="auto"/>
        </w:rPr>
      </w:pPr>
    </w:p>
    <w:p>
      <w:pPr>
        <w:jc w:val="both"/>
        <w:ind w:left="980" w:hanging="324"/>
        <w:spacing w:after="0" w:line="254"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94"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6"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Reno, State of Nevada, on June 14, 2023.</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DRAGONFLY ENERGY HOLDINGS CORP.</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Denis Phares</w:t>
      </w:r>
    </w:p>
    <w:p>
      <w:pPr>
        <w:spacing w:after="0" w:line="36"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President and Chief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220" w:type="dxa"/>
            <w:vAlign w:val="bottom"/>
          </w:tcPr>
          <w:p>
            <w:pPr>
              <w:spacing w:after="0"/>
              <w:rPr>
                <w:sz w:val="20"/>
                <w:szCs w:val="20"/>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22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Denis Phares</w:t>
            </w:r>
          </w:p>
        </w:tc>
        <w:tc>
          <w:tcPr>
            <w:tcW w:w="220" w:type="dxa"/>
            <w:vAlign w:val="bottom"/>
          </w:tcPr>
          <w:p>
            <w:pPr>
              <w:spacing w:after="0"/>
              <w:rPr>
                <w:sz w:val="24"/>
                <w:szCs w:val="24"/>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1"/>
              </w:rPr>
              <w:t>Chairman, President and Chief Executive Officer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June 14, 2023</w:t>
            </w:r>
          </w:p>
        </w:tc>
      </w:tr>
      <w:tr>
        <w:trPr>
          <w:trHeight w:val="230"/>
        </w:trPr>
        <w:tc>
          <w:tcPr>
            <w:tcW w:w="3160" w:type="dxa"/>
            <w:vAlign w:val="bottom"/>
          </w:tcPr>
          <w:p>
            <w:pPr>
              <w:jc w:val="center"/>
              <w:spacing w:after="0"/>
              <w:rPr>
                <w:sz w:val="20"/>
                <w:szCs w:val="20"/>
                <w:color w:val="auto"/>
              </w:rPr>
            </w:pPr>
            <w:r>
              <w:rPr>
                <w:rFonts w:ascii="Arial" w:cs="Arial" w:eastAsia="Arial" w:hAnsi="Arial"/>
                <w:sz w:val="18"/>
                <w:szCs w:val="18"/>
                <w:color w:val="auto"/>
                <w:w w:val="88"/>
              </w:rPr>
              <w:t>Denis Phares</w:t>
            </w:r>
          </w:p>
        </w:tc>
        <w:tc>
          <w:tcPr>
            <w:tcW w:w="220" w:type="dxa"/>
            <w:vAlign w:val="bottom"/>
          </w:tcPr>
          <w:p>
            <w:pPr>
              <w:spacing w:after="0"/>
              <w:rPr>
                <w:sz w:val="20"/>
                <w:szCs w:val="20"/>
                <w:color w:val="auto"/>
              </w:rPr>
            </w:pPr>
          </w:p>
        </w:tc>
        <w:tc>
          <w:tcPr>
            <w:tcW w:w="4940" w:type="dxa"/>
            <w:vAlign w:val="bottom"/>
          </w:tcPr>
          <w:p>
            <w:pPr>
              <w:jc w:val="center"/>
              <w:spacing w:after="0" w:line="203" w:lineRule="exact"/>
              <w:rPr>
                <w:sz w:val="20"/>
                <w:szCs w:val="20"/>
                <w:color w:val="auto"/>
              </w:rPr>
            </w:pPr>
            <w:r>
              <w:rPr>
                <w:rFonts w:ascii="Arial" w:cs="Arial" w:eastAsia="Arial" w:hAnsi="Arial"/>
                <w:sz w:val="18"/>
                <w:szCs w:val="18"/>
                <w:i w:val="1"/>
                <w:iCs w:val="1"/>
                <w:color w:val="auto"/>
                <w:w w:val="94"/>
              </w:rPr>
              <w:t>(Principal Executive Officer)</w:t>
            </w: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John Marchetti</w:t>
            </w:r>
          </w:p>
        </w:tc>
        <w:tc>
          <w:tcPr>
            <w:tcW w:w="220" w:type="dxa"/>
            <w:vAlign w:val="bottom"/>
          </w:tcPr>
          <w:p>
            <w:pPr>
              <w:spacing w:after="0"/>
              <w:rPr>
                <w:sz w:val="24"/>
                <w:szCs w:val="24"/>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c>
          <w:tcPr>
            <w:tcW w:w="2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30"/>
        </w:trPr>
        <w:tc>
          <w:tcPr>
            <w:tcW w:w="3160" w:type="dxa"/>
            <w:vAlign w:val="bottom"/>
          </w:tcPr>
          <w:p>
            <w:pPr>
              <w:jc w:val="center"/>
              <w:spacing w:after="0"/>
              <w:rPr>
                <w:sz w:val="20"/>
                <w:szCs w:val="20"/>
                <w:color w:val="auto"/>
              </w:rPr>
            </w:pPr>
            <w:r>
              <w:rPr>
                <w:rFonts w:ascii="Arial" w:cs="Arial" w:eastAsia="Arial" w:hAnsi="Arial"/>
                <w:sz w:val="18"/>
                <w:szCs w:val="18"/>
                <w:color w:val="auto"/>
                <w:w w:val="91"/>
              </w:rPr>
              <w:t>John Marchetti</w:t>
            </w:r>
          </w:p>
        </w:tc>
        <w:tc>
          <w:tcPr>
            <w:tcW w:w="220" w:type="dxa"/>
            <w:vAlign w:val="bottom"/>
          </w:tcPr>
          <w:p>
            <w:pPr>
              <w:spacing w:after="0"/>
              <w:rPr>
                <w:sz w:val="20"/>
                <w:szCs w:val="20"/>
                <w:color w:val="auto"/>
              </w:rPr>
            </w:pPr>
          </w:p>
        </w:tc>
        <w:tc>
          <w:tcPr>
            <w:tcW w:w="4940" w:type="dxa"/>
            <w:vAlign w:val="bottom"/>
          </w:tcPr>
          <w:p>
            <w:pPr>
              <w:jc w:val="center"/>
              <w:spacing w:after="0" w:line="203" w:lineRule="exact"/>
              <w:rPr>
                <w:sz w:val="20"/>
                <w:szCs w:val="20"/>
                <w:color w:val="auto"/>
              </w:rPr>
            </w:pPr>
            <w:r>
              <w:rPr>
                <w:rFonts w:ascii="Arial" w:cs="Arial" w:eastAsia="Arial" w:hAnsi="Arial"/>
                <w:sz w:val="18"/>
                <w:szCs w:val="18"/>
                <w:i w:val="1"/>
                <w:iCs w:val="1"/>
                <w:color w:val="auto"/>
                <w:w w:val="94"/>
              </w:rPr>
              <w:t>(Principal Financial and Accounting Officer)</w:t>
            </w: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June 14, 2023</w:t>
            </w:r>
          </w:p>
        </w:tc>
      </w:tr>
      <w:tr>
        <w:trPr>
          <w:trHeight w:val="230"/>
        </w:trPr>
        <w:tc>
          <w:tcPr>
            <w:tcW w:w="3160" w:type="dxa"/>
            <w:vAlign w:val="bottom"/>
          </w:tcPr>
          <w:p>
            <w:pPr>
              <w:jc w:val="center"/>
              <w:spacing w:after="0"/>
              <w:rPr>
                <w:sz w:val="20"/>
                <w:szCs w:val="20"/>
                <w:color w:val="auto"/>
              </w:rPr>
            </w:pPr>
            <w:r>
              <w:rPr>
                <w:rFonts w:ascii="Arial" w:cs="Arial" w:eastAsia="Arial" w:hAnsi="Arial"/>
                <w:sz w:val="18"/>
                <w:szCs w:val="18"/>
                <w:color w:val="auto"/>
                <w:w w:val="92"/>
              </w:rPr>
              <w:t>Luisa Ingargiola</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spacing w:after="0"/>
              <w:rPr>
                <w:sz w:val="24"/>
                <w:szCs w:val="24"/>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June 14, 2023</w:t>
            </w:r>
          </w:p>
        </w:tc>
      </w:tr>
      <w:tr>
        <w:trPr>
          <w:trHeight w:val="230"/>
        </w:trPr>
        <w:tc>
          <w:tcPr>
            <w:tcW w:w="3160" w:type="dxa"/>
            <w:vAlign w:val="bottom"/>
          </w:tcPr>
          <w:p>
            <w:pPr>
              <w:jc w:val="center"/>
              <w:spacing w:after="0"/>
              <w:rPr>
                <w:sz w:val="20"/>
                <w:szCs w:val="20"/>
                <w:color w:val="auto"/>
              </w:rPr>
            </w:pPr>
            <w:r>
              <w:rPr>
                <w:rFonts w:ascii="Arial" w:cs="Arial" w:eastAsia="Arial" w:hAnsi="Arial"/>
                <w:sz w:val="18"/>
                <w:szCs w:val="18"/>
                <w:color w:val="auto"/>
                <w:w w:val="93"/>
              </w:rPr>
              <w:t>Brian Nelson</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spacing w:after="0"/>
              <w:rPr>
                <w:sz w:val="24"/>
                <w:szCs w:val="24"/>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June 14, 2023</w:t>
            </w:r>
          </w:p>
        </w:tc>
      </w:tr>
      <w:tr>
        <w:trPr>
          <w:trHeight w:val="230"/>
        </w:trPr>
        <w:tc>
          <w:tcPr>
            <w:tcW w:w="3160" w:type="dxa"/>
            <w:vAlign w:val="bottom"/>
          </w:tcPr>
          <w:p>
            <w:pPr>
              <w:jc w:val="center"/>
              <w:spacing w:after="0"/>
              <w:rPr>
                <w:sz w:val="20"/>
                <w:szCs w:val="20"/>
                <w:color w:val="auto"/>
              </w:rPr>
            </w:pPr>
            <w:r>
              <w:rPr>
                <w:rFonts w:ascii="Arial" w:cs="Arial" w:eastAsia="Arial" w:hAnsi="Arial"/>
                <w:sz w:val="18"/>
                <w:szCs w:val="18"/>
                <w:color w:val="auto"/>
                <w:w w:val="94"/>
              </w:rPr>
              <w:t>Perry Boyle</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June 14, 2023</w:t>
            </w:r>
          </w:p>
        </w:tc>
      </w:tr>
      <w:tr>
        <w:trPr>
          <w:trHeight w:val="230"/>
        </w:trPr>
        <w:tc>
          <w:tcPr>
            <w:tcW w:w="3160" w:type="dxa"/>
            <w:vAlign w:val="bottom"/>
          </w:tcPr>
          <w:p>
            <w:pPr>
              <w:jc w:val="center"/>
              <w:spacing w:after="0"/>
              <w:rPr>
                <w:sz w:val="20"/>
                <w:szCs w:val="20"/>
                <w:color w:val="auto"/>
              </w:rPr>
            </w:pPr>
            <w:r>
              <w:rPr>
                <w:rFonts w:ascii="Arial" w:cs="Arial" w:eastAsia="Arial" w:hAnsi="Arial"/>
                <w:sz w:val="18"/>
                <w:szCs w:val="18"/>
                <w:color w:val="auto"/>
                <w:w w:val="90"/>
              </w:rPr>
              <w:t>Jonathan Bellows</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spacing w:after="0"/>
              <w:rPr>
                <w:sz w:val="24"/>
                <w:szCs w:val="24"/>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June 14, 2023</w:t>
            </w:r>
          </w:p>
        </w:tc>
      </w:tr>
      <w:tr>
        <w:trPr>
          <w:trHeight w:val="230"/>
        </w:trPr>
        <w:tc>
          <w:tcPr>
            <w:tcW w:w="3160" w:type="dxa"/>
            <w:vAlign w:val="bottom"/>
          </w:tcPr>
          <w:p>
            <w:pPr>
              <w:jc w:val="center"/>
              <w:spacing w:after="0"/>
              <w:rPr>
                <w:sz w:val="20"/>
                <w:szCs w:val="20"/>
                <w:color w:val="auto"/>
              </w:rPr>
            </w:pPr>
            <w:r>
              <w:rPr>
                <w:rFonts w:ascii="Arial" w:cs="Arial" w:eastAsia="Arial" w:hAnsi="Arial"/>
                <w:sz w:val="18"/>
                <w:szCs w:val="18"/>
                <w:color w:val="auto"/>
                <w:w w:val="90"/>
              </w:rPr>
              <w:t>Rick Parod</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11"/>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June 14, 2023</w:t>
            </w:r>
          </w:p>
        </w:tc>
      </w:tr>
      <w:tr>
        <w:trPr>
          <w:trHeight w:val="230"/>
        </w:trPr>
        <w:tc>
          <w:tcPr>
            <w:tcW w:w="3160" w:type="dxa"/>
            <w:vAlign w:val="bottom"/>
          </w:tcPr>
          <w:p>
            <w:pPr>
              <w:jc w:val="center"/>
              <w:spacing w:after="0"/>
              <w:rPr>
                <w:sz w:val="20"/>
                <w:szCs w:val="20"/>
                <w:color w:val="auto"/>
              </w:rPr>
            </w:pPr>
            <w:r>
              <w:rPr>
                <w:rFonts w:ascii="Arial" w:cs="Arial" w:eastAsia="Arial" w:hAnsi="Arial"/>
                <w:sz w:val="18"/>
                <w:szCs w:val="18"/>
                <w:color w:val="auto"/>
                <w:w w:val="93"/>
              </w:rPr>
              <w:t>Karina Montilla Edmonds</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25"/>
        </w:trPr>
        <w:tc>
          <w:tcPr>
            <w:tcW w:w="3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II-8</w:t>
            </w: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1" w:name="page12"/>
    <w:bookmarkEnd w:id="11"/>
    <w:p>
      <w:pPr>
        <w:ind w:left="10400"/>
        <w:spacing w:after="0"/>
        <w:rPr>
          <w:sz w:val="20"/>
          <w:szCs w:val="20"/>
          <w:color w:val="auto"/>
        </w:rPr>
      </w:pPr>
      <w:r>
        <w:rPr>
          <w:rFonts w:ascii="Arial" w:cs="Arial" w:eastAsia="Arial" w:hAnsi="Arial"/>
          <w:sz w:val="16"/>
          <w:szCs w:val="16"/>
          <w:b w:val="1"/>
          <w:bCs w:val="1"/>
          <w:color w:val="auto"/>
        </w:rPr>
        <w:t>Exhibit 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29" w:lineRule="exact"/>
        <w:rPr>
          <w:sz w:val="20"/>
          <w:szCs w:val="20"/>
          <w:color w:val="auto"/>
        </w:rPr>
      </w:pPr>
    </w:p>
    <w:p>
      <w:pPr>
        <w:jc w:val="both"/>
        <w:ind w:left="4560" w:right="4560" w:firstLine="5"/>
        <w:spacing w:after="0" w:line="342" w:lineRule="auto"/>
        <w:tabs>
          <w:tab w:leader="none" w:pos="4831" w:val="left"/>
        </w:tabs>
        <w:numPr>
          <w:ilvl w:val="0"/>
          <w:numId w:val="4"/>
        </w:numPr>
        <w:rPr>
          <w:rFonts w:ascii="Arial" w:cs="Arial" w:eastAsia="Arial" w:hAnsi="Arial"/>
          <w:sz w:val="16"/>
          <w:szCs w:val="16"/>
          <w:color w:val="auto"/>
        </w:rPr>
      </w:pPr>
      <w:r>
        <w:rPr>
          <w:rFonts w:ascii="Arial" w:cs="Arial" w:eastAsia="Arial" w:hAnsi="Arial"/>
          <w:sz w:val="16"/>
          <w:szCs w:val="16"/>
          <w:color w:val="auto"/>
        </w:rPr>
        <w:t>Shares of Common Stock (par value $0.0001 per share)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Warrants to Purchase [●] Shares of Common Stock</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ind w:left="10180"/>
        <w:spacing w:after="0"/>
        <w:rPr>
          <w:sz w:val="20"/>
          <w:szCs w:val="20"/>
          <w:color w:val="auto"/>
        </w:rPr>
      </w:pPr>
      <w:r>
        <w:rPr>
          <w:rFonts w:ascii="Arial" w:cs="Arial" w:eastAsia="Arial" w:hAnsi="Arial"/>
          <w:sz w:val="16"/>
          <w:szCs w:val="16"/>
          <w:color w:val="auto"/>
        </w:rPr>
        <w:t>June [●],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LLC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Representative of the several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Underwriters listed in </w:t>
      </w:r>
      <w:r>
        <w:rPr>
          <w:rFonts w:ascii="Arial" w:cs="Arial" w:eastAsia="Arial" w:hAnsi="Arial"/>
          <w:sz w:val="18"/>
          <w:szCs w:val="18"/>
          <w:u w:val="single" w:color="auto"/>
          <w:color w:val="auto"/>
        </w:rPr>
        <w:t>Schedule A</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Roth Capital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888 San Clemente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Newport Beach, CA 92660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Dragonfly Energy Holdings Corp., a company incorporated in the State of Nevada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proposes, subject to the terms and conditions stated herein, to issue and sell to the several underwriters named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(the “</w:t>
      </w:r>
      <w:r>
        <w:rPr>
          <w:rFonts w:ascii="Arial" w:cs="Arial" w:eastAsia="Arial" w:hAnsi="Arial"/>
          <w:sz w:val="16"/>
          <w:szCs w:val="16"/>
          <w:b w:val="1"/>
          <w:bCs w:val="1"/>
          <w:color w:val="auto"/>
        </w:rPr>
        <w:t>Underwriters</w:t>
      </w:r>
      <w:r>
        <w:rPr>
          <w:rFonts w:ascii="Arial" w:cs="Arial" w:eastAsia="Arial" w:hAnsi="Arial"/>
          <w:sz w:val="16"/>
          <w:szCs w:val="16"/>
          <w:color w:val="auto"/>
        </w:rPr>
        <w:t>,” or each, an “</w:t>
      </w:r>
      <w:r>
        <w:rPr>
          <w:rFonts w:ascii="Arial" w:cs="Arial" w:eastAsia="Arial" w:hAnsi="Arial"/>
          <w:sz w:val="16"/>
          <w:szCs w:val="16"/>
          <w:b w:val="1"/>
          <w:bCs w:val="1"/>
          <w:color w:val="auto"/>
        </w:rPr>
        <w:t>Underwriter</w:t>
      </w:r>
      <w:r>
        <w:rPr>
          <w:rFonts w:ascii="Arial" w:cs="Arial" w:eastAsia="Arial" w:hAnsi="Arial"/>
          <w:sz w:val="16"/>
          <w:szCs w:val="16"/>
          <w:color w:val="auto"/>
        </w:rPr>
        <w:t>”) (i) an aggregate of [●] shares of its authorized but unissued common stock, par value $0.0001 per share of the Company (the “</w:t>
      </w:r>
      <w:r>
        <w:rPr>
          <w:rFonts w:ascii="Arial" w:cs="Arial" w:eastAsia="Arial" w:hAnsi="Arial"/>
          <w:sz w:val="16"/>
          <w:szCs w:val="16"/>
          <w:b w:val="1"/>
          <w:bCs w:val="1"/>
          <w:color w:val="auto"/>
        </w:rPr>
        <w:t>Shares</w:t>
      </w:r>
      <w:r>
        <w:rPr>
          <w:rFonts w:ascii="Arial" w:cs="Arial" w:eastAsia="Arial" w:hAnsi="Arial"/>
          <w:sz w:val="16"/>
          <w:szCs w:val="16"/>
          <w:color w:val="auto"/>
        </w:rPr>
        <w:t>”) and (ii) warrants to purchase an aggregate of [●] Shares (the “</w:t>
      </w:r>
      <w:r>
        <w:rPr>
          <w:rFonts w:ascii="Arial" w:cs="Arial" w:eastAsia="Arial" w:hAnsi="Arial"/>
          <w:sz w:val="16"/>
          <w:szCs w:val="16"/>
          <w:b w:val="1"/>
          <w:bCs w:val="1"/>
          <w:color w:val="auto"/>
        </w:rPr>
        <w:t>Firm Warrants</w:t>
      </w:r>
      <w:r>
        <w:rPr>
          <w:rFonts w:ascii="Arial" w:cs="Arial" w:eastAsia="Arial" w:hAnsi="Arial"/>
          <w:sz w:val="16"/>
          <w:szCs w:val="16"/>
          <w:color w:val="auto"/>
        </w:rPr>
        <w:t>”). The [●] Shares to be sold by the Company are called the “</w:t>
      </w:r>
      <w:r>
        <w:rPr>
          <w:rFonts w:ascii="Arial" w:cs="Arial" w:eastAsia="Arial" w:hAnsi="Arial"/>
          <w:sz w:val="16"/>
          <w:szCs w:val="16"/>
          <w:b w:val="1"/>
          <w:bCs w:val="1"/>
          <w:color w:val="auto"/>
        </w:rPr>
        <w:t>Firm Shares</w:t>
      </w:r>
      <w:r>
        <w:rPr>
          <w:rFonts w:ascii="Arial" w:cs="Arial" w:eastAsia="Arial" w:hAnsi="Arial"/>
          <w:sz w:val="16"/>
          <w:szCs w:val="16"/>
          <w:color w:val="auto"/>
        </w:rPr>
        <w:t>.” In addition, the Company has granted to the Underwriters an option to purchase (i) up to an additional [●] Shares and/or (ii) warrants to purchase an aggregate of [●] Shares (the “</w:t>
      </w:r>
      <w:r>
        <w:rPr>
          <w:rFonts w:ascii="Arial" w:cs="Arial" w:eastAsia="Arial" w:hAnsi="Arial"/>
          <w:sz w:val="16"/>
          <w:szCs w:val="16"/>
          <w:b w:val="1"/>
          <w:bCs w:val="1"/>
          <w:color w:val="auto"/>
        </w:rPr>
        <w:t>Option Warrants</w:t>
      </w:r>
      <w:r>
        <w:rPr>
          <w:rFonts w:ascii="Arial" w:cs="Arial" w:eastAsia="Arial" w:hAnsi="Arial"/>
          <w:sz w:val="16"/>
          <w:szCs w:val="16"/>
          <w:color w:val="auto"/>
        </w:rPr>
        <w:t>” and together with the Firm Warrants, the “</w:t>
      </w:r>
      <w:r>
        <w:rPr>
          <w:rFonts w:ascii="Arial" w:cs="Arial" w:eastAsia="Arial" w:hAnsi="Arial"/>
          <w:sz w:val="16"/>
          <w:szCs w:val="16"/>
          <w:b w:val="1"/>
          <w:bCs w:val="1"/>
          <w:color w:val="auto"/>
        </w:rPr>
        <w:t>Offered Warrants</w:t>
      </w:r>
      <w:r>
        <w:rPr>
          <w:rFonts w:ascii="Arial" w:cs="Arial" w:eastAsia="Arial" w:hAnsi="Arial"/>
          <w:sz w:val="16"/>
          <w:szCs w:val="16"/>
          <w:color w:val="auto"/>
        </w:rPr>
        <w:t>”). The additional [●] Shares to be sold by the Company pursuant to such option are collectively called the “</w:t>
      </w:r>
      <w:r>
        <w:rPr>
          <w:rFonts w:ascii="Arial" w:cs="Arial" w:eastAsia="Arial" w:hAnsi="Arial"/>
          <w:sz w:val="16"/>
          <w:szCs w:val="16"/>
          <w:b w:val="1"/>
          <w:bCs w:val="1"/>
          <w:color w:val="auto"/>
        </w:rPr>
        <w:t>Option Shares</w:t>
      </w:r>
      <w:r>
        <w:rPr>
          <w:rFonts w:ascii="Arial" w:cs="Arial" w:eastAsia="Arial" w:hAnsi="Arial"/>
          <w:sz w:val="16"/>
          <w:szCs w:val="16"/>
          <w:color w:val="auto"/>
        </w:rPr>
        <w:t>.” The Firm Shares and, if and to the extent such option is exercised, the Option Shares, are collectively called the “</w:t>
      </w:r>
      <w:r>
        <w:rPr>
          <w:rFonts w:ascii="Arial" w:cs="Arial" w:eastAsia="Arial" w:hAnsi="Arial"/>
          <w:sz w:val="16"/>
          <w:szCs w:val="16"/>
          <w:b w:val="1"/>
          <w:bCs w:val="1"/>
          <w:color w:val="auto"/>
        </w:rPr>
        <w:t>Offered Shares</w:t>
      </w:r>
      <w:r>
        <w:rPr>
          <w:rFonts w:ascii="Arial" w:cs="Arial" w:eastAsia="Arial" w:hAnsi="Arial"/>
          <w:sz w:val="16"/>
          <w:szCs w:val="16"/>
          <w:color w:val="auto"/>
        </w:rPr>
        <w:t>.” Each Share is being sold together with one warrant; and each warrant is exercisable for one Share at an exercise price of $[●] per Share. The Offered Shares to be sold by the Company (including the Option Shares to the extent such option is exercised) and the Offered Warrants to be sold by the Company (including the Option Warrants to the extent such option is exercised) are collectively called the “</w:t>
      </w:r>
      <w:r>
        <w:rPr>
          <w:rFonts w:ascii="Arial" w:cs="Arial" w:eastAsia="Arial" w:hAnsi="Arial"/>
          <w:sz w:val="16"/>
          <w:szCs w:val="16"/>
          <w:b w:val="1"/>
          <w:bCs w:val="1"/>
          <w:color w:val="auto"/>
        </w:rPr>
        <w:t>Securities</w:t>
      </w:r>
      <w:r>
        <w:rPr>
          <w:rFonts w:ascii="Arial" w:cs="Arial" w:eastAsia="Arial" w:hAnsi="Arial"/>
          <w:sz w:val="16"/>
          <w:szCs w:val="16"/>
          <w:color w:val="auto"/>
        </w:rPr>
        <w:t>.” As used herein, “</w:t>
      </w:r>
      <w:r>
        <w:rPr>
          <w:rFonts w:ascii="Arial" w:cs="Arial" w:eastAsia="Arial" w:hAnsi="Arial"/>
          <w:sz w:val="16"/>
          <w:szCs w:val="16"/>
          <w:b w:val="1"/>
          <w:bCs w:val="1"/>
          <w:color w:val="auto"/>
        </w:rPr>
        <w:t>Warrant Shares</w:t>
      </w:r>
      <w:r>
        <w:rPr>
          <w:rFonts w:ascii="Arial" w:cs="Arial" w:eastAsia="Arial" w:hAnsi="Arial"/>
          <w:sz w:val="16"/>
          <w:szCs w:val="16"/>
          <w:color w:val="auto"/>
        </w:rPr>
        <w:t>” means the Shares issuable upon exercise of the Offered Warrants. Roth Capital Partners, LLC (“</w:t>
      </w:r>
      <w:r>
        <w:rPr>
          <w:rFonts w:ascii="Arial" w:cs="Arial" w:eastAsia="Arial" w:hAnsi="Arial"/>
          <w:sz w:val="16"/>
          <w:szCs w:val="16"/>
          <w:b w:val="1"/>
          <w:bCs w:val="1"/>
          <w:color w:val="auto"/>
        </w:rPr>
        <w:t>Roth</w:t>
      </w:r>
      <w:r>
        <w:rPr>
          <w:rFonts w:ascii="Arial" w:cs="Arial" w:eastAsia="Arial" w:hAnsi="Arial"/>
          <w:sz w:val="16"/>
          <w:szCs w:val="16"/>
          <w:color w:val="auto"/>
        </w:rPr>
        <w:t>”) has agreed to act as representative of the Underwriters (in such capacity, the “</w:t>
      </w:r>
      <w:r>
        <w:rPr>
          <w:rFonts w:ascii="Arial" w:cs="Arial" w:eastAsia="Arial" w:hAnsi="Arial"/>
          <w:sz w:val="16"/>
          <w:szCs w:val="16"/>
          <w:b w:val="1"/>
          <w:bCs w:val="1"/>
          <w:color w:val="auto"/>
        </w:rPr>
        <w:t>Representative</w:t>
      </w:r>
      <w:r>
        <w:rPr>
          <w:rFonts w:ascii="Arial" w:cs="Arial" w:eastAsia="Arial" w:hAnsi="Arial"/>
          <w:sz w:val="16"/>
          <w:szCs w:val="16"/>
          <w:color w:val="auto"/>
        </w:rPr>
        <w:t>”) in connection with the offering and sale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both"/>
        <w:ind w:firstLine="648"/>
        <w:spacing w:after="0" w:line="269" w:lineRule="auto"/>
        <w:rPr>
          <w:sz w:val="20"/>
          <w:szCs w:val="20"/>
          <w:color w:val="auto"/>
        </w:rPr>
      </w:pPr>
      <w:r>
        <w:rPr>
          <w:rFonts w:ascii="Arial" w:cs="Arial" w:eastAsia="Arial" w:hAnsi="Arial"/>
          <w:sz w:val="17"/>
          <w:szCs w:val="17"/>
          <w:color w:val="auto"/>
        </w:rPr>
        <w:t>The Company has prepared and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on Form S-1 (File No. 333-272401).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Arial" w:cs="Arial" w:eastAsia="Arial" w:hAnsi="Arial"/>
          <w:sz w:val="17"/>
          <w:szCs w:val="17"/>
          <w:b w:val="1"/>
          <w:bCs w:val="1"/>
          <w:color w:val="auto"/>
        </w:rPr>
        <w:t>Securities Act</w:t>
      </w:r>
      <w:r>
        <w:rPr>
          <w:rFonts w:ascii="Arial" w:cs="Arial" w:eastAsia="Arial" w:hAnsi="Arial"/>
          <w:sz w:val="17"/>
          <w:szCs w:val="17"/>
          <w:color w:val="auto"/>
        </w:rPr>
        <w:t>”), including any information deemed to be a part thereof at the time of effectiveness pursuant to Rule 430A under the Securities Act, is called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Any registration statement filed by the Company pursuant to Rule 462(b) under the Securities Act in connection with the offer and sale of the Securities is called the “</w:t>
      </w:r>
      <w:r>
        <w:rPr>
          <w:rFonts w:ascii="Arial" w:cs="Arial" w:eastAsia="Arial" w:hAnsi="Arial"/>
          <w:sz w:val="17"/>
          <w:szCs w:val="17"/>
          <w:b w:val="1"/>
          <w:bCs w:val="1"/>
          <w:color w:val="auto"/>
        </w:rPr>
        <w:t>Rule 462(b) Registration Statement</w:t>
      </w:r>
      <w:r>
        <w:rPr>
          <w:rFonts w:ascii="Arial" w:cs="Arial" w:eastAsia="Arial" w:hAnsi="Arial"/>
          <w:sz w:val="17"/>
          <w:szCs w:val="17"/>
          <w:color w:val="auto"/>
        </w:rPr>
        <w:t>,” and from and after the date and time of filing of any such Rule 462(b) Registration Statement the term “Registration Statement” shall include the Rule 462(b) Registration Statement. The preliminary prospectus dated June [●], 2023 describing the Securities and the offering thereof is called the “</w:t>
      </w:r>
      <w:r>
        <w:rPr>
          <w:rFonts w:ascii="Arial" w:cs="Arial" w:eastAsia="Arial" w:hAnsi="Arial"/>
          <w:sz w:val="17"/>
          <w:szCs w:val="17"/>
          <w:b w:val="1"/>
          <w:bCs w:val="1"/>
          <w:color w:val="auto"/>
        </w:rPr>
        <w:t>Preliminary Prospectus</w:t>
      </w:r>
      <w:r>
        <w:rPr>
          <w:rFonts w:ascii="Arial" w:cs="Arial" w:eastAsia="Arial" w:hAnsi="Arial"/>
          <w:sz w:val="17"/>
          <w:szCs w:val="17"/>
          <w:color w:val="auto"/>
        </w:rPr>
        <w:t>,” and the Preliminary Prospectus and any other prospectus in preliminary form that describes the Securities and the offering thereof and is used prior to the filing of the Prospectus (as defined below) is called a “</w:t>
      </w:r>
      <w:r>
        <w:rPr>
          <w:rFonts w:ascii="Arial" w:cs="Arial" w:eastAsia="Arial" w:hAnsi="Arial"/>
          <w:sz w:val="17"/>
          <w:szCs w:val="17"/>
          <w:b w:val="1"/>
          <w:bCs w:val="1"/>
          <w:color w:val="auto"/>
        </w:rPr>
        <w:t>preliminary prospectus</w:t>
      </w:r>
      <w:r>
        <w:rPr>
          <w:rFonts w:ascii="Arial" w:cs="Arial" w:eastAsia="Arial" w:hAnsi="Arial"/>
          <w:sz w:val="17"/>
          <w:szCs w:val="17"/>
          <w:color w:val="auto"/>
        </w:rPr>
        <w:t>.” As used herein, the term “</w:t>
      </w:r>
      <w:r>
        <w:rPr>
          <w:rFonts w:ascii="Arial" w:cs="Arial" w:eastAsia="Arial" w:hAnsi="Arial"/>
          <w:sz w:val="17"/>
          <w:szCs w:val="17"/>
          <w:b w:val="1"/>
          <w:bCs w:val="1"/>
          <w:color w:val="auto"/>
        </w:rPr>
        <w:t>Prospectus</w:t>
      </w:r>
      <w:r>
        <w:rPr>
          <w:rFonts w:ascii="Arial" w:cs="Arial" w:eastAsia="Arial" w:hAnsi="Arial"/>
          <w:sz w:val="17"/>
          <w:szCs w:val="17"/>
          <w:color w:val="auto"/>
        </w:rPr>
        <w:t>” shall mean the prospectus in the form first used by the Underwriters to confirm sales of the Securities or in the form first made available to the Underwriters by the Company to meet requests of purchasers pursuant to Rule 173 under the Securities Act.</w:t>
      </w:r>
    </w:p>
    <w:p>
      <w:pPr>
        <w:spacing w:after="0" w:line="17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used herein, the “</w:t>
      </w:r>
      <w:r>
        <w:rPr>
          <w:rFonts w:ascii="Arial" w:cs="Arial" w:eastAsia="Arial" w:hAnsi="Arial"/>
          <w:sz w:val="16"/>
          <w:szCs w:val="16"/>
          <w:b w:val="1"/>
          <w:bCs w:val="1"/>
          <w:color w:val="auto"/>
        </w:rPr>
        <w:t>Applicable Time</w:t>
      </w:r>
      <w:r>
        <w:rPr>
          <w:rFonts w:ascii="Arial" w:cs="Arial" w:eastAsia="Arial" w:hAnsi="Arial"/>
          <w:sz w:val="16"/>
          <w:szCs w:val="16"/>
          <w:color w:val="auto"/>
        </w:rPr>
        <w:t>” is [ ● ][a.m.][p.m.] (New York time) on [ ● ]. As used herein, “</w:t>
      </w:r>
      <w:r>
        <w:rPr>
          <w:rFonts w:ascii="Arial" w:cs="Arial" w:eastAsia="Arial" w:hAnsi="Arial"/>
          <w:sz w:val="16"/>
          <w:szCs w:val="16"/>
          <w:b w:val="1"/>
          <w:bCs w:val="1"/>
          <w:color w:val="auto"/>
        </w:rPr>
        <w:t>Time of Sale Prospectus</w:t>
      </w:r>
      <w:r>
        <w:rPr>
          <w:rFonts w:ascii="Arial" w:cs="Arial" w:eastAsia="Arial" w:hAnsi="Arial"/>
          <w:sz w:val="16"/>
          <w:szCs w:val="16"/>
          <w:color w:val="auto"/>
        </w:rPr>
        <w:t xml:space="preserve">” means the Preliminary Prospectus, as amended or supplemented immediately prior to the Applicable Time, together with the pricing information set forth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hereto. As used herein, </w:t>
      </w:r>
      <w:r>
        <w:rPr>
          <w:rFonts w:ascii="Arial" w:cs="Arial" w:eastAsia="Arial" w:hAnsi="Arial"/>
          <w:sz w:val="16"/>
          <w:szCs w:val="16"/>
          <w:b w:val="1"/>
          <w:bCs w:val="1"/>
          <w:color w:val="auto"/>
        </w:rPr>
        <w:t>“Road Show”</w:t>
      </w:r>
      <w:r>
        <w:rPr>
          <w:rFonts w:ascii="Arial" w:cs="Arial" w:eastAsia="Arial" w:hAnsi="Arial"/>
          <w:sz w:val="16"/>
          <w:szCs w:val="16"/>
          <w:color w:val="auto"/>
        </w:rPr>
        <w:t xml:space="preserve"> means a “road show” (as defined in Rule 433 under the Securities Act) relating to the offering of the Securities contemplated hereby that is a “written communication” (as defined in Rule 405 under the Securities Act). As used herein, “</w:t>
      </w:r>
      <w:r>
        <w:rPr>
          <w:rFonts w:ascii="Arial" w:cs="Arial" w:eastAsia="Arial" w:hAnsi="Arial"/>
          <w:sz w:val="16"/>
          <w:szCs w:val="16"/>
          <w:b w:val="1"/>
          <w:bCs w:val="1"/>
          <w:color w:val="auto"/>
        </w:rPr>
        <w:t>Section 5(d) Written</w:t>
      </w:r>
      <w:r>
        <w:rPr>
          <w:rFonts w:ascii="Arial" w:cs="Arial" w:eastAsia="Arial" w:hAnsi="Arial"/>
          <w:sz w:val="16"/>
          <w:szCs w:val="16"/>
          <w:color w:val="auto"/>
        </w:rPr>
        <w:t xml:space="preserve"> </w:t>
      </w:r>
      <w:r>
        <w:rPr>
          <w:rFonts w:ascii="Arial" w:cs="Arial" w:eastAsia="Arial" w:hAnsi="Arial"/>
          <w:sz w:val="16"/>
          <w:szCs w:val="16"/>
          <w:b w:val="1"/>
          <w:bCs w:val="1"/>
          <w:color w:val="auto"/>
        </w:rPr>
        <w:t>Communication</w:t>
      </w:r>
      <w:r>
        <w:rPr>
          <w:rFonts w:ascii="Arial" w:cs="Arial" w:eastAsia="Arial" w:hAnsi="Arial"/>
          <w:sz w:val="16"/>
          <w:szCs w:val="16"/>
          <w:color w:val="auto"/>
        </w:rPr>
        <w:t>” means each written communication (within the meaning of Rule 405 under the Securities Act) that is made in reliance on Section 5(d)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Securities Act by the Company or any person authorized to act on behalf of the Company to one or more potential investors that are qualified institutional buyers (“</w:t>
      </w:r>
      <w:r>
        <w:rPr>
          <w:rFonts w:ascii="Arial" w:cs="Arial" w:eastAsia="Arial" w:hAnsi="Arial"/>
          <w:sz w:val="16"/>
          <w:szCs w:val="16"/>
          <w:b w:val="1"/>
          <w:bCs w:val="1"/>
          <w:color w:val="auto"/>
        </w:rPr>
        <w:t>QIBs</w:t>
      </w:r>
      <w:r>
        <w:rPr>
          <w:rFonts w:ascii="Arial" w:cs="Arial" w:eastAsia="Arial" w:hAnsi="Arial"/>
          <w:sz w:val="16"/>
          <w:szCs w:val="16"/>
          <w:color w:val="auto"/>
        </w:rPr>
        <w:t>”) and/or institutions that are accredited investors (“</w:t>
      </w:r>
      <w:r>
        <w:rPr>
          <w:rFonts w:ascii="Arial" w:cs="Arial" w:eastAsia="Arial" w:hAnsi="Arial"/>
          <w:sz w:val="16"/>
          <w:szCs w:val="16"/>
          <w:b w:val="1"/>
          <w:bCs w:val="1"/>
          <w:color w:val="auto"/>
        </w:rPr>
        <w:t>IAIs</w:t>
      </w:r>
      <w:r>
        <w:rPr>
          <w:rFonts w:ascii="Arial" w:cs="Arial" w:eastAsia="Arial" w:hAnsi="Arial"/>
          <w:sz w:val="16"/>
          <w:szCs w:val="16"/>
          <w:color w:val="auto"/>
        </w:rPr>
        <w:t>”), as such terms are respectively defined in Rule 144A and Rule 501(a) under the Securities Act, to determine whether such investors might have an interest in the offering of the Securities; “</w:t>
      </w:r>
      <w:r>
        <w:rPr>
          <w:rFonts w:ascii="Arial" w:cs="Arial" w:eastAsia="Arial" w:hAnsi="Arial"/>
          <w:sz w:val="16"/>
          <w:szCs w:val="16"/>
          <w:b w:val="1"/>
          <w:bCs w:val="1"/>
          <w:color w:val="auto"/>
        </w:rPr>
        <w:t>Marketing Materials</w:t>
      </w:r>
      <w:r>
        <w:rPr>
          <w:rFonts w:ascii="Arial" w:cs="Arial" w:eastAsia="Arial" w:hAnsi="Arial"/>
          <w:sz w:val="16"/>
          <w:szCs w:val="16"/>
          <w:color w:val="auto"/>
        </w:rPr>
        <w:t>” means any materials or information provided to investors by, or with the approval of, the Company in connection with the marketing of the offering of the Securities, including any Road Show or investor presentations made to investors by the Company (whether in person or electronically); and “</w:t>
      </w:r>
      <w:r>
        <w:rPr>
          <w:rFonts w:ascii="Arial" w:cs="Arial" w:eastAsia="Arial" w:hAnsi="Arial"/>
          <w:sz w:val="16"/>
          <w:szCs w:val="16"/>
          <w:b w:val="1"/>
          <w:bCs w:val="1"/>
          <w:color w:val="auto"/>
        </w:rPr>
        <w:t>Permitted Section 5(d)</w:t>
      </w:r>
      <w:r>
        <w:rPr>
          <w:rFonts w:ascii="Arial" w:cs="Arial" w:eastAsia="Arial" w:hAnsi="Arial"/>
          <w:sz w:val="16"/>
          <w:szCs w:val="16"/>
          <w:color w:val="auto"/>
        </w:rPr>
        <w:t xml:space="preserve"> </w:t>
      </w:r>
      <w:r>
        <w:rPr>
          <w:rFonts w:ascii="Arial" w:cs="Arial" w:eastAsia="Arial" w:hAnsi="Arial"/>
          <w:sz w:val="16"/>
          <w:szCs w:val="16"/>
          <w:b w:val="1"/>
          <w:bCs w:val="1"/>
          <w:color w:val="auto"/>
        </w:rPr>
        <w:t>Communication</w:t>
      </w:r>
      <w:r>
        <w:rPr>
          <w:rFonts w:ascii="Arial" w:cs="Arial" w:eastAsia="Arial" w:hAnsi="Arial"/>
          <w:sz w:val="16"/>
          <w:szCs w:val="16"/>
          <w:color w:val="auto"/>
        </w:rPr>
        <w:t>” means the Section 5(d) Written Communication(s) and Marketing Materials listed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D</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w:t>
      </w:r>
    </w:p>
    <w:p>
      <w:pPr>
        <w:spacing w:after="0" w:line="16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All references in 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to (i) the Registration Statement, the Preliminary Prospectus, any preliminary prospectus or the Prospectus, or any amendments or supplements to any of the foregoing, shall include any copy thereof filed with the Commission pursuant to its Electronic Data Gathering, Analysis and Retrieval System (“</w:t>
      </w:r>
      <w:r>
        <w:rPr>
          <w:rFonts w:ascii="Arial" w:cs="Arial" w:eastAsia="Arial" w:hAnsi="Arial"/>
          <w:sz w:val="18"/>
          <w:szCs w:val="18"/>
          <w:b w:val="1"/>
          <w:bCs w:val="1"/>
          <w:color w:val="auto"/>
        </w:rPr>
        <w:t>EDGAR</w:t>
      </w:r>
      <w:r>
        <w:rPr>
          <w:rFonts w:ascii="Arial" w:cs="Arial" w:eastAsia="Arial" w:hAnsi="Arial"/>
          <w:sz w:val="18"/>
          <w:szCs w:val="18"/>
          <w:color w:val="auto"/>
        </w:rPr>
        <w:t>”) and (ii) the Prospectus shall be deemed to include any “electronic Prospectus” provided for use in connection with the offering of the Securities as contemplated by Section 2(n).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ind w:firstLine="648"/>
        <w:spacing w:after="0" w:line="277" w:lineRule="auto"/>
        <w:rPr>
          <w:sz w:val="20"/>
          <w:szCs w:val="20"/>
          <w:color w:val="auto"/>
        </w:rPr>
      </w:pPr>
      <w:r>
        <w:rPr>
          <w:rFonts w:ascii="Arial" w:cs="Arial" w:eastAsia="Arial" w:hAnsi="Arial"/>
          <w:sz w:val="18"/>
          <w:szCs w:val="18"/>
          <w:color w:val="auto"/>
        </w:rPr>
        <w:t xml:space="preserve">In the event that the Company has only one (1) subsidiary, then all references herein to “subsidiaries” of the Company shall be deemed to refer to such single subsidiary, </w:t>
      </w:r>
      <w:r>
        <w:rPr>
          <w:rFonts w:ascii="Arial" w:cs="Arial" w:eastAsia="Arial" w:hAnsi="Arial"/>
          <w:sz w:val="18"/>
          <w:szCs w:val="18"/>
          <w:u w:val="single" w:color="auto"/>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confirms its agreements with the Underwriters as follows:</w:t>
      </w:r>
    </w:p>
    <w:p>
      <w:pPr>
        <w:spacing w:after="0" w:line="225" w:lineRule="exact"/>
        <w:rPr>
          <w:sz w:val="20"/>
          <w:szCs w:val="20"/>
          <w:color w:val="auto"/>
        </w:rPr>
      </w:pPr>
    </w:p>
    <w:p>
      <w:pPr>
        <w:ind w:firstLine="656"/>
        <w:spacing w:after="0" w:line="342" w:lineRule="auto"/>
        <w:tabs>
          <w:tab w:leader="none" w:pos="839"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each Underwriter as of the date of this Agreement, the Applicable Time, the First Closing Date (as hereinafter defined) and each Option Closing Date (as hereinafter defined), if any, as follows:</w:t>
      </w:r>
    </w:p>
    <w:p>
      <w:pPr>
        <w:spacing w:after="0" w:line="123" w:lineRule="exact"/>
        <w:rPr>
          <w:rFonts w:ascii="Arial" w:cs="Arial" w:eastAsia="Arial" w:hAnsi="Arial"/>
          <w:sz w:val="16"/>
          <w:szCs w:val="16"/>
          <w:color w:val="auto"/>
        </w:rPr>
      </w:pPr>
    </w:p>
    <w:p>
      <w:pPr>
        <w:jc w:val="both"/>
        <w:ind w:firstLine="1304"/>
        <w:spacing w:after="0" w:line="285" w:lineRule="auto"/>
        <w:tabs>
          <w:tab w:leader="none" w:pos="1552" w:val="left"/>
        </w:tabs>
        <w:numPr>
          <w:ilvl w:val="1"/>
          <w:numId w:val="5"/>
        </w:numPr>
        <w:rPr>
          <w:rFonts w:ascii="Arial" w:cs="Arial" w:eastAsia="Arial" w:hAnsi="Arial"/>
          <w:sz w:val="16"/>
          <w:szCs w:val="16"/>
          <w:b w:val="1"/>
          <w:bCs w:val="1"/>
          <w:color w:val="auto"/>
        </w:rPr>
      </w:pPr>
      <w:r>
        <w:rPr>
          <w:rFonts w:ascii="Arial" w:cs="Arial" w:eastAsia="Arial" w:hAnsi="Arial"/>
          <w:sz w:val="16"/>
          <w:szCs w:val="16"/>
          <w:u w:val="single" w:color="auto"/>
          <w:color w:val="auto"/>
        </w:rPr>
        <w:t>Compliance with Registration Requirements</w:t>
      </w:r>
      <w:r>
        <w:rPr>
          <w:rFonts w:ascii="Arial" w:cs="Arial" w:eastAsia="Arial" w:hAnsi="Arial"/>
          <w:sz w:val="16"/>
          <w:szCs w:val="16"/>
          <w:color w:val="auto"/>
        </w:rPr>
        <w:t xml:space="preserve">. The Registration Statement has become effective under the Securities Act. No stop order suspending the effectiveness of the Registration Statement is in effect and no proceedings for such purpose have been instituted or are pending or, to the best knowledge of the Company, are contemplated or threatened by the Commission. </w:t>
      </w:r>
      <w:r>
        <w:rPr>
          <w:rFonts w:ascii="Arial" w:cs="Arial" w:eastAsia="Arial" w:hAnsi="Arial"/>
          <w:sz w:val="16"/>
          <w:szCs w:val="16"/>
          <w:u w:val="single" w:color="auto"/>
          <w:color w:val="auto"/>
        </w:rPr>
        <w:t>Disclosure</w:t>
      </w:r>
      <w:r>
        <w:rPr>
          <w:rFonts w:ascii="Arial" w:cs="Arial" w:eastAsia="Arial" w:hAnsi="Arial"/>
          <w:sz w:val="16"/>
          <w:szCs w:val="16"/>
          <w:color w:val="auto"/>
        </w:rPr>
        <w:t>. Each preliminary prospectus and the Prospectus when filed complied in all material respects with the Securities Act and, if filed by electronic transmission pursuant to EDGAR, was identical (except as may be permitted by Regulation S-T under the Securities Act) to the copy thereof delivered to the Underwriters for use in connection with the offer and sale of the Securities. Each of the Registration Statement and any post-effective amendment thereto, at the time it became or becomes effective and at all subsequent times,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(including any preliminary prospectus wrapper) did not, and at the time of each sale of the Securities and at the First Closing Date (as defined in Section 2),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The Prospectus (including any Prospectus wrapper), as of its date and (as then amended or supplemented) at all subsequent times,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 expressly for use therein, it being understood and agreed that the only such information consists of the information described in Section 9(b). There are no contracts or other documents required to be described in the Time of Sale Prospectus or the Prospectus or to be filed as an exhibit to the Registration Statement which have not been described or filed as required.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jc w:val="both"/>
        <w:ind w:firstLine="1304"/>
        <w:spacing w:after="0" w:line="272" w:lineRule="auto"/>
        <w:tabs>
          <w:tab w:leader="none" w:pos="1562" w:val="left"/>
        </w:tabs>
        <w:numPr>
          <w:ilvl w:val="0"/>
          <w:numId w:val="6"/>
        </w:numPr>
        <w:rPr>
          <w:rFonts w:ascii="Arial" w:cs="Arial" w:eastAsia="Arial" w:hAnsi="Arial"/>
          <w:sz w:val="17"/>
          <w:szCs w:val="17"/>
          <w:b w:val="1"/>
          <w:bCs w:val="1"/>
          <w:color w:val="auto"/>
        </w:rPr>
      </w:pPr>
      <w:r>
        <w:rPr>
          <w:rFonts w:ascii="Arial" w:cs="Arial" w:eastAsia="Arial" w:hAnsi="Arial"/>
          <w:sz w:val="17"/>
          <w:szCs w:val="17"/>
          <w:u w:val="single" w:color="auto"/>
          <w:color w:val="auto"/>
        </w:rPr>
        <w:t>Free Writing Prospectuses; Road Show</w:t>
      </w:r>
      <w:r>
        <w:rPr>
          <w:rFonts w:ascii="Arial" w:cs="Arial" w:eastAsia="Arial" w:hAnsi="Arial"/>
          <w:sz w:val="17"/>
          <w:szCs w:val="17"/>
          <w:color w:val="auto"/>
        </w:rPr>
        <w:t xml:space="preserve">. As of the determination date referenced in Rule 164(h) under the Securities Act, the Company was an “ineligible issuer” in connection with the offering of the Securities pursuant to Rules 164, 405 and 433 under the Securities Act, and the Company met all the requirements set forth in General Instruction I of Form S-1. Except for the free writing prospectuses, if any, identified in </w:t>
      </w:r>
      <w:r>
        <w:rPr>
          <w:rFonts w:ascii="Arial" w:cs="Arial" w:eastAsia="Arial" w:hAnsi="Arial"/>
          <w:sz w:val="17"/>
          <w:szCs w:val="17"/>
          <w:u w:val="single" w:color="auto"/>
          <w:color w:val="auto"/>
        </w:rPr>
        <w:t>Schedule B</w:t>
      </w:r>
      <w:r>
        <w:rPr>
          <w:rFonts w:ascii="Arial" w:cs="Arial" w:eastAsia="Arial" w:hAnsi="Arial"/>
          <w:sz w:val="17"/>
          <w:szCs w:val="17"/>
          <w:color w:val="auto"/>
        </w:rPr>
        <w:t>, and electronic Road Shows, if any, furnished to the Representative before first use, the Company has not prepared, used or referred to, and will not, without the Representative’s prior written consent, prepare, use or refer to, any free writing prospectus. Each Road Show, when considered together with the Time of Sale Prospectus, does not contain any untrue statement of a material fact or omit to state a material fact necessary to make the statements therein, in the light of the circumstances under which they were made, not misleading.</w:t>
      </w:r>
    </w:p>
    <w:p>
      <w:pPr>
        <w:spacing w:after="0" w:line="177" w:lineRule="exact"/>
        <w:rPr>
          <w:rFonts w:ascii="Arial" w:cs="Arial" w:eastAsia="Arial" w:hAnsi="Arial"/>
          <w:sz w:val="17"/>
          <w:szCs w:val="17"/>
          <w:b w:val="1"/>
          <w:bCs w:val="1"/>
          <w:color w:val="auto"/>
        </w:rPr>
      </w:pPr>
    </w:p>
    <w:p>
      <w:pPr>
        <w:ind w:firstLine="1304"/>
        <w:spacing w:after="0" w:line="277" w:lineRule="auto"/>
        <w:tabs>
          <w:tab w:leader="none" w:pos="1557" w:val="left"/>
        </w:tabs>
        <w:numPr>
          <w:ilvl w:val="0"/>
          <w:numId w:val="6"/>
        </w:numPr>
        <w:rPr>
          <w:rFonts w:ascii="Arial" w:cs="Arial" w:eastAsia="Arial" w:hAnsi="Arial"/>
          <w:sz w:val="18"/>
          <w:szCs w:val="18"/>
          <w:b w:val="1"/>
          <w:bCs w:val="1"/>
          <w:color w:val="auto"/>
        </w:rPr>
      </w:pPr>
      <w:r>
        <w:rPr>
          <w:rFonts w:ascii="Arial" w:cs="Arial" w:eastAsia="Arial" w:hAnsi="Arial"/>
          <w:sz w:val="18"/>
          <w:szCs w:val="18"/>
          <w:u w:val="single" w:color="auto"/>
          <w:color w:val="auto"/>
        </w:rPr>
        <w:t>Emerging Growth Company</w:t>
      </w:r>
      <w:r>
        <w:rPr>
          <w:rFonts w:ascii="Arial" w:cs="Arial" w:eastAsia="Arial" w:hAnsi="Arial"/>
          <w:sz w:val="18"/>
          <w:szCs w:val="18"/>
          <w:color w:val="auto"/>
        </w:rPr>
        <w:t>. The Company is an “emerging growth company,” as defined in Section 2(a) of the Securities Act (an “</w:t>
      </w:r>
      <w:r>
        <w:rPr>
          <w:rFonts w:ascii="Arial" w:cs="Arial" w:eastAsia="Arial" w:hAnsi="Arial"/>
          <w:sz w:val="18"/>
          <w:szCs w:val="18"/>
          <w:b w:val="1"/>
          <w:bCs w:val="1"/>
          <w:color w:val="auto"/>
        </w:rPr>
        <w:t>Emerging Growth Company</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jc w:val="both"/>
        <w:ind w:firstLine="1304"/>
        <w:spacing w:after="0" w:line="254" w:lineRule="auto"/>
        <w:tabs>
          <w:tab w:leader="none" w:pos="1573" w:val="left"/>
        </w:tabs>
        <w:numPr>
          <w:ilvl w:val="0"/>
          <w:numId w:val="6"/>
        </w:numPr>
        <w:rPr>
          <w:rFonts w:ascii="Arial" w:cs="Arial" w:eastAsia="Arial" w:hAnsi="Arial"/>
          <w:sz w:val="18"/>
          <w:szCs w:val="18"/>
          <w:b w:val="1"/>
          <w:bCs w:val="1"/>
          <w:color w:val="auto"/>
        </w:rPr>
      </w:pPr>
      <w:r>
        <w:rPr>
          <w:rFonts w:ascii="Arial" w:cs="Arial" w:eastAsia="Arial" w:hAnsi="Arial"/>
          <w:sz w:val="18"/>
          <w:szCs w:val="18"/>
          <w:u w:val="single" w:color="auto"/>
          <w:color w:val="auto"/>
        </w:rPr>
        <w:t>Testing-the-Waters Materials</w:t>
      </w:r>
      <w:r>
        <w:rPr>
          <w:rFonts w:ascii="Arial" w:cs="Arial" w:eastAsia="Arial" w:hAnsi="Arial"/>
          <w:sz w:val="18"/>
          <w:szCs w:val="18"/>
          <w:color w:val="auto"/>
        </w:rPr>
        <w:t>. The Company (i) has not alone engaged in any Section 5(d) Written Communication and (ii) has not authorized anyone other than the Representative to engage in such Permitted Section 5(d) Communications. The Company reconfirms that the Representative has been authorized to act on its behalf in conveying Marketing Materials and Section 5(d) Written Communications. The Company has not distributed or approved for distribution any Section 5(d) Written Communications. Any individual Permitted Section 5(d) Communication does not conflict with the information contained in the Registration Statement or the Time of Sale Prospectus, and when taken together with the Time of Sale Prospectus as of the Applicable Time, did not, and as of the First Closing Date and as of each Option Closing Date, as the case may be, will not, contain any untrue statement of a material fact or omit to state a material fact necessary in order to make the statements therein, in the light of the circumstances under which they were made, not misleading.</w:t>
      </w:r>
    </w:p>
    <w:p>
      <w:pPr>
        <w:spacing w:after="0" w:line="191" w:lineRule="exact"/>
        <w:rPr>
          <w:rFonts w:ascii="Arial" w:cs="Arial" w:eastAsia="Arial" w:hAnsi="Arial"/>
          <w:sz w:val="18"/>
          <w:szCs w:val="18"/>
          <w:b w:val="1"/>
          <w:bCs w:val="1"/>
          <w:color w:val="auto"/>
        </w:rPr>
      </w:pPr>
    </w:p>
    <w:p>
      <w:pPr>
        <w:ind w:left="1560" w:hanging="256"/>
        <w:spacing w:after="0"/>
        <w:tabs>
          <w:tab w:leader="none" w:pos="1560" w:val="left"/>
        </w:tabs>
        <w:numPr>
          <w:ilvl w:val="0"/>
          <w:numId w:val="6"/>
        </w:numPr>
        <w:rPr>
          <w:rFonts w:ascii="Arial" w:cs="Arial" w:eastAsia="Arial" w:hAnsi="Arial"/>
          <w:sz w:val="17"/>
          <w:szCs w:val="17"/>
          <w:b w:val="1"/>
          <w:bCs w:val="1"/>
          <w:color w:val="auto"/>
        </w:rPr>
      </w:pPr>
      <w:r>
        <w:rPr>
          <w:rFonts w:ascii="Arial" w:cs="Arial" w:eastAsia="Arial" w:hAnsi="Arial"/>
          <w:sz w:val="17"/>
          <w:szCs w:val="17"/>
          <w:u w:val="single" w:color="auto"/>
          <w:color w:val="auto"/>
        </w:rPr>
        <w:t>Distribution of Offering Material By the Company</w:t>
      </w:r>
      <w:r>
        <w:rPr>
          <w:rFonts w:ascii="Arial" w:cs="Arial" w:eastAsia="Arial" w:hAnsi="Arial"/>
          <w:sz w:val="17"/>
          <w:szCs w:val="17"/>
          <w:color w:val="auto"/>
        </w:rPr>
        <w:t>. Prior to the later of (i) the expiration or termination of the option granted to the</w:t>
      </w:r>
    </w:p>
    <w:p>
      <w:pPr>
        <w:spacing w:after="0" w:line="34" w:lineRule="exact"/>
        <w:rPr>
          <w:rFonts w:ascii="Arial" w:cs="Arial" w:eastAsia="Arial" w:hAnsi="Arial"/>
          <w:sz w:val="17"/>
          <w:szCs w:val="17"/>
          <w:b w:val="1"/>
          <w:bCs w:val="1"/>
          <w:color w:val="auto"/>
        </w:rPr>
      </w:pPr>
    </w:p>
    <w:p>
      <w:pPr>
        <w:jc w:val="both"/>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several Underwriters in Section‎ 2 and (ii) the completion of the Underwriters’ distribution of the Securities, the Company has not distributed and will not distribute any offering material in connection with the offering and sale of the Securities other than the Registration Statement, the Time of Sale Prospectus or the Prospectus.</w:t>
      </w:r>
    </w:p>
    <w:p>
      <w:pPr>
        <w:spacing w:after="0" w:line="189" w:lineRule="exact"/>
        <w:rPr>
          <w:rFonts w:ascii="Arial" w:cs="Arial" w:eastAsia="Arial" w:hAnsi="Arial"/>
          <w:sz w:val="17"/>
          <w:szCs w:val="17"/>
          <w:b w:val="1"/>
          <w:bCs w:val="1"/>
          <w:color w:val="auto"/>
        </w:rPr>
      </w:pPr>
    </w:p>
    <w:p>
      <w:pPr>
        <w:jc w:val="both"/>
        <w:ind w:firstLine="1304"/>
        <w:spacing w:after="0" w:line="288" w:lineRule="auto"/>
        <w:tabs>
          <w:tab w:leader="none" w:pos="1524" w:val="left"/>
        </w:tabs>
        <w:numPr>
          <w:ilvl w:val="0"/>
          <w:numId w:val="6"/>
        </w:numPr>
        <w:rPr>
          <w:rFonts w:ascii="Arial" w:cs="Arial" w:eastAsia="Arial" w:hAnsi="Arial"/>
          <w:sz w:val="16"/>
          <w:szCs w:val="16"/>
          <w:b w:val="1"/>
          <w:bCs w:val="1"/>
          <w:color w:val="auto"/>
        </w:rPr>
      </w:pPr>
      <w:r>
        <w:rPr>
          <w:rFonts w:ascii="Arial" w:cs="Arial" w:eastAsia="Arial" w:hAnsi="Arial"/>
          <w:sz w:val="16"/>
          <w:szCs w:val="16"/>
          <w:u w:val="single" w:color="auto"/>
          <w:color w:val="auto"/>
        </w:rPr>
        <w:t>Financial Information</w:t>
      </w:r>
      <w:r>
        <w:rPr>
          <w:rFonts w:ascii="Arial" w:cs="Arial" w:eastAsia="Arial" w:hAnsi="Arial"/>
          <w:sz w:val="16"/>
          <w:szCs w:val="16"/>
          <w:color w:val="auto"/>
        </w:rPr>
        <w:t>. The consolidated financial statements of the Company included in the Registration Statement, the Time of Sale Prospectus and the Prospectus, together with the related notes and schedules, present fairly, in all material respects, the consolidated financial position of the Company and the Subsidiaries (as defined below) as of the dates indicated and the consolidated results of operations, cash flows and changes in stockholders’ equity of the Company for the periods specified and have been prepared in compliance with the requirements of the Securities Act and in conformity with U.S.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applied on a consistent basis during the periods involved; there are no financial statements (historical or pro forma) that are required to be included in the Registration Statement, the Time of Sale Prospectus or the Prospectus that are not included as required; and the Company and the Subsidiaries do not have any material liabilities or obligations, direct or contingent (including any off-balance sheet obligations), not described in the Registration Statement (excluding the exhibits thereto), the Time of Sale Prospectus and the Prospectus. The financial data set forth in each of the Registration Statement, the Time of Sale Prospectus and the Prospectus fairly present the information set forth therein on a basis consistent with that of the audited financial statements contained in the Registration Statement, the Time of Sale Prospectus and the Prospectus.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jc w:val="both"/>
        <w:ind w:firstLine="1304"/>
        <w:spacing w:after="0" w:line="263" w:lineRule="auto"/>
        <w:tabs>
          <w:tab w:leader="none" w:pos="1599" w:val="left"/>
        </w:tabs>
        <w:numPr>
          <w:ilvl w:val="0"/>
          <w:numId w:val="7"/>
        </w:numPr>
        <w:rPr>
          <w:rFonts w:ascii="Arial" w:cs="Arial" w:eastAsia="Arial" w:hAnsi="Arial"/>
          <w:sz w:val="18"/>
          <w:szCs w:val="18"/>
          <w:b w:val="1"/>
          <w:bCs w:val="1"/>
          <w:color w:val="auto"/>
        </w:rPr>
      </w:pPr>
      <w:r>
        <w:rPr>
          <w:rFonts w:ascii="Arial" w:cs="Arial" w:eastAsia="Arial" w:hAnsi="Arial"/>
          <w:sz w:val="18"/>
          <w:szCs w:val="18"/>
          <w:u w:val="single" w:color="auto"/>
          <w:color w:val="auto"/>
        </w:rPr>
        <w:t>Conformity with EDGAR Filing</w:t>
      </w:r>
      <w:r>
        <w:rPr>
          <w:rFonts w:ascii="Arial" w:cs="Arial" w:eastAsia="Arial" w:hAnsi="Arial"/>
          <w:sz w:val="18"/>
          <w:szCs w:val="18"/>
          <w:color w:val="auto"/>
        </w:rPr>
        <w:t>. The Preliminary Prospectus and Final Prospectus delivered to the Underwriters for use in connection with the offer and sale of the Securities pursuant to this Agreement will be identical to the versions of the Preliminary Prospectus and Final Prospectus created to be transmitted to the Commission for filing via EDGAR, except to the extent permitted by Regulation S-T.</w:t>
      </w:r>
    </w:p>
    <w:p>
      <w:pPr>
        <w:spacing w:after="0" w:line="179" w:lineRule="exact"/>
        <w:rPr>
          <w:rFonts w:ascii="Arial" w:cs="Arial" w:eastAsia="Arial" w:hAnsi="Arial"/>
          <w:sz w:val="18"/>
          <w:szCs w:val="18"/>
          <w:b w:val="1"/>
          <w:bCs w:val="1"/>
          <w:color w:val="auto"/>
        </w:rPr>
      </w:pPr>
    </w:p>
    <w:p>
      <w:pPr>
        <w:jc w:val="both"/>
        <w:ind w:firstLine="1304"/>
        <w:spacing w:after="0" w:line="270" w:lineRule="auto"/>
        <w:tabs>
          <w:tab w:leader="none" w:pos="1576" w:val="left"/>
        </w:tabs>
        <w:numPr>
          <w:ilvl w:val="0"/>
          <w:numId w:val="7"/>
        </w:numPr>
        <w:rPr>
          <w:rFonts w:ascii="Arial" w:cs="Arial" w:eastAsia="Arial" w:hAnsi="Arial"/>
          <w:sz w:val="17"/>
          <w:szCs w:val="17"/>
          <w:b w:val="1"/>
          <w:bCs w:val="1"/>
          <w:color w:val="auto"/>
        </w:rPr>
      </w:pPr>
      <w:r>
        <w:rPr>
          <w:rFonts w:ascii="Arial" w:cs="Arial" w:eastAsia="Arial" w:hAnsi="Arial"/>
          <w:sz w:val="17"/>
          <w:szCs w:val="17"/>
          <w:u w:val="single" w:color="auto"/>
          <w:color w:val="auto"/>
        </w:rPr>
        <w:t>Organization</w:t>
      </w:r>
      <w:r>
        <w:rPr>
          <w:rFonts w:ascii="Arial" w:cs="Arial" w:eastAsia="Arial" w:hAnsi="Arial"/>
          <w:sz w:val="17"/>
          <w:szCs w:val="17"/>
          <w:color w:val="auto"/>
        </w:rPr>
        <w:t>. The Company and each of its subsidiaries (as defined in Rule 405 under the Securities Act) (the “</w:t>
      </w:r>
      <w:r>
        <w:rPr>
          <w:rFonts w:ascii="Arial" w:cs="Arial" w:eastAsia="Arial" w:hAnsi="Arial"/>
          <w:sz w:val="17"/>
          <w:szCs w:val="17"/>
          <w:b w:val="1"/>
          <w:bCs w:val="1"/>
          <w:color w:val="auto"/>
        </w:rPr>
        <w:t>Subsidiaries</w:t>
      </w:r>
      <w:r>
        <w:rPr>
          <w:rFonts w:ascii="Arial" w:cs="Arial" w:eastAsia="Arial" w:hAnsi="Arial"/>
          <w:sz w:val="17"/>
          <w:szCs w:val="17"/>
          <w:color w:val="auto"/>
        </w:rPr>
        <w:t>”) are duly organized, validly existing as a corporation, partnership or limited liability company, as applicable, and in good standing under the Laws (as defined below) of their respective jurisdictions of organization. The Company and each of the Subsidiaries are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the Time of Sale Prospectus or the Prospectus, except where the failure to be so qualified or in good standing or have such power or authority could not, individually or in the aggregate, have a material adverse effect on or affect the assets, business, operations, earnings, properties, condition (financial or otherwise), prospects, stockholders’ equity or results of operations of the Company and the Subsidiaries taken as a whole, or prevent or materially interfere with the consummation of the transactions contemplated hereby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w:t>
      </w:r>
    </w:p>
    <w:p>
      <w:pPr>
        <w:spacing w:after="0" w:line="180" w:lineRule="exact"/>
        <w:rPr>
          <w:rFonts w:ascii="Arial" w:cs="Arial" w:eastAsia="Arial" w:hAnsi="Arial"/>
          <w:sz w:val="17"/>
          <w:szCs w:val="17"/>
          <w:b w:val="1"/>
          <w:bCs w:val="1"/>
          <w:color w:val="auto"/>
        </w:rPr>
      </w:pPr>
    </w:p>
    <w:p>
      <w:pPr>
        <w:jc w:val="both"/>
        <w:ind w:firstLine="1304"/>
        <w:spacing w:after="0" w:line="296" w:lineRule="auto"/>
        <w:tabs>
          <w:tab w:leader="none" w:pos="1513" w:val="left"/>
        </w:tabs>
        <w:numPr>
          <w:ilvl w:val="0"/>
          <w:numId w:val="7"/>
        </w:numPr>
        <w:rPr>
          <w:rFonts w:ascii="Arial" w:cs="Arial" w:eastAsia="Arial" w:hAnsi="Arial"/>
          <w:sz w:val="16"/>
          <w:szCs w:val="16"/>
          <w:b w:val="1"/>
          <w:bCs w:val="1"/>
          <w:color w:val="auto"/>
        </w:rPr>
      </w:pPr>
      <w:r>
        <w:rPr>
          <w:rFonts w:ascii="Arial" w:cs="Arial" w:eastAsia="Arial" w:hAnsi="Arial"/>
          <w:sz w:val="16"/>
          <w:szCs w:val="16"/>
          <w:u w:val="single" w:color="auto"/>
          <w:color w:val="auto"/>
        </w:rPr>
        <w:t>Subsidiaries</w:t>
      </w:r>
      <w:r>
        <w:rPr>
          <w:rFonts w:ascii="Arial" w:cs="Arial" w:eastAsia="Arial" w:hAnsi="Arial"/>
          <w:sz w:val="16"/>
          <w:szCs w:val="16"/>
          <w:color w:val="auto"/>
        </w:rPr>
        <w:t>.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spacing w:after="0" w:line="161" w:lineRule="exact"/>
        <w:rPr>
          <w:rFonts w:ascii="Arial" w:cs="Arial" w:eastAsia="Arial" w:hAnsi="Arial"/>
          <w:sz w:val="16"/>
          <w:szCs w:val="16"/>
          <w:b w:val="1"/>
          <w:bCs w:val="1"/>
          <w:color w:val="auto"/>
        </w:rPr>
      </w:pPr>
    </w:p>
    <w:p>
      <w:pPr>
        <w:jc w:val="both"/>
        <w:ind w:firstLine="1304"/>
        <w:spacing w:after="0" w:line="290" w:lineRule="auto"/>
        <w:tabs>
          <w:tab w:leader="none" w:pos="1549" w:val="left"/>
        </w:tabs>
        <w:numPr>
          <w:ilvl w:val="0"/>
          <w:numId w:val="7"/>
        </w:numPr>
        <w:rPr>
          <w:rFonts w:ascii="Arial" w:cs="Arial" w:eastAsia="Arial" w:hAnsi="Arial"/>
          <w:sz w:val="16"/>
          <w:szCs w:val="16"/>
          <w:b w:val="1"/>
          <w:bCs w:val="1"/>
          <w:color w:val="auto"/>
        </w:rPr>
      </w:pPr>
      <w:r>
        <w:rPr>
          <w:rFonts w:ascii="Arial" w:cs="Arial" w:eastAsia="Arial" w:hAnsi="Arial"/>
          <w:sz w:val="16"/>
          <w:szCs w:val="16"/>
          <w:u w:val="single" w:color="auto"/>
          <w:color w:val="auto"/>
        </w:rPr>
        <w:t>No Violation or Default</w:t>
      </w:r>
      <w:r>
        <w:rPr>
          <w:rFonts w:ascii="Arial" w:cs="Arial" w:eastAsia="Arial" w:hAnsi="Arial"/>
          <w:sz w:val="16"/>
          <w:szCs w:val="16"/>
          <w:color w:val="auto"/>
        </w:rPr>
        <w:t>. Neither the Company nor any of the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the Subsidiaries is a party or by which the Company or any of the Subsidiaries is bound or to which any of the property or assets of the Company or any of the Subsidiaries is subject; or (iii) in violation of any Law of any Governmental Authority (as defined below), except, in the case of each of clauses (ii) and (iii) above, for any such violation or default that could not, individually or in the aggregate, have a Material Adverse Effect or otherwise disclosed in the Registration Statement, Time of Sale Prospectus and Prospectus. To the Company’s knowledge, no other party under any material contract or other agreement to which it or any of the Subsidiaries is a party is in default in any respect thereunder.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jc w:val="both"/>
        <w:ind w:firstLine="1304"/>
        <w:spacing w:after="0" w:line="254" w:lineRule="auto"/>
        <w:tabs>
          <w:tab w:leader="none" w:pos="1576" w:val="left"/>
        </w:tabs>
        <w:numPr>
          <w:ilvl w:val="0"/>
          <w:numId w:val="8"/>
        </w:numPr>
        <w:rPr>
          <w:rFonts w:ascii="Arial" w:cs="Arial" w:eastAsia="Arial" w:hAnsi="Arial"/>
          <w:sz w:val="18"/>
          <w:szCs w:val="18"/>
          <w:b w:val="1"/>
          <w:bCs w:val="1"/>
          <w:color w:val="auto"/>
        </w:rPr>
      </w:pP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Subsequent to the respective dates as of which information is given in the Registration Statement, the Time of Sale Prospectus, the Prospectus and the free writing prospectuses, if any, there has not been (i) any Material Adverse Effect or the occurrence of any development that could, individually or in the aggregate, have a Material Adverse Effect, (ii) any transaction which is material to the Company and the Subsidiaries taken as a whole, (iii) any obligation or liability, direct or contingent (including any off-balance sheet obligations), incurred by the Company or any Subsidiary, which is material to the Company and the Subsidiaries taken as a whole, (iv) any material change in the capital stock or outstanding long-term indebtedness of the Company or any of the Subsidiaries or (v) any dividend or distribution of any kind declared, paid or made on the capital stock of the Company or any Subsidiary.</w:t>
      </w:r>
    </w:p>
    <w:p>
      <w:pPr>
        <w:spacing w:after="0" w:line="194" w:lineRule="exact"/>
        <w:rPr>
          <w:rFonts w:ascii="Arial" w:cs="Arial" w:eastAsia="Arial" w:hAnsi="Arial"/>
          <w:sz w:val="18"/>
          <w:szCs w:val="18"/>
          <w:b w:val="1"/>
          <w:bCs w:val="1"/>
          <w:color w:val="auto"/>
        </w:rPr>
      </w:pPr>
    </w:p>
    <w:p>
      <w:pPr>
        <w:jc w:val="both"/>
        <w:ind w:firstLine="1304"/>
        <w:spacing w:after="0" w:line="270" w:lineRule="auto"/>
        <w:tabs>
          <w:tab w:leader="none" w:pos="1544" w:val="left"/>
        </w:tabs>
        <w:numPr>
          <w:ilvl w:val="0"/>
          <w:numId w:val="8"/>
        </w:numPr>
        <w:rPr>
          <w:rFonts w:ascii="Arial" w:cs="Arial" w:eastAsia="Arial" w:hAnsi="Arial"/>
          <w:sz w:val="17"/>
          <w:szCs w:val="17"/>
          <w:b w:val="1"/>
          <w:bCs w:val="1"/>
          <w:color w:val="auto"/>
        </w:rPr>
      </w:pPr>
      <w:r>
        <w:rPr>
          <w:rFonts w:ascii="Arial" w:cs="Arial" w:eastAsia="Arial" w:hAnsi="Arial"/>
          <w:sz w:val="17"/>
          <w:szCs w:val="17"/>
          <w:u w:val="single" w:color="auto"/>
          <w:color w:val="auto"/>
        </w:rPr>
        <w:t>Capitalization</w:t>
      </w:r>
      <w:r>
        <w:rPr>
          <w:rFonts w:ascii="Arial" w:cs="Arial" w:eastAsia="Arial" w:hAnsi="Arial"/>
          <w:sz w:val="17"/>
          <w:szCs w:val="17"/>
          <w:color w:val="auto"/>
        </w:rPr>
        <w:t>. The issued and outstanding shares of capital stock of the Company have been validly issued, are fully paid and nonassessable and are not subject to any preemptive rights, rights of first refusal or similar rights. The Company has an authorized, issued and outstanding capitalization as set forth in the Registration Statement, the Time of Sale Prospectus and the Prospectus as of the dates referred to therein (other than the grant of additional options under the Company’s existing stock option plans, or changes in the number of outstanding Shares due to the issuance of shares upon the exercise or conversion of securities exercisable for, or convertible into, Shares outstanding on the date hereof). The description of the securities of the Company in the Registration Statement, the Time of Sale Prospectus and the Prospectus is complete and accurate in all material respects. Except as disclosed in the Registration Statement, the Time of Sale Prospectus and the Prospectus, as of the date referred to therein, the Company does not have outstanding any options to purchase, or any rights or warrants to subscribe for, or any securities or obligations convertible into, or exchangeable for, or any contracts or commitments to issue or sell, any shares of capital stock or other securities.</w:t>
      </w:r>
    </w:p>
    <w:p>
      <w:pPr>
        <w:spacing w:after="0" w:line="180" w:lineRule="exact"/>
        <w:rPr>
          <w:rFonts w:ascii="Arial" w:cs="Arial" w:eastAsia="Arial" w:hAnsi="Arial"/>
          <w:sz w:val="17"/>
          <w:szCs w:val="17"/>
          <w:b w:val="1"/>
          <w:bCs w:val="1"/>
          <w:color w:val="auto"/>
        </w:rPr>
      </w:pPr>
    </w:p>
    <w:p>
      <w:pPr>
        <w:jc w:val="both"/>
        <w:ind w:firstLine="1304"/>
        <w:spacing w:after="0" w:line="257" w:lineRule="auto"/>
        <w:tabs>
          <w:tab w:leader="none" w:pos="1610" w:val="left"/>
        </w:tabs>
        <w:numPr>
          <w:ilvl w:val="0"/>
          <w:numId w:val="8"/>
        </w:numPr>
        <w:rPr>
          <w:rFonts w:ascii="Arial" w:cs="Arial" w:eastAsia="Arial" w:hAnsi="Arial"/>
          <w:sz w:val="18"/>
          <w:szCs w:val="18"/>
          <w:b w:val="1"/>
          <w:bCs w:val="1"/>
          <w:color w:val="auto"/>
        </w:rPr>
      </w:pP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Company has full legal right, power and authority to enter into this Agreement and each Offered Warrant and perform the transactions contemplated hereby. This Agreement has been, and each Offered Warrant will be, duly authorized, executed and delivered by the Company and is a legal, valid and binding agreement of the Company enforceable in accordance with its terms, except to the extent that enforceability may be limited by bankruptcy, insolvency, reorganization, moratorium or similar Laws affecting creditors’ rights generally and by general equitable principles.</w:t>
      </w:r>
    </w:p>
    <w:p>
      <w:pPr>
        <w:spacing w:after="0" w:line="187" w:lineRule="exact"/>
        <w:rPr>
          <w:rFonts w:ascii="Arial" w:cs="Arial" w:eastAsia="Arial" w:hAnsi="Arial"/>
          <w:sz w:val="18"/>
          <w:szCs w:val="18"/>
          <w:b w:val="1"/>
          <w:bCs w:val="1"/>
          <w:color w:val="auto"/>
        </w:rPr>
      </w:pPr>
    </w:p>
    <w:p>
      <w:pPr>
        <w:jc w:val="both"/>
        <w:ind w:firstLine="1304"/>
        <w:spacing w:after="0" w:line="253" w:lineRule="auto"/>
        <w:tabs>
          <w:tab w:leader="none" w:pos="1556" w:val="left"/>
        </w:tabs>
        <w:numPr>
          <w:ilvl w:val="0"/>
          <w:numId w:val="8"/>
        </w:numPr>
        <w:rPr>
          <w:rFonts w:ascii="Arial" w:cs="Arial" w:eastAsia="Arial" w:hAnsi="Arial"/>
          <w:sz w:val="18"/>
          <w:szCs w:val="18"/>
          <w:b w:val="1"/>
          <w:bCs w:val="1"/>
          <w:color w:val="auto"/>
        </w:rPr>
      </w:pPr>
      <w:r>
        <w:rPr>
          <w:rFonts w:ascii="Arial" w:cs="Arial" w:eastAsia="Arial" w:hAnsi="Arial"/>
          <w:sz w:val="18"/>
          <w:szCs w:val="18"/>
          <w:u w:val="single" w:color="auto"/>
          <w:color w:val="auto"/>
        </w:rPr>
        <w:t>Authorization of the Securities</w:t>
      </w:r>
      <w:r>
        <w:rPr>
          <w:rFonts w:ascii="Arial" w:cs="Arial" w:eastAsia="Arial" w:hAnsi="Arial"/>
          <w:sz w:val="18"/>
          <w:szCs w:val="18"/>
          <w:color w:val="auto"/>
        </w:rPr>
        <w:t>. The Securities have been duly authorized for issuance and sale pursuant to this Agreement and, when issued and delivered by the Company against payment therefor pursuant to this Agreement, will be duly and validly issued,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The Warrant Shares have been duly authorized and validly reserved for issuance upon exercise of the Offered Warrants; the Warrant Shares, when issued and delivered upon exercise of the Offered Warrants in accordance therewith, will be validly issued, fully paid and nonassessable, and the issuance of the Warrant Shares is not subject to any preemptive rights, rights of first refusal or other similar rights to subscribe for or purchase the Warrant Shares. The Securities, when issued, will conform to the description thereof set forth in or incorporated into the Registration Statement, the Time of Sale Prospectus and the Prospectus.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jc w:val="both"/>
        <w:ind w:firstLine="1304"/>
        <w:spacing w:after="0" w:line="257" w:lineRule="auto"/>
        <w:tabs>
          <w:tab w:leader="none" w:pos="1597" w:val="left"/>
        </w:tabs>
        <w:numPr>
          <w:ilvl w:val="1"/>
          <w:numId w:val="9"/>
        </w:numPr>
        <w:rPr>
          <w:rFonts w:ascii="Arial" w:cs="Arial" w:eastAsia="Arial" w:hAnsi="Arial"/>
          <w:sz w:val="18"/>
          <w:szCs w:val="18"/>
          <w:b w:val="1"/>
          <w:bCs w:val="1"/>
          <w:color w:val="auto"/>
        </w:rPr>
      </w:pPr>
      <w:r>
        <w:rPr>
          <w:rFonts w:ascii="Arial" w:cs="Arial" w:eastAsia="Arial" w:hAnsi="Arial"/>
          <w:sz w:val="18"/>
          <w:szCs w:val="18"/>
          <w:u w:val="single" w:color="auto"/>
          <w:color w:val="auto"/>
        </w:rPr>
        <w:t>No Consents Required</w:t>
      </w:r>
      <w:r>
        <w:rPr>
          <w:rFonts w:ascii="Arial" w:cs="Arial" w:eastAsia="Arial" w:hAnsi="Arial"/>
          <w:sz w:val="18"/>
          <w:szCs w:val="18"/>
          <w:color w:val="auto"/>
        </w:rPr>
        <w:t>. No consent, approval, authorization, order, registration or qualification of or with any Governmental Authority is required for the execution, delivery and performance by the Company of this Agreement, the issuance and sale by the Company of the Securities, except for such consents, approvals, authorizations, orders and registrations or qualifications as may be required under applicable state securities Laws or Laws of the Financial Industry Regulatory Authority Inc. (“</w:t>
      </w:r>
      <w:r>
        <w:rPr>
          <w:rFonts w:ascii="Arial" w:cs="Arial" w:eastAsia="Arial" w:hAnsi="Arial"/>
          <w:sz w:val="18"/>
          <w:szCs w:val="18"/>
          <w:b w:val="1"/>
          <w:bCs w:val="1"/>
          <w:color w:val="auto"/>
        </w:rPr>
        <w:t>FINRA</w:t>
      </w:r>
      <w:r>
        <w:rPr>
          <w:rFonts w:ascii="Arial" w:cs="Arial" w:eastAsia="Arial" w:hAnsi="Arial"/>
          <w:sz w:val="18"/>
          <w:szCs w:val="18"/>
          <w:color w:val="auto"/>
        </w:rPr>
        <w:t>”) or The Nasdaq Global Market (“</w:t>
      </w:r>
      <w:r>
        <w:rPr>
          <w:rFonts w:ascii="Arial" w:cs="Arial" w:eastAsia="Arial" w:hAnsi="Arial"/>
          <w:sz w:val="18"/>
          <w:szCs w:val="18"/>
          <w:b w:val="1"/>
          <w:bCs w:val="1"/>
          <w:color w:val="auto"/>
        </w:rPr>
        <w:t>Nasdaq</w:t>
      </w:r>
      <w:r>
        <w:rPr>
          <w:rFonts w:ascii="Arial" w:cs="Arial" w:eastAsia="Arial" w:hAnsi="Arial"/>
          <w:sz w:val="18"/>
          <w:szCs w:val="18"/>
          <w:color w:val="auto"/>
        </w:rPr>
        <w:t>”) in connection with the sale of the Securities.</w:t>
      </w:r>
    </w:p>
    <w:p>
      <w:pPr>
        <w:spacing w:after="0" w:line="187" w:lineRule="exact"/>
        <w:rPr>
          <w:rFonts w:ascii="Arial" w:cs="Arial" w:eastAsia="Arial" w:hAnsi="Arial"/>
          <w:sz w:val="18"/>
          <w:szCs w:val="18"/>
          <w:b w:val="1"/>
          <w:bCs w:val="1"/>
          <w:color w:val="auto"/>
        </w:rPr>
      </w:pPr>
    </w:p>
    <w:p>
      <w:pPr>
        <w:jc w:val="both"/>
        <w:ind w:firstLine="1304"/>
        <w:spacing w:after="0" w:line="286" w:lineRule="auto"/>
        <w:tabs>
          <w:tab w:leader="none" w:pos="1572" w:val="left"/>
        </w:tabs>
        <w:numPr>
          <w:ilvl w:val="1"/>
          <w:numId w:val="9"/>
        </w:numPr>
        <w:rPr>
          <w:rFonts w:ascii="Arial" w:cs="Arial" w:eastAsia="Arial" w:hAnsi="Arial"/>
          <w:sz w:val="16"/>
          <w:szCs w:val="16"/>
          <w:b w:val="1"/>
          <w:bCs w:val="1"/>
          <w:color w:val="auto"/>
        </w:rPr>
      </w:pPr>
      <w:r>
        <w:rPr>
          <w:rFonts w:ascii="Arial" w:cs="Arial" w:eastAsia="Arial" w:hAnsi="Arial"/>
          <w:sz w:val="16"/>
          <w:szCs w:val="16"/>
          <w:u w:val="single" w:color="auto"/>
          <w:color w:val="auto"/>
        </w:rPr>
        <w:t>No Preferential Rights</w:t>
      </w:r>
      <w:r>
        <w:rPr>
          <w:rFonts w:ascii="Arial" w:cs="Arial" w:eastAsia="Arial" w:hAnsi="Arial"/>
          <w:sz w:val="16"/>
          <w:szCs w:val="16"/>
          <w:color w:val="auto"/>
        </w:rPr>
        <w:t>. (i) No person, as such term is defined in Rule 1-02 of Regulation S-X promulgated under the Securities Act (each, a “</w:t>
      </w:r>
      <w:r>
        <w:rPr>
          <w:rFonts w:ascii="Arial" w:cs="Arial" w:eastAsia="Arial" w:hAnsi="Arial"/>
          <w:sz w:val="16"/>
          <w:szCs w:val="16"/>
          <w:b w:val="1"/>
          <w:bCs w:val="1"/>
          <w:color w:val="auto"/>
        </w:rPr>
        <w:t>Person</w:t>
      </w:r>
      <w:r>
        <w:rPr>
          <w:rFonts w:ascii="Arial" w:cs="Arial" w:eastAsia="Arial" w:hAnsi="Arial"/>
          <w:sz w:val="16"/>
          <w:szCs w:val="16"/>
          <w:color w:val="auto"/>
        </w:rPr>
        <w:t>”), has the right, contractual or otherwise, to cause the Company to issue or sell to such Person any Shares or shares of any other capital stock or other securities of the Company, (ii) no Person has any preemptive rights, resale rights, rights of first refusal, rights of co-sale, or any other rights (whether pursuant to a “poison pill” provision or otherwise) to purchase any Shares or shares of any other capital stock or other securities of the Company,</w:t>
      </w:r>
    </w:p>
    <w:p>
      <w:pPr>
        <w:spacing w:after="0" w:line="1" w:lineRule="exact"/>
        <w:rPr>
          <w:rFonts w:ascii="Arial" w:cs="Arial" w:eastAsia="Arial" w:hAnsi="Arial"/>
          <w:sz w:val="16"/>
          <w:szCs w:val="16"/>
          <w:b w:val="1"/>
          <w:bCs w:val="1"/>
          <w:color w:val="auto"/>
        </w:rPr>
      </w:pPr>
    </w:p>
    <w:p>
      <w:pPr>
        <w:jc w:val="both"/>
        <w:ind w:firstLine="8"/>
        <w:spacing w:after="0" w:line="253" w:lineRule="auto"/>
        <w:tabs>
          <w:tab w:leader="none" w:pos="3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except with respect to the Underwriters, no Person has the right to act as an underwriter or financial advisor to the Company in connection with the offer and sale of the Securities, and (iv) no Person has the right, contractual or otherwise, to require the Company to register under the Securities Act the offer and sale of any Shares or shares of any other capital stock or other securities of the Company, or to include any such shares or other securities in Registration Statement or the offering contemplated thereby, whether as a result of the filing or effectiveness of the Registration Statement or the sale of the Securities as contemplated thereby or otherwise.</w:t>
      </w:r>
    </w:p>
    <w:p>
      <w:pPr>
        <w:spacing w:after="0" w:line="186" w:lineRule="exact"/>
        <w:rPr>
          <w:rFonts w:ascii="Arial" w:cs="Arial" w:eastAsia="Arial" w:hAnsi="Arial"/>
          <w:sz w:val="18"/>
          <w:szCs w:val="18"/>
          <w:color w:val="auto"/>
        </w:rPr>
      </w:pPr>
    </w:p>
    <w:p>
      <w:pPr>
        <w:jc w:val="both"/>
        <w:ind w:firstLine="1304"/>
        <w:spacing w:after="0" w:line="277" w:lineRule="auto"/>
        <w:tabs>
          <w:tab w:leader="none" w:pos="1571" w:val="left"/>
        </w:tabs>
        <w:numPr>
          <w:ilvl w:val="1"/>
          <w:numId w:val="10"/>
        </w:numPr>
        <w:rPr>
          <w:rFonts w:ascii="Arial" w:cs="Arial" w:eastAsia="Arial" w:hAnsi="Arial"/>
          <w:sz w:val="17"/>
          <w:szCs w:val="17"/>
          <w:b w:val="1"/>
          <w:bCs w:val="1"/>
          <w:color w:val="auto"/>
        </w:rPr>
      </w:pPr>
      <w:r>
        <w:rPr>
          <w:rFonts w:ascii="Arial" w:cs="Arial" w:eastAsia="Arial" w:hAnsi="Arial"/>
          <w:sz w:val="17"/>
          <w:szCs w:val="17"/>
          <w:u w:val="single" w:color="auto"/>
          <w:color w:val="auto"/>
        </w:rPr>
        <w:t>Independent Public Accounting Firm</w:t>
      </w:r>
      <w:r>
        <w:rPr>
          <w:rFonts w:ascii="Arial" w:cs="Arial" w:eastAsia="Arial" w:hAnsi="Arial"/>
          <w:sz w:val="17"/>
          <w:szCs w:val="17"/>
          <w:color w:val="auto"/>
        </w:rPr>
        <w:t>. BDO USA LLP (the “</w:t>
      </w:r>
      <w:r>
        <w:rPr>
          <w:rFonts w:ascii="Arial" w:cs="Arial" w:eastAsia="Arial" w:hAnsi="Arial"/>
          <w:sz w:val="17"/>
          <w:szCs w:val="17"/>
          <w:b w:val="1"/>
          <w:bCs w:val="1"/>
          <w:color w:val="auto"/>
        </w:rPr>
        <w:t>Accountant</w:t>
      </w:r>
      <w:r>
        <w:rPr>
          <w:rFonts w:ascii="Arial" w:cs="Arial" w:eastAsia="Arial" w:hAnsi="Arial"/>
          <w:sz w:val="17"/>
          <w:szCs w:val="17"/>
          <w:color w:val="auto"/>
        </w:rPr>
        <w:t>”), whose report on the consolidated financial statements of the Company is filed with the Commission as part of the Registration Statement, the Time of Sale Prospectus and the Prospectus, are and, during the periods covered by their report, were an independent registered public accounting firm within the meaning of the Securities Act and the Public Company Accounting Oversight Board (United States). To the Company’s knowledge, the Accountant is not in violation of the auditor independence requirements of the Sarbanes-Oxley Act of 2002 (the “</w:t>
      </w:r>
      <w:r>
        <w:rPr>
          <w:rFonts w:ascii="Arial" w:cs="Arial" w:eastAsia="Arial" w:hAnsi="Arial"/>
          <w:sz w:val="17"/>
          <w:szCs w:val="17"/>
          <w:b w:val="1"/>
          <w:bCs w:val="1"/>
          <w:color w:val="auto"/>
        </w:rPr>
        <w:t>Sarbanes-Oxley Act</w:t>
      </w:r>
      <w:r>
        <w:rPr>
          <w:rFonts w:ascii="Arial" w:cs="Arial" w:eastAsia="Arial" w:hAnsi="Arial"/>
          <w:sz w:val="17"/>
          <w:szCs w:val="17"/>
          <w:color w:val="auto"/>
        </w:rPr>
        <w:t>”) with respect to the Company.</w:t>
      </w:r>
    </w:p>
    <w:p>
      <w:pPr>
        <w:spacing w:after="0" w:line="171" w:lineRule="exact"/>
        <w:rPr>
          <w:rFonts w:ascii="Arial" w:cs="Arial" w:eastAsia="Arial" w:hAnsi="Arial"/>
          <w:sz w:val="17"/>
          <w:szCs w:val="17"/>
          <w:b w:val="1"/>
          <w:bCs w:val="1"/>
          <w:color w:val="auto"/>
        </w:rPr>
      </w:pPr>
    </w:p>
    <w:p>
      <w:pPr>
        <w:jc w:val="both"/>
        <w:ind w:firstLine="1304"/>
        <w:spacing w:after="0" w:line="301" w:lineRule="auto"/>
        <w:tabs>
          <w:tab w:leader="none" w:pos="1542" w:val="left"/>
        </w:tabs>
        <w:numPr>
          <w:ilvl w:val="1"/>
          <w:numId w:val="10"/>
        </w:numPr>
        <w:rPr>
          <w:rFonts w:ascii="Arial" w:cs="Arial" w:eastAsia="Arial" w:hAnsi="Arial"/>
          <w:sz w:val="16"/>
          <w:szCs w:val="16"/>
          <w:b w:val="1"/>
          <w:bCs w:val="1"/>
          <w:color w:val="auto"/>
        </w:rPr>
      </w:pPr>
      <w:r>
        <w:rPr>
          <w:rFonts w:ascii="Arial" w:cs="Arial" w:eastAsia="Arial" w:hAnsi="Arial"/>
          <w:sz w:val="16"/>
          <w:szCs w:val="16"/>
          <w:u w:val="single" w:color="auto"/>
          <w:color w:val="auto"/>
        </w:rPr>
        <w:t>Enforceability of Agreements</w:t>
      </w:r>
      <w:r>
        <w:rPr>
          <w:rFonts w:ascii="Arial" w:cs="Arial" w:eastAsia="Arial" w:hAnsi="Arial"/>
          <w:sz w:val="16"/>
          <w:szCs w:val="16"/>
          <w:color w:val="auto"/>
        </w:rPr>
        <w:t>. All agreements between the Company and third parties referenced in the Prospectus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w:t>
      </w:r>
    </w:p>
    <w:p>
      <w:pPr>
        <w:spacing w:after="0" w:line="157" w:lineRule="exact"/>
        <w:rPr>
          <w:rFonts w:ascii="Arial" w:cs="Arial" w:eastAsia="Arial" w:hAnsi="Arial"/>
          <w:sz w:val="16"/>
          <w:szCs w:val="16"/>
          <w:b w:val="1"/>
          <w:bCs w:val="1"/>
          <w:color w:val="auto"/>
        </w:rPr>
      </w:pPr>
    </w:p>
    <w:p>
      <w:pPr>
        <w:jc w:val="both"/>
        <w:ind w:firstLine="1304"/>
        <w:spacing w:after="0" w:line="254" w:lineRule="auto"/>
        <w:tabs>
          <w:tab w:leader="none" w:pos="1546" w:val="left"/>
        </w:tabs>
        <w:numPr>
          <w:ilvl w:val="1"/>
          <w:numId w:val="10"/>
        </w:numPr>
        <w:rPr>
          <w:rFonts w:ascii="Arial" w:cs="Arial" w:eastAsia="Arial" w:hAnsi="Arial"/>
          <w:sz w:val="18"/>
          <w:szCs w:val="18"/>
          <w:b w:val="1"/>
          <w:bCs w:val="1"/>
          <w:color w:val="auto"/>
        </w:rPr>
      </w:pPr>
      <w:r>
        <w:rPr>
          <w:rFonts w:ascii="Arial" w:cs="Arial" w:eastAsia="Arial" w:hAnsi="Arial"/>
          <w:sz w:val="18"/>
          <w:szCs w:val="18"/>
          <w:u w:val="single" w:color="auto"/>
          <w:color w:val="auto"/>
        </w:rPr>
        <w:t>No Litigation</w:t>
      </w:r>
      <w:r>
        <w:rPr>
          <w:rFonts w:ascii="Arial" w:cs="Arial" w:eastAsia="Arial" w:hAnsi="Arial"/>
          <w:sz w:val="18"/>
          <w:szCs w:val="18"/>
          <w:color w:val="auto"/>
        </w:rPr>
        <w:t>. There are no actions, suits or proceedings by or before any Governmental Authority pending, nor, to the Company’s knowledge, any audits or investigations by or before any Governmental Authority, to which the Company or a Subsidiary is a party or to which any property of the Company or any of the Subsidiaries is the subject that could, individually or in the aggregate, have a Material Adverse Effect and, to the Company’s knowledge, no such actions, suits, proceedings, audits or investigations are threatened or contemplated by any Governmental Authority or threatened by others; and (i) there are no current or pending audits, investigations, actions, suits or proceedings by or before any Governmental Authority that are required under the Securities Act to be described in the Registration Statement, the Time of Sale Prospectus or the Prospectus that are not so described; and (ii) there are no contracts or other documents that are required under the Securities Act to be filed as exhibits to the Registration Statement that are not so filed.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jc w:val="both"/>
        <w:ind w:firstLine="1304"/>
        <w:spacing w:after="0" w:line="269" w:lineRule="auto"/>
        <w:tabs>
          <w:tab w:leader="none" w:pos="1522" w:val="left"/>
        </w:tabs>
        <w:numPr>
          <w:ilvl w:val="0"/>
          <w:numId w:val="11"/>
        </w:numPr>
        <w:rPr>
          <w:rFonts w:ascii="Arial" w:cs="Arial" w:eastAsia="Arial" w:hAnsi="Arial"/>
          <w:sz w:val="17"/>
          <w:szCs w:val="17"/>
          <w:b w:val="1"/>
          <w:bCs w:val="1"/>
          <w:color w:val="auto"/>
        </w:rPr>
      </w:pPr>
      <w:r>
        <w:rPr>
          <w:rFonts w:ascii="Arial" w:cs="Arial" w:eastAsia="Arial" w:hAnsi="Arial"/>
          <w:sz w:val="17"/>
          <w:szCs w:val="17"/>
          <w:u w:val="single" w:color="auto"/>
          <w:color w:val="auto"/>
        </w:rPr>
        <w:t>Consents and Permits</w:t>
      </w:r>
      <w:r>
        <w:rPr>
          <w:rFonts w:ascii="Arial" w:cs="Arial" w:eastAsia="Arial" w:hAnsi="Arial"/>
          <w:sz w:val="17"/>
          <w:szCs w:val="17"/>
          <w:color w:val="auto"/>
        </w:rPr>
        <w:t>. The Company and the Subsidiaries have made all filings, applications and submissions required by, and possess and are operating in compliance with all approvals, licenses, certificates, certifications, clearances, consents, grants, exemptions, marks, notifications, orders, permits and other authorizations issued by, the appropriate federal, state or foreign Governmental Authority necessary for the ownership or lease of their respective properties or to conduct their businesses as described in the Registration Statement, the Time of Sale Prospectus or the Prospectus (collectively, “</w:t>
      </w:r>
      <w:r>
        <w:rPr>
          <w:rFonts w:ascii="Arial" w:cs="Arial" w:eastAsia="Arial" w:hAnsi="Arial"/>
          <w:sz w:val="17"/>
          <w:szCs w:val="17"/>
          <w:b w:val="1"/>
          <w:bCs w:val="1"/>
          <w:color w:val="auto"/>
        </w:rPr>
        <w:t>Permits</w:t>
      </w:r>
      <w:r>
        <w:rPr>
          <w:rFonts w:ascii="Arial" w:cs="Arial" w:eastAsia="Arial" w:hAnsi="Arial"/>
          <w:sz w:val="17"/>
          <w:szCs w:val="17"/>
          <w:color w:val="auto"/>
        </w:rPr>
        <w:t>”), except for such Permits the failure of which to possess, obtain or file could not, individually or in the aggregate, have a Material Adverse Effect; the Company and the Subsidiaries are in compliance with the terms and conditions of all such Permits, except where the failure to be in compliance could not, individually or in the aggregate, have a Material Adverse Effect; all of the Permits are valid and in full force and effect, except where any invalidity could not, individually or in the aggregate, have a Material Adverse Effect; and neither the Company nor any of the Subsidiaries has received any notice relating to the limitation, revocation, cancellation, suspension, modification or non-renewal of any such Permit which, if the subject of an unfavorable decision, ruling or finding, could, individually or in the aggregate, have a Material Adverse Effect, or has any reason to believe that any such license, certificate, permit or authorization will not be renewed in the ordinary course.</w:t>
      </w:r>
    </w:p>
    <w:p>
      <w:pPr>
        <w:spacing w:after="0" w:line="181" w:lineRule="exact"/>
        <w:rPr>
          <w:rFonts w:ascii="Arial" w:cs="Arial" w:eastAsia="Arial" w:hAnsi="Arial"/>
          <w:sz w:val="17"/>
          <w:szCs w:val="17"/>
          <w:b w:val="1"/>
          <w:bCs w:val="1"/>
          <w:color w:val="auto"/>
        </w:rPr>
      </w:pPr>
    </w:p>
    <w:p>
      <w:pPr>
        <w:jc w:val="both"/>
        <w:ind w:firstLine="1304"/>
        <w:spacing w:after="0" w:line="275" w:lineRule="auto"/>
        <w:tabs>
          <w:tab w:leader="none" w:pos="1576" w:val="left"/>
        </w:tabs>
        <w:numPr>
          <w:ilvl w:val="0"/>
          <w:numId w:val="11"/>
        </w:numPr>
        <w:rPr>
          <w:rFonts w:ascii="Arial" w:cs="Arial" w:eastAsia="Arial" w:hAnsi="Arial"/>
          <w:sz w:val="17"/>
          <w:szCs w:val="17"/>
          <w:b w:val="1"/>
          <w:bCs w:val="1"/>
          <w:color w:val="auto"/>
        </w:rPr>
      </w:pPr>
      <w:r>
        <w:rPr>
          <w:rFonts w:ascii="Arial" w:cs="Arial" w:eastAsia="Arial" w:hAnsi="Arial"/>
          <w:sz w:val="17"/>
          <w:szCs w:val="17"/>
          <w:u w:val="single" w:color="auto"/>
          <w:color w:val="auto"/>
        </w:rPr>
        <w:t>Regulatory Filings</w:t>
      </w:r>
      <w:r>
        <w:rPr>
          <w:rFonts w:ascii="Arial" w:cs="Arial" w:eastAsia="Arial" w:hAnsi="Arial"/>
          <w:sz w:val="17"/>
          <w:szCs w:val="17"/>
          <w:color w:val="auto"/>
        </w:rPr>
        <w:t>. Neither the Company nor any of the Subsidiaries has failed to file with the applicable Governmental Authority any required filing, declaration, listing, registration, report or submission, except for such failures that could not, individually or in the aggregate, have a Material Adverse Effect. All such filings, declarations, listings, registrations, reports or submissions were in compliance with applicable Laws when filed and no deficiencies have been asserted by any applicable regulatory authority with respect to any such filings, declarations, listings, registrations, reports or submissions, except for any deficiencies that could not, individually or in the aggregate, have a Material Adverse Effect.</w:t>
      </w:r>
    </w:p>
    <w:p>
      <w:pPr>
        <w:spacing w:after="0" w:line="176" w:lineRule="exact"/>
        <w:rPr>
          <w:rFonts w:ascii="Arial" w:cs="Arial" w:eastAsia="Arial" w:hAnsi="Arial"/>
          <w:sz w:val="17"/>
          <w:szCs w:val="17"/>
          <w:b w:val="1"/>
          <w:bCs w:val="1"/>
          <w:color w:val="auto"/>
        </w:rPr>
      </w:pPr>
    </w:p>
    <w:p>
      <w:pPr>
        <w:jc w:val="both"/>
        <w:ind w:firstLine="1304"/>
        <w:spacing w:after="0" w:line="267" w:lineRule="auto"/>
        <w:tabs>
          <w:tab w:leader="none" w:pos="1567" w:val="left"/>
        </w:tabs>
        <w:numPr>
          <w:ilvl w:val="0"/>
          <w:numId w:val="11"/>
        </w:numPr>
        <w:rPr>
          <w:rFonts w:ascii="Arial" w:cs="Arial" w:eastAsia="Arial" w:hAnsi="Arial"/>
          <w:sz w:val="17"/>
          <w:szCs w:val="17"/>
          <w:b w:val="1"/>
          <w:bCs w:val="1"/>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The Company and the Subsidiaries own, possess, license or have other rights to use all foreign and domestic patents, patent applications, trade and service marks, trade and service mark registrations, trade names, copyrights, licenses, inventions, trade secrets, technology, Internet domain names, know-how and other intellectual property (collectively, the “</w:t>
      </w:r>
      <w:r>
        <w:rPr>
          <w:rFonts w:ascii="Arial" w:cs="Arial" w:eastAsia="Arial" w:hAnsi="Arial"/>
          <w:sz w:val="17"/>
          <w:szCs w:val="17"/>
          <w:b w:val="1"/>
          <w:bCs w:val="1"/>
          <w:color w:val="auto"/>
        </w:rPr>
        <w:t>Intellectual Property</w:t>
      </w:r>
      <w:r>
        <w:rPr>
          <w:rFonts w:ascii="Arial" w:cs="Arial" w:eastAsia="Arial" w:hAnsi="Arial"/>
          <w:sz w:val="17"/>
          <w:szCs w:val="17"/>
          <w:color w:val="auto"/>
        </w:rPr>
        <w:t>”) necessary for the conduct of their respective businesses as now conducted except to the extent that the failure to own, possess, license or otherwise hold adequate rights to use such Intellectual Property could not, individually or in the aggregate, have a Material Adverse Effect. (i) To the Company’s knowledge, there are no rights of third parties to any such Intellectual Property owned by the Company and the Subsidiaries; (ii) to the Company’s knowledge, there is no infringement by third parties of any such Intellectual Property; (iii) there is no pending or, to the Company’s knowledge, threatened action, suit, proceeding or claim by others challenging the Company’s and the Subsidiaries’ rights in or to any such Intellectual Property, and the Company is unaware of any facts which could form a reasonable basis for any such action, suit, proceeding or claim; (iv) there is no pending or, to the Company’s knowledge, threatened action, suit, proceeding or claim by others challenging the validity or scope of any such Intellectual Property; (v) there is no pending or, to the Company’s knowledge, threatened action, suit, proceeding or claim by others that the Company or the Subsidiaries infringe or otherwise violate any patent, trademark, copyright, trade secret or other proprietary rights of others; (vi) to the Company’s knowledge, there is no third-party U.S. patent or published U.S. patent application which contains claims for which an Interference Proceeding (as defined in 35 U.S.C. § 135) which has been commenced against any patent or patent application described in the Registration Statement, the Time of Sale Prospectus or the Prospectus as being owned by or licensed to the Company; and (vii) the Company and the Subsidiaries have complied with the terms of each agreement pursuant to which Intellectual Property has been licensed to the Company or such Subsidiary, and all such agreements are in full force and effect, except, in the case of any of clauses (i)-(vii) above, for any such infringement by third parties or any such pending or threatened suit, action, proceeding or claim as could not, individually or in the aggregate, have a Material Adverse Effect.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jc w:val="both"/>
        <w:ind w:firstLine="1304"/>
        <w:spacing w:after="0" w:line="257" w:lineRule="auto"/>
        <w:tabs>
          <w:tab w:leader="none" w:pos="1626" w:val="left"/>
        </w:tabs>
        <w:numPr>
          <w:ilvl w:val="0"/>
          <w:numId w:val="12"/>
        </w:numPr>
        <w:rPr>
          <w:rFonts w:ascii="Arial" w:cs="Arial" w:eastAsia="Arial" w:hAnsi="Arial"/>
          <w:sz w:val="18"/>
          <w:szCs w:val="18"/>
          <w:b w:val="1"/>
          <w:bCs w:val="1"/>
          <w:color w:val="auto"/>
        </w:rPr>
      </w:pPr>
      <w:r>
        <w:rPr>
          <w:rFonts w:ascii="Arial" w:cs="Arial" w:eastAsia="Arial" w:hAnsi="Arial"/>
          <w:sz w:val="18"/>
          <w:szCs w:val="18"/>
          <w:u w:val="single" w:color="auto"/>
          <w:color w:val="auto"/>
        </w:rPr>
        <w:t>No Material Defaults</w:t>
      </w:r>
      <w:r>
        <w:rPr>
          <w:rFonts w:ascii="Arial" w:cs="Arial" w:eastAsia="Arial" w:hAnsi="Arial"/>
          <w:sz w:val="18"/>
          <w:szCs w:val="18"/>
          <w:color w:val="auto"/>
        </w:rPr>
        <w:t>. Neither the Company nor any of the Subsidiaries has defaulted on any installment on indebtedness for borrowed money or on any rental on one or more long-term leases, and, except as disclosed in the Registration Statement, the Time of Sale Prospectus and the Prospectus, no event has occurred that, with notice or lapse of time or both, would constitute such a default, and neither the Company nor any of the Subsidiaries has failed to pay any dividend or sinking fund installment on preferred stock, which defaults or failures could, individually or in the aggregate, have a Material Adverse Effect.</w:t>
      </w:r>
    </w:p>
    <w:p>
      <w:pPr>
        <w:spacing w:after="0" w:line="187" w:lineRule="exact"/>
        <w:rPr>
          <w:rFonts w:ascii="Arial" w:cs="Arial" w:eastAsia="Arial" w:hAnsi="Arial"/>
          <w:sz w:val="18"/>
          <w:szCs w:val="18"/>
          <w:b w:val="1"/>
          <w:bCs w:val="1"/>
          <w:color w:val="auto"/>
        </w:rPr>
      </w:pPr>
    </w:p>
    <w:p>
      <w:pPr>
        <w:jc w:val="both"/>
        <w:ind w:firstLine="1304"/>
        <w:spacing w:after="0" w:line="259" w:lineRule="auto"/>
        <w:tabs>
          <w:tab w:leader="none" w:pos="1554" w:val="left"/>
        </w:tabs>
        <w:numPr>
          <w:ilvl w:val="0"/>
          <w:numId w:val="12"/>
        </w:numPr>
        <w:rPr>
          <w:rFonts w:ascii="Arial" w:cs="Arial" w:eastAsia="Arial" w:hAnsi="Arial"/>
          <w:sz w:val="18"/>
          <w:szCs w:val="18"/>
          <w:b w:val="1"/>
          <w:bCs w:val="1"/>
          <w:color w:val="auto"/>
        </w:rPr>
      </w:pPr>
      <w:r>
        <w:rPr>
          <w:rFonts w:ascii="Arial" w:cs="Arial" w:eastAsia="Arial" w:hAnsi="Arial"/>
          <w:sz w:val="18"/>
          <w:szCs w:val="18"/>
          <w:u w:val="single" w:color="auto"/>
          <w:color w:val="auto"/>
        </w:rPr>
        <w:t>Certain Market Activities</w:t>
      </w:r>
      <w:r>
        <w:rPr>
          <w:rFonts w:ascii="Arial" w:cs="Arial" w:eastAsia="Arial" w:hAnsi="Arial"/>
          <w:sz w:val="18"/>
          <w:szCs w:val="18"/>
          <w:color w:val="auto"/>
        </w:rPr>
        <w:t>. Neither the Company nor any of the Subsidiaries has taken, directly or indirectly, any action designed to or that might cause or result in stabilization or manipulation of the price of the Shares or of any “reference security” (as defined in Rule 100 of Regulation M under the Exchange Act (“</w:t>
      </w:r>
      <w:r>
        <w:rPr>
          <w:rFonts w:ascii="Arial" w:cs="Arial" w:eastAsia="Arial" w:hAnsi="Arial"/>
          <w:sz w:val="18"/>
          <w:szCs w:val="18"/>
          <w:b w:val="1"/>
          <w:bCs w:val="1"/>
          <w:color w:val="auto"/>
        </w:rPr>
        <w:t>Regulation M</w:t>
      </w:r>
      <w:r>
        <w:rPr>
          <w:rFonts w:ascii="Arial" w:cs="Arial" w:eastAsia="Arial" w:hAnsi="Arial"/>
          <w:sz w:val="18"/>
          <w:szCs w:val="18"/>
          <w:color w:val="auto"/>
        </w:rPr>
        <w:t>”)) with respect to the Shares, whether to facilitate the sale or resale of the Securities or otherwise, and has taken no action which would directly or indirectly violate Regulation M.</w:t>
      </w:r>
    </w:p>
    <w:p>
      <w:pPr>
        <w:spacing w:after="0" w:line="186" w:lineRule="exact"/>
        <w:rPr>
          <w:rFonts w:ascii="Arial" w:cs="Arial" w:eastAsia="Arial" w:hAnsi="Arial"/>
          <w:sz w:val="18"/>
          <w:szCs w:val="18"/>
          <w:b w:val="1"/>
          <w:bCs w:val="1"/>
          <w:color w:val="auto"/>
        </w:rPr>
      </w:pPr>
    </w:p>
    <w:p>
      <w:pPr>
        <w:jc w:val="both"/>
        <w:ind w:firstLine="1304"/>
        <w:spacing w:after="0" w:line="263" w:lineRule="auto"/>
        <w:tabs>
          <w:tab w:leader="none" w:pos="1561" w:val="left"/>
        </w:tabs>
        <w:numPr>
          <w:ilvl w:val="0"/>
          <w:numId w:val="12"/>
        </w:numPr>
        <w:rPr>
          <w:rFonts w:ascii="Arial" w:cs="Arial" w:eastAsia="Arial" w:hAnsi="Arial"/>
          <w:sz w:val="18"/>
          <w:szCs w:val="18"/>
          <w:b w:val="1"/>
          <w:bCs w:val="1"/>
          <w:color w:val="auto"/>
        </w:rPr>
      </w:pPr>
      <w:r>
        <w:rPr>
          <w:rFonts w:ascii="Arial" w:cs="Arial" w:eastAsia="Arial" w:hAnsi="Arial"/>
          <w:sz w:val="18"/>
          <w:szCs w:val="18"/>
          <w:u w:val="single" w:color="auto"/>
          <w:color w:val="auto"/>
        </w:rPr>
        <w:t>Broker/Dealer Relationships</w:t>
      </w:r>
      <w:r>
        <w:rPr>
          <w:rFonts w:ascii="Arial" w:cs="Arial" w:eastAsia="Arial" w:hAnsi="Arial"/>
          <w:sz w:val="18"/>
          <w:szCs w:val="18"/>
          <w:color w:val="auto"/>
        </w:rPr>
        <w:t>. Neither the Company nor any of the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83" w:lineRule="exact"/>
        <w:rPr>
          <w:rFonts w:ascii="Arial" w:cs="Arial" w:eastAsia="Arial" w:hAnsi="Arial"/>
          <w:sz w:val="18"/>
          <w:szCs w:val="18"/>
          <w:b w:val="1"/>
          <w:bCs w:val="1"/>
          <w:color w:val="auto"/>
        </w:rPr>
      </w:pPr>
    </w:p>
    <w:p>
      <w:pPr>
        <w:ind w:firstLine="1304"/>
        <w:spacing w:after="0" w:line="277" w:lineRule="auto"/>
        <w:tabs>
          <w:tab w:leader="none" w:pos="1542" w:val="left"/>
        </w:tabs>
        <w:numPr>
          <w:ilvl w:val="0"/>
          <w:numId w:val="12"/>
        </w:numPr>
        <w:rPr>
          <w:rFonts w:ascii="Arial" w:cs="Arial" w:eastAsia="Arial" w:hAnsi="Arial"/>
          <w:sz w:val="18"/>
          <w:szCs w:val="18"/>
          <w:b w:val="1"/>
          <w:bCs w:val="1"/>
          <w:color w:val="auto"/>
        </w:rPr>
      </w:pPr>
      <w:r>
        <w:rPr>
          <w:rFonts w:ascii="Arial" w:cs="Arial" w:eastAsia="Arial" w:hAnsi="Arial"/>
          <w:sz w:val="18"/>
          <w:szCs w:val="18"/>
          <w:u w:val="single" w:color="auto"/>
          <w:color w:val="auto"/>
        </w:rPr>
        <w:t>No Reliance</w:t>
      </w:r>
      <w:r>
        <w:rPr>
          <w:rFonts w:ascii="Arial" w:cs="Arial" w:eastAsia="Arial" w:hAnsi="Arial"/>
          <w:sz w:val="18"/>
          <w:szCs w:val="18"/>
          <w:color w:val="auto"/>
        </w:rPr>
        <w:t>. The Company has not relied upon the Underwriters or legal counsel for the Underwriters for any legal, tax or accounting advice in connection with the offering and sale of the Securities.</w:t>
      </w:r>
    </w:p>
    <w:p>
      <w:pPr>
        <w:spacing w:after="0" w:line="170" w:lineRule="exact"/>
        <w:rPr>
          <w:sz w:val="20"/>
          <w:szCs w:val="20"/>
          <w:color w:val="auto"/>
        </w:rPr>
      </w:pPr>
    </w:p>
    <w:p>
      <w:pPr>
        <w:jc w:val="both"/>
        <w:ind w:firstLine="1304"/>
        <w:spacing w:after="0" w:line="272" w:lineRule="auto"/>
        <w:tabs>
          <w:tab w:leader="none" w:pos="1639" w:val="left"/>
        </w:tabs>
        <w:numPr>
          <w:ilvl w:val="0"/>
          <w:numId w:val="13"/>
        </w:numPr>
        <w:rPr>
          <w:rFonts w:ascii="Arial" w:cs="Arial" w:eastAsia="Arial" w:hAnsi="Arial"/>
          <w:sz w:val="17"/>
          <w:szCs w:val="17"/>
          <w:b w:val="1"/>
          <w:bCs w:val="1"/>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The Company and each of the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so file or pay could not, individually or in the aggregate, have a Material Adverse Effect. Except as otherwise disclosed in or contemplated by the Registration Statement, the Time of Sale Prospectus and the Prospectus, no tax deficiency has been determined adversely to the Company or any of the Subsidiaries which has had, or could have, individually or in the aggregate, a Material Adverse Effect. The Company has no knowledge of any federal, state or other governmental tax deficiency, penalty or assessment which has been or might be asserted or threatened against it which could, individually or in the aggregate, have a Material Adverse Effect.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jc w:val="both"/>
        <w:ind w:firstLine="1304"/>
        <w:spacing w:after="0" w:line="286" w:lineRule="auto"/>
        <w:tabs>
          <w:tab w:leader="none" w:pos="1696" w:val="left"/>
        </w:tabs>
        <w:numPr>
          <w:ilvl w:val="0"/>
          <w:numId w:val="14"/>
        </w:numPr>
        <w:rPr>
          <w:rFonts w:ascii="Arial" w:cs="Arial" w:eastAsia="Arial" w:hAnsi="Arial"/>
          <w:sz w:val="16"/>
          <w:szCs w:val="16"/>
          <w:b w:val="1"/>
          <w:bCs w:val="1"/>
          <w:color w:val="auto"/>
        </w:rPr>
      </w:pPr>
      <w:r>
        <w:rPr>
          <w:rFonts w:ascii="Arial" w:cs="Arial" w:eastAsia="Arial" w:hAnsi="Arial"/>
          <w:sz w:val="16"/>
          <w:szCs w:val="16"/>
          <w:u w:val="single" w:color="auto"/>
          <w:color w:val="auto"/>
        </w:rPr>
        <w:t>Title to Real and Personal Property</w:t>
      </w:r>
      <w:r>
        <w:rPr>
          <w:rFonts w:ascii="Arial" w:cs="Arial" w:eastAsia="Arial" w:hAnsi="Arial"/>
          <w:sz w:val="16"/>
          <w:szCs w:val="16"/>
          <w:color w:val="auto"/>
        </w:rPr>
        <w:t>. Except as disclosed in the Registration Statement, the Time of Sale Prospectus and the Prospectus, the Company and the Subsidiaries do not own any real property, and have good and valid title to all personal property described in the Registration Statement, the Time of Sale Prospectus or the Prospectus as being owned by them that are material to the businesses of the Company or such Subsidiary, in each case free and clear of all liens, encumbrances and claims, except those matters that (i) do not materially interfere with the use made and proposed to be made of such property by the Company and any of the Subsidiaries or (ii) could not, individually or in the aggregate, have a Material Adverse Effect. Any real or personal property described in the Registration Statement, the Time of Sale Prospectus or the Prospectus as being leased by the Company or any of the Subsidiaries is held by them under valid, existing and enforceable leases, except those that (A) do not materially interfere with the use made or proposed to be made of such property by the Company or any of the Subsidiaries or (B) could not, individually or in the aggregate, have a Material Adverse Effect. Each of the properties of the Company and the Subsidiaries complies with all applicable Laws (including building and zoning Laws and Laws relating to access to such properties) except for such failures to comply that could not, individually or in the aggregate, have a Material Adverse Effect. None of the Company or the Subsidiaries has received from any Governmental Authorities any notice of any condemnation of, or zoning change affecting, the properties of the Company and the Subsidiaries, and the Company knows of no such condemnation or zoning change which is threatened, except for such that could not, individually or in the aggregate, have a Material Adverse Effect.</w:t>
      </w:r>
    </w:p>
    <w:p>
      <w:pPr>
        <w:spacing w:after="0" w:line="173" w:lineRule="exact"/>
        <w:rPr>
          <w:rFonts w:ascii="Arial" w:cs="Arial" w:eastAsia="Arial" w:hAnsi="Arial"/>
          <w:sz w:val="16"/>
          <w:szCs w:val="16"/>
          <w:b w:val="1"/>
          <w:bCs w:val="1"/>
          <w:color w:val="auto"/>
        </w:rPr>
      </w:pPr>
    </w:p>
    <w:p>
      <w:pPr>
        <w:jc w:val="both"/>
        <w:ind w:firstLine="1304"/>
        <w:spacing w:after="0" w:line="291" w:lineRule="auto"/>
        <w:tabs>
          <w:tab w:leader="none" w:pos="1634" w:val="left"/>
        </w:tabs>
        <w:numPr>
          <w:ilvl w:val="0"/>
          <w:numId w:val="14"/>
        </w:numPr>
        <w:rPr>
          <w:rFonts w:ascii="Arial" w:cs="Arial" w:eastAsia="Arial" w:hAnsi="Arial"/>
          <w:sz w:val="16"/>
          <w:szCs w:val="16"/>
          <w:b w:val="1"/>
          <w:bCs w:val="1"/>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The Company and the Subsidiaries (i) are in compliance with any and all applicable federal, state, local and foreign Laws relating to the protection of human health and safety, the environment or hazardous or toxic substances or wastes, pollutants or contaminants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(ii) have received and are in compliance with all permits, licenses or other approvals required of them under applicable Environmental Laws to conduct their respective businesses as described in the Registration Statement, the Time of Sale Prospectus or the Prospectus;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could not, individually or in the aggregate, have a Material Adverse Effect.</w:t>
      </w:r>
    </w:p>
    <w:p>
      <w:pPr>
        <w:spacing w:after="0" w:line="166" w:lineRule="exact"/>
        <w:rPr>
          <w:rFonts w:ascii="Arial" w:cs="Arial" w:eastAsia="Arial" w:hAnsi="Arial"/>
          <w:sz w:val="16"/>
          <w:szCs w:val="16"/>
          <w:b w:val="1"/>
          <w:bCs w:val="1"/>
          <w:color w:val="auto"/>
        </w:rPr>
      </w:pPr>
    </w:p>
    <w:p>
      <w:pPr>
        <w:jc w:val="both"/>
        <w:ind w:firstLine="1304"/>
        <w:spacing w:after="0" w:line="255" w:lineRule="auto"/>
        <w:tabs>
          <w:tab w:leader="none" w:pos="1676" w:val="left"/>
        </w:tabs>
        <w:numPr>
          <w:ilvl w:val="0"/>
          <w:numId w:val="14"/>
        </w:numPr>
        <w:rPr>
          <w:rFonts w:ascii="Arial" w:cs="Arial" w:eastAsia="Arial" w:hAnsi="Arial"/>
          <w:sz w:val="18"/>
          <w:szCs w:val="18"/>
          <w:b w:val="1"/>
          <w:bCs w:val="1"/>
          <w:color w:val="auto"/>
        </w:rPr>
      </w:pPr>
      <w:r>
        <w:rPr>
          <w:rFonts w:ascii="Arial" w:cs="Arial" w:eastAsia="Arial" w:hAnsi="Arial"/>
          <w:sz w:val="18"/>
          <w:szCs w:val="18"/>
          <w:u w:val="single" w:color="auto"/>
          <w:color w:val="auto"/>
        </w:rPr>
        <w:t>Periodic Review of Costs of Environmental Compliance</w:t>
      </w:r>
      <w:r>
        <w:rPr>
          <w:rFonts w:ascii="Arial" w:cs="Arial" w:eastAsia="Arial" w:hAnsi="Arial"/>
          <w:sz w:val="18"/>
          <w:szCs w:val="18"/>
          <w:color w:val="auto"/>
        </w:rPr>
        <w:t>. In the ordinary course of its business, the Company conducts a periodic review of the effect of Environmental Laws on the business, operations and properties of the Company and the Subsidiaries, in the course of which it identifies and evaluates associated costs and liabilities (including any capital or operating expenditures required for clean-up, closure of properties or compliance with Environmental Laws or any permit, license or approval, any related constraints on operating activities and any potential liabilities to third parties). No facts or circumstances have come to the Company’s attention that could result in costs or liabilities that could, individually or in the aggregate, have a Material Adverse Effect.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ind w:firstLine="1304"/>
        <w:spacing w:after="0" w:line="286" w:lineRule="auto"/>
        <w:tabs>
          <w:tab w:leader="none" w:pos="1662" w:val="left"/>
        </w:tabs>
        <w:numPr>
          <w:ilvl w:val="0"/>
          <w:numId w:val="15"/>
        </w:numPr>
        <w:rPr>
          <w:rFonts w:ascii="Arial" w:cs="Arial" w:eastAsia="Arial" w:hAnsi="Arial"/>
          <w:sz w:val="16"/>
          <w:szCs w:val="16"/>
          <w:b w:val="1"/>
          <w:bCs w:val="1"/>
          <w:color w:val="auto"/>
        </w:rPr>
      </w:pPr>
      <w:r>
        <w:rPr>
          <w:rFonts w:ascii="Arial" w:cs="Arial" w:eastAsia="Arial" w:hAnsi="Arial"/>
          <w:sz w:val="16"/>
          <w:szCs w:val="16"/>
          <w:u w:val="single" w:color="auto"/>
          <w:color w:val="auto"/>
        </w:rPr>
        <w:t>Disclosure Controls</w:t>
      </w:r>
      <w:r>
        <w:rPr>
          <w:rFonts w:ascii="Arial" w:cs="Arial" w:eastAsia="Arial" w:hAnsi="Arial"/>
          <w:sz w:val="16"/>
          <w:szCs w:val="16"/>
          <w:color w:val="auto"/>
        </w:rPr>
        <w:t>. Except as disclosed in the Registration Statement, the Time of Sale Prospectus and the Prospectus, the Company and each of the Subsidiaries maintain systems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Time of Sale Prospectus and the Prospectus, the Company’s internal control over financial reporting is effective, and the Company is not aware of any material weaknesses in its internal control over financial reporting. Except as disclosed in the Registration Statement, the Time of Sale Prospectus and the Prospectus, since the date of the latest audited financial statements of the Company included in the Time of Sale Prospectus, there has been no change in the Company’s internal control over financial reporting that has materially affected, or is reasonably likely to materially affect, the Company’s internal control over financial reporting. The Company has established disclosure controls and procedures (as defined in Exchange Act Rules 13a-15 and 15d-15) for the Company and designed such disclosure controls and procedures to ensure that material information relating to the Company and each of the Subsidiaries is made known to the certifying officers by others within those entities. Except as disclosed in the Registration Statement, the Time of Sale Prospectus and the Prospectus, to the Company’s knowledge, since the date of the latest audited financial statements of the Company included in the Time of Sale Prospectus, there have been no significant changes in factors that could significantly affect the Company’s internal controls.</w:t>
      </w:r>
    </w:p>
    <w:p>
      <w:pPr>
        <w:spacing w:after="0" w:line="167" w:lineRule="exact"/>
        <w:rPr>
          <w:rFonts w:ascii="Arial" w:cs="Arial" w:eastAsia="Arial" w:hAnsi="Arial"/>
          <w:sz w:val="16"/>
          <w:szCs w:val="16"/>
          <w:b w:val="1"/>
          <w:bCs w:val="1"/>
          <w:color w:val="auto"/>
        </w:rPr>
      </w:pPr>
    </w:p>
    <w:p>
      <w:pPr>
        <w:jc w:val="both"/>
        <w:ind w:firstLine="1304"/>
        <w:spacing w:after="0" w:line="263" w:lineRule="auto"/>
        <w:tabs>
          <w:tab w:leader="none" w:pos="1590" w:val="left"/>
        </w:tabs>
        <w:numPr>
          <w:ilvl w:val="0"/>
          <w:numId w:val="15"/>
        </w:numPr>
        <w:rPr>
          <w:rFonts w:ascii="Arial" w:cs="Arial" w:eastAsia="Arial" w:hAnsi="Arial"/>
          <w:sz w:val="18"/>
          <w:szCs w:val="18"/>
          <w:b w:val="1"/>
          <w:bCs w:val="1"/>
          <w:color w:val="auto"/>
        </w:rPr>
      </w:pPr>
      <w:r>
        <w:rPr>
          <w:rFonts w:ascii="Arial" w:cs="Arial" w:eastAsia="Arial" w:hAnsi="Arial"/>
          <w:sz w:val="18"/>
          <w:szCs w:val="18"/>
          <w:u w:val="single" w:color="auto"/>
          <w:color w:val="auto"/>
        </w:rPr>
        <w:t>Sarbanes-Oxley</w:t>
      </w:r>
      <w:r>
        <w:rPr>
          <w:rFonts w:ascii="Arial" w:cs="Arial" w:eastAsia="Arial" w:hAnsi="Arial"/>
          <w:sz w:val="18"/>
          <w:szCs w:val="18"/>
          <w:color w:val="auto"/>
        </w:rPr>
        <w:t>. There is and has been no failure on the part of the Company or any of the Company’s directors or officers, in their capacities as such, to comply in all material respects with any applicable provisions of the Sarbanes-Oxley Act and the rules and regulations promulgated thereunder.</w:t>
      </w:r>
    </w:p>
    <w:p>
      <w:pPr>
        <w:spacing w:after="0" w:line="183" w:lineRule="exact"/>
        <w:rPr>
          <w:rFonts w:ascii="Arial" w:cs="Arial" w:eastAsia="Arial" w:hAnsi="Arial"/>
          <w:sz w:val="18"/>
          <w:szCs w:val="18"/>
          <w:b w:val="1"/>
          <w:bCs w:val="1"/>
          <w:color w:val="auto"/>
        </w:rPr>
      </w:pPr>
    </w:p>
    <w:p>
      <w:pPr>
        <w:ind w:firstLine="1304"/>
        <w:spacing w:after="0" w:line="342" w:lineRule="auto"/>
        <w:tabs>
          <w:tab w:leader="none" w:pos="1645" w:val="left"/>
        </w:tabs>
        <w:numPr>
          <w:ilvl w:val="0"/>
          <w:numId w:val="15"/>
        </w:numPr>
        <w:rPr>
          <w:rFonts w:ascii="Arial" w:cs="Arial" w:eastAsia="Arial" w:hAnsi="Arial"/>
          <w:sz w:val="16"/>
          <w:szCs w:val="16"/>
          <w:b w:val="1"/>
          <w:bCs w:val="1"/>
          <w:color w:val="auto"/>
        </w:rPr>
      </w:pPr>
      <w:r>
        <w:rPr>
          <w:rFonts w:ascii="Arial" w:cs="Arial" w:eastAsia="Arial" w:hAnsi="Arial"/>
          <w:sz w:val="16"/>
          <w:szCs w:val="16"/>
          <w:u w:val="single" w:color="auto"/>
          <w:color w:val="auto"/>
        </w:rPr>
        <w:t>Brokers</w:t>
      </w:r>
      <w:r>
        <w:rPr>
          <w:rFonts w:ascii="Arial" w:cs="Arial" w:eastAsia="Arial" w:hAnsi="Arial"/>
          <w:sz w:val="16"/>
          <w:szCs w:val="16"/>
          <w:color w:val="auto"/>
        </w:rPr>
        <w:t>. Neither the Company nor any of the Subsidiaries has incurred any liability for any finder’s fees, brokerage commissions or similar payments in connection with the transactions herein contemplated, except as may otherwise exist with respect to or pursuant to this Agreement.</w:t>
      </w:r>
    </w:p>
    <w:p>
      <w:pPr>
        <w:spacing w:after="0" w:line="123" w:lineRule="exact"/>
        <w:rPr>
          <w:rFonts w:ascii="Arial" w:cs="Arial" w:eastAsia="Arial" w:hAnsi="Arial"/>
          <w:sz w:val="16"/>
          <w:szCs w:val="16"/>
          <w:b w:val="1"/>
          <w:bCs w:val="1"/>
          <w:color w:val="auto"/>
        </w:rPr>
      </w:pPr>
    </w:p>
    <w:p>
      <w:pPr>
        <w:ind w:firstLine="1304"/>
        <w:spacing w:after="0" w:line="277" w:lineRule="auto"/>
        <w:tabs>
          <w:tab w:leader="none" w:pos="1683" w:val="left"/>
        </w:tabs>
        <w:numPr>
          <w:ilvl w:val="0"/>
          <w:numId w:val="15"/>
        </w:numPr>
        <w:rPr>
          <w:rFonts w:ascii="Arial" w:cs="Arial" w:eastAsia="Arial" w:hAnsi="Arial"/>
          <w:sz w:val="18"/>
          <w:szCs w:val="18"/>
          <w:b w:val="1"/>
          <w:bCs w:val="1"/>
          <w:color w:val="auto"/>
        </w:rPr>
      </w:pPr>
      <w:r>
        <w:rPr>
          <w:rFonts w:ascii="Arial" w:cs="Arial" w:eastAsia="Arial" w:hAnsi="Arial"/>
          <w:sz w:val="18"/>
          <w:szCs w:val="18"/>
          <w:u w:val="single" w:color="auto"/>
          <w:color w:val="auto"/>
        </w:rPr>
        <w:t>Labor Disputes</w:t>
      </w:r>
      <w:r>
        <w:rPr>
          <w:rFonts w:ascii="Arial" w:cs="Arial" w:eastAsia="Arial" w:hAnsi="Arial"/>
          <w:sz w:val="18"/>
          <w:szCs w:val="18"/>
          <w:color w:val="auto"/>
        </w:rPr>
        <w:t>. No labor disturbance by or dispute with employees of the Company or any of the Subsidiaries exists or, to the knowledge of the Company, is threatened which could, individually or in the aggregate, have a Material Adverse Effect.</w:t>
      </w:r>
    </w:p>
    <w:p>
      <w:pPr>
        <w:spacing w:after="0" w:line="170" w:lineRule="exact"/>
        <w:rPr>
          <w:rFonts w:ascii="Arial" w:cs="Arial" w:eastAsia="Arial" w:hAnsi="Arial"/>
          <w:sz w:val="18"/>
          <w:szCs w:val="18"/>
          <w:b w:val="1"/>
          <w:bCs w:val="1"/>
          <w:color w:val="auto"/>
        </w:rPr>
      </w:pPr>
    </w:p>
    <w:p>
      <w:pPr>
        <w:jc w:val="both"/>
        <w:ind w:firstLine="1304"/>
        <w:spacing w:after="0" w:line="259" w:lineRule="auto"/>
        <w:tabs>
          <w:tab w:leader="none" w:pos="1583" w:val="left"/>
        </w:tabs>
        <w:numPr>
          <w:ilvl w:val="0"/>
          <w:numId w:val="15"/>
        </w:numPr>
        <w:rPr>
          <w:rFonts w:ascii="Arial" w:cs="Arial" w:eastAsia="Arial" w:hAnsi="Arial"/>
          <w:sz w:val="18"/>
          <w:szCs w:val="18"/>
          <w:b w:val="1"/>
          <w:bCs w:val="1"/>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xml:space="preserve">. Neither the Company nor any of the Subsidiaries is, or will be, either after receipt of payment for the Securities or after the application of the proceeds therefrom as described under “Use of Proceeds” in the Registration Statement, the Time of Sale Prospectus or the Prospectus, required to register as an “investment company” or an entity “controlled” by an “investment company,” as such terms are defined in the Investment Company Act of 1940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jc w:val="both"/>
        <w:ind w:firstLine="1304"/>
        <w:spacing w:after="0" w:line="273" w:lineRule="auto"/>
        <w:tabs>
          <w:tab w:leader="none" w:pos="1612" w:val="left"/>
        </w:tabs>
        <w:numPr>
          <w:ilvl w:val="0"/>
          <w:numId w:val="16"/>
        </w:numPr>
        <w:rPr>
          <w:rFonts w:ascii="Arial" w:cs="Arial" w:eastAsia="Arial" w:hAnsi="Arial"/>
          <w:sz w:val="17"/>
          <w:szCs w:val="17"/>
          <w:b w:val="1"/>
          <w:bCs w:val="1"/>
          <w:color w:val="auto"/>
        </w:rPr>
      </w:pPr>
      <w:r>
        <w:rPr>
          <w:rFonts w:ascii="Arial" w:cs="Arial" w:eastAsia="Arial" w:hAnsi="Arial"/>
          <w:sz w:val="17"/>
          <w:szCs w:val="17"/>
          <w:u w:val="single" w:color="auto"/>
          <w:color w:val="auto"/>
        </w:rPr>
        <w:t>Operations</w:t>
      </w:r>
      <w:r>
        <w:rPr>
          <w:rFonts w:ascii="Arial" w:cs="Arial" w:eastAsia="Arial" w:hAnsi="Arial"/>
          <w:sz w:val="17"/>
          <w:szCs w:val="17"/>
          <w:color w:val="auto"/>
        </w:rPr>
        <w:t>. The operations of the Company and the Subsidiaries are and have been conducted at all times in compliance with applicable financial record keeping and reporting requirements of the Currency and Foreign Transactions Reporting Act of 1970, the money laundering Laws of all jurisdictions to which the Company or the Subsidiaries are subject, the rules and regulations thereunder and any related or similar rules, regulations or guidelines, issued, administered or enforced by any Governmental Authority (collectively, the “</w:t>
      </w:r>
      <w:r>
        <w:rPr>
          <w:rFonts w:ascii="Arial" w:cs="Arial" w:eastAsia="Arial" w:hAnsi="Arial"/>
          <w:sz w:val="17"/>
          <w:szCs w:val="17"/>
          <w:b w:val="1"/>
          <w:bCs w:val="1"/>
          <w:color w:val="auto"/>
        </w:rPr>
        <w:t>Money Laundering Laws</w:t>
      </w:r>
      <w:r>
        <w:rPr>
          <w:rFonts w:ascii="Arial" w:cs="Arial" w:eastAsia="Arial" w:hAnsi="Arial"/>
          <w:sz w:val="17"/>
          <w:szCs w:val="17"/>
          <w:color w:val="auto"/>
        </w:rPr>
        <w:t>”); and no action, suit or proceeding by or before any Governmental Authority involving the Company or any of the Subsidiaries with respect to the Money Laundering Laws is pending or, to the knowledge of the Company, threatened.</w:t>
      </w:r>
    </w:p>
    <w:p>
      <w:pPr>
        <w:spacing w:after="0" w:line="177" w:lineRule="exact"/>
        <w:rPr>
          <w:rFonts w:ascii="Arial" w:cs="Arial" w:eastAsia="Arial" w:hAnsi="Arial"/>
          <w:sz w:val="17"/>
          <w:szCs w:val="17"/>
          <w:b w:val="1"/>
          <w:bCs w:val="1"/>
          <w:color w:val="auto"/>
        </w:rPr>
      </w:pPr>
    </w:p>
    <w:p>
      <w:pPr>
        <w:jc w:val="both"/>
        <w:ind w:firstLine="1304"/>
        <w:spacing w:after="0" w:line="273" w:lineRule="auto"/>
        <w:tabs>
          <w:tab w:leader="none" w:pos="1708" w:val="left"/>
        </w:tabs>
        <w:numPr>
          <w:ilvl w:val="0"/>
          <w:numId w:val="16"/>
        </w:numPr>
        <w:rPr>
          <w:rFonts w:ascii="Arial" w:cs="Arial" w:eastAsia="Arial" w:hAnsi="Arial"/>
          <w:sz w:val="17"/>
          <w:szCs w:val="17"/>
          <w:b w:val="1"/>
          <w:bCs w:val="1"/>
          <w:color w:val="auto"/>
        </w:rPr>
      </w:pPr>
      <w:r>
        <w:rPr>
          <w:rFonts w:ascii="Arial" w:cs="Arial" w:eastAsia="Arial" w:hAnsi="Arial"/>
          <w:sz w:val="17"/>
          <w:szCs w:val="17"/>
          <w:u w:val="single" w:color="auto"/>
          <w:color w:val="auto"/>
        </w:rPr>
        <w:t>Off-Balance Sheet Arrangements</w:t>
      </w:r>
      <w:r>
        <w:rPr>
          <w:rFonts w:ascii="Arial" w:cs="Arial" w:eastAsia="Arial" w:hAnsi="Arial"/>
          <w:sz w:val="17"/>
          <w:szCs w:val="17"/>
          <w:color w:val="auto"/>
        </w:rPr>
        <w:t>. There are no transactions, arrangements or other relationships between and/or among the Company, on the one hand, and/or any of its affiliates and any unconsolidated entity, on the other hand, including any structural finance, special purpose or limited purpose entity (each, an “</w:t>
      </w:r>
      <w:r>
        <w:rPr>
          <w:rFonts w:ascii="Arial" w:cs="Arial" w:eastAsia="Arial" w:hAnsi="Arial"/>
          <w:sz w:val="17"/>
          <w:szCs w:val="17"/>
          <w:b w:val="1"/>
          <w:bCs w:val="1"/>
          <w:color w:val="auto"/>
        </w:rPr>
        <w:t>Off-Balance Sheet Transaction</w:t>
      </w:r>
      <w:r>
        <w:rPr>
          <w:rFonts w:ascii="Arial" w:cs="Arial" w:eastAsia="Arial" w:hAnsi="Arial"/>
          <w:sz w:val="17"/>
          <w:szCs w:val="17"/>
          <w:color w:val="auto"/>
        </w:rPr>
        <w:t>”) that could reasonably be expected to affect materially the Company’s liquidity or the availability of or requirements for its capital resources, including those Off-Balance Sheet Transactions described in the Commission’s Statement about Management’s Discussion and Analysis of Financial Conditions and Results of Operations (Release Nos. 33-8056; 34-45321; FR-61), required to be described in the Prospectus which have not been described as required.</w:t>
      </w:r>
    </w:p>
    <w:p>
      <w:pPr>
        <w:spacing w:after="0" w:line="177" w:lineRule="exact"/>
        <w:rPr>
          <w:rFonts w:ascii="Arial" w:cs="Arial" w:eastAsia="Arial" w:hAnsi="Arial"/>
          <w:sz w:val="17"/>
          <w:szCs w:val="17"/>
          <w:b w:val="1"/>
          <w:bCs w:val="1"/>
          <w:color w:val="auto"/>
        </w:rPr>
      </w:pPr>
    </w:p>
    <w:p>
      <w:pPr>
        <w:jc w:val="both"/>
        <w:ind w:firstLine="1304"/>
        <w:spacing w:after="0" w:line="270" w:lineRule="auto"/>
        <w:tabs>
          <w:tab w:leader="none" w:pos="1562" w:val="left"/>
        </w:tabs>
        <w:numPr>
          <w:ilvl w:val="0"/>
          <w:numId w:val="16"/>
        </w:numPr>
        <w:rPr>
          <w:rFonts w:ascii="Arial" w:cs="Arial" w:eastAsia="Arial" w:hAnsi="Arial"/>
          <w:sz w:val="17"/>
          <w:szCs w:val="17"/>
          <w:b w:val="1"/>
          <w:bCs w:val="1"/>
          <w:color w:val="auto"/>
        </w:rPr>
      </w:pPr>
      <w:r>
        <w:rPr>
          <w:rFonts w:ascii="Arial" w:cs="Arial" w:eastAsia="Arial" w:hAnsi="Arial"/>
          <w:sz w:val="17"/>
          <w:szCs w:val="17"/>
          <w:u w:val="single" w:color="auto"/>
          <w:color w:val="auto"/>
        </w:rPr>
        <w:t>ERISA</w:t>
      </w:r>
      <w:r>
        <w:rPr>
          <w:rFonts w:ascii="Arial" w:cs="Arial" w:eastAsia="Arial" w:hAnsi="Arial"/>
          <w:sz w:val="17"/>
          <w:szCs w:val="17"/>
          <w:color w:val="auto"/>
        </w:rPr>
        <w:t>. Each material employee benefit plan, within the meaning of Section 3(3) of the Employee Retirement Income Security Act of 1974 (“</w:t>
      </w:r>
      <w:r>
        <w:rPr>
          <w:rFonts w:ascii="Arial" w:cs="Arial" w:eastAsia="Arial" w:hAnsi="Arial"/>
          <w:sz w:val="17"/>
          <w:szCs w:val="17"/>
          <w:b w:val="1"/>
          <w:bCs w:val="1"/>
          <w:color w:val="auto"/>
        </w:rPr>
        <w:t>ERISA</w:t>
      </w:r>
      <w:r>
        <w:rPr>
          <w:rFonts w:ascii="Arial" w:cs="Arial" w:eastAsia="Arial" w:hAnsi="Arial"/>
          <w:sz w:val="17"/>
          <w:szCs w:val="17"/>
          <w:color w:val="auto"/>
        </w:rPr>
        <w:t>”), that is maintained, administered or contributed to by the Company or any of its affiliates for employees or former employees of the Company and any of the Subsidiaries has been maintained in material compliance with its terms and the requirements of any applicable statutes, orders, rules and regulations, including ERISA and the Internal Revenue Code of 1986 (the “</w:t>
      </w:r>
      <w:r>
        <w:rPr>
          <w:rFonts w:ascii="Arial" w:cs="Arial" w:eastAsia="Arial" w:hAnsi="Arial"/>
          <w:sz w:val="17"/>
          <w:szCs w:val="17"/>
          <w:b w:val="1"/>
          <w:bCs w:val="1"/>
          <w:color w:val="auto"/>
        </w:rPr>
        <w:t>Code</w:t>
      </w:r>
      <w:r>
        <w:rPr>
          <w:rFonts w:ascii="Arial" w:cs="Arial" w:eastAsia="Arial" w:hAnsi="Arial"/>
          <w:sz w:val="17"/>
          <w:szCs w:val="17"/>
          <w:color w:val="auto"/>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spacing w:after="0" w:line="180" w:lineRule="exact"/>
        <w:rPr>
          <w:rFonts w:ascii="Arial" w:cs="Arial" w:eastAsia="Arial" w:hAnsi="Arial"/>
          <w:sz w:val="17"/>
          <w:szCs w:val="17"/>
          <w:b w:val="1"/>
          <w:bCs w:val="1"/>
          <w:color w:val="auto"/>
        </w:rPr>
      </w:pPr>
    </w:p>
    <w:p>
      <w:pPr>
        <w:jc w:val="both"/>
        <w:ind w:firstLine="1304"/>
        <w:spacing w:after="0" w:line="273" w:lineRule="auto"/>
        <w:tabs>
          <w:tab w:leader="none" w:pos="1763" w:val="left"/>
        </w:tabs>
        <w:numPr>
          <w:ilvl w:val="0"/>
          <w:numId w:val="16"/>
        </w:numPr>
        <w:rPr>
          <w:rFonts w:ascii="Arial" w:cs="Arial" w:eastAsia="Arial" w:hAnsi="Arial"/>
          <w:sz w:val="17"/>
          <w:szCs w:val="17"/>
          <w:b w:val="1"/>
          <w:bCs w:val="1"/>
          <w:color w:val="auto"/>
        </w:rPr>
      </w:pPr>
      <w:r>
        <w:rPr>
          <w:rFonts w:ascii="Arial" w:cs="Arial" w:eastAsia="Arial" w:hAnsi="Arial"/>
          <w:sz w:val="17"/>
          <w:szCs w:val="17"/>
          <w:u w:val="single" w:color="auto"/>
          <w:color w:val="auto"/>
        </w:rPr>
        <w:t>Forward-Looking Statements</w:t>
      </w:r>
      <w:r>
        <w:rPr>
          <w:rFonts w:ascii="Arial" w:cs="Arial" w:eastAsia="Arial" w:hAnsi="Arial"/>
          <w:sz w:val="17"/>
          <w:szCs w:val="17"/>
          <w:color w:val="auto"/>
        </w:rPr>
        <w:t>. Each financial or operational projection or other “forward-looking statement” (as defined by Section 27A of the 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is was false or misleading.</w:t>
      </w:r>
    </w:p>
    <w:p>
      <w:pPr>
        <w:spacing w:after="0" w:line="177" w:lineRule="exact"/>
        <w:rPr>
          <w:rFonts w:ascii="Arial" w:cs="Arial" w:eastAsia="Arial" w:hAnsi="Arial"/>
          <w:sz w:val="17"/>
          <w:szCs w:val="17"/>
          <w:b w:val="1"/>
          <w:bCs w:val="1"/>
          <w:color w:val="auto"/>
        </w:rPr>
      </w:pPr>
    </w:p>
    <w:p>
      <w:pPr>
        <w:jc w:val="both"/>
        <w:ind w:firstLine="1304"/>
        <w:spacing w:after="0" w:line="263" w:lineRule="auto"/>
        <w:tabs>
          <w:tab w:leader="none" w:pos="1670" w:val="left"/>
        </w:tabs>
        <w:numPr>
          <w:ilvl w:val="0"/>
          <w:numId w:val="16"/>
        </w:numPr>
        <w:rPr>
          <w:rFonts w:ascii="Arial" w:cs="Arial" w:eastAsia="Arial" w:hAnsi="Arial"/>
          <w:sz w:val="18"/>
          <w:szCs w:val="18"/>
          <w:b w:val="1"/>
          <w:bCs w:val="1"/>
          <w:color w:val="auto"/>
        </w:rPr>
      </w:pPr>
      <w:r>
        <w:rPr>
          <w:rFonts w:ascii="Arial" w:cs="Arial" w:eastAsia="Arial" w:hAnsi="Arial"/>
          <w:sz w:val="18"/>
          <w:szCs w:val="18"/>
          <w:u w:val="single" w:color="auto"/>
          <w:color w:val="auto"/>
        </w:rPr>
        <w:t>Margin Rules</w:t>
      </w:r>
      <w:r>
        <w:rPr>
          <w:rFonts w:ascii="Arial" w:cs="Arial" w:eastAsia="Arial" w:hAnsi="Arial"/>
          <w:sz w:val="18"/>
          <w:szCs w:val="18"/>
          <w:color w:val="auto"/>
        </w:rPr>
        <w:t>. Neither the issuance, sale and delivery of the Securities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83" w:lineRule="exact"/>
        <w:rPr>
          <w:rFonts w:ascii="Arial" w:cs="Arial" w:eastAsia="Arial" w:hAnsi="Arial"/>
          <w:sz w:val="18"/>
          <w:szCs w:val="18"/>
          <w:b w:val="1"/>
          <w:bCs w:val="1"/>
          <w:color w:val="auto"/>
        </w:rPr>
      </w:pPr>
    </w:p>
    <w:p>
      <w:pPr>
        <w:jc w:val="both"/>
        <w:ind w:firstLine="1304"/>
        <w:spacing w:after="0" w:line="286" w:lineRule="auto"/>
        <w:tabs>
          <w:tab w:leader="none" w:pos="1643" w:val="left"/>
        </w:tabs>
        <w:numPr>
          <w:ilvl w:val="0"/>
          <w:numId w:val="16"/>
        </w:numPr>
        <w:rPr>
          <w:rFonts w:ascii="Arial" w:cs="Arial" w:eastAsia="Arial" w:hAnsi="Arial"/>
          <w:sz w:val="17"/>
          <w:szCs w:val="17"/>
          <w:b w:val="1"/>
          <w:bCs w:val="1"/>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Company and each of the Subsidiaries carry, or are covered by, insurance in such amounts and covering such risks as the Company and each of the Subsidiaries reasonably believe are adequate for the conduct of their business and the maintenance of their properties and as is customary for companies engaged in similar businesses in similar industries.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jc w:val="both"/>
        <w:ind w:firstLine="1304"/>
        <w:spacing w:after="0" w:line="284" w:lineRule="auto"/>
        <w:tabs>
          <w:tab w:leader="none" w:pos="1667" w:val="left"/>
        </w:tabs>
        <w:numPr>
          <w:ilvl w:val="0"/>
          <w:numId w:val="17"/>
        </w:numPr>
        <w:rPr>
          <w:rFonts w:ascii="Arial" w:cs="Arial" w:eastAsia="Arial" w:hAnsi="Arial"/>
          <w:sz w:val="16"/>
          <w:szCs w:val="16"/>
          <w:b w:val="1"/>
          <w:bCs w:val="1"/>
          <w:color w:val="auto"/>
        </w:rPr>
      </w:pPr>
      <w:r>
        <w:rPr>
          <w:rFonts w:ascii="Arial" w:cs="Arial" w:eastAsia="Arial" w:hAnsi="Arial"/>
          <w:sz w:val="16"/>
          <w:szCs w:val="16"/>
          <w:u w:val="single" w:color="auto"/>
          <w:color w:val="auto"/>
        </w:rPr>
        <w:t>No Improper Practices</w:t>
      </w:r>
      <w:r>
        <w:rPr>
          <w:rFonts w:ascii="Arial" w:cs="Arial" w:eastAsia="Arial" w:hAnsi="Arial"/>
          <w:sz w:val="16"/>
          <w:szCs w:val="16"/>
          <w:color w:val="auto"/>
        </w:rPr>
        <w:t>. (i) Neither the Company nor any of the Subsidiaries, nor any director, officer, or employee of the Company or any Subsidiary nor, to the Company’s knowledge, any agent, affiliate or other person acting on behalf of the Company or any Subsidiary has, in the past five years, made any unlawful contributions to any candidate for any political office (or failed fully to disclose any contribution in violation of applicable Law) or made any contribution or other payment to any official of, or candidate for, any federal, state, municipal, or foreign office or other person charged with similar public or quasi-public duty in violation of any applicable Law or of the character required to be disclosed in the Prospectus; (ii) no relationship, direct or indirect, exists between or among the Company or any Subsidiary or any affiliate of any of them, on the one hand, and the directors, officers and stockholders of the Company or any Subsidiary, on the other hand, that is required by the Securities Act to be described in the Registration Statement, the Time of Sale Prospectus or the Prospectus that is not so described; (iii) no relationship, direct or indirect, exists between or among the Company or any Subsidiary or any affiliate of them, on the one hand, and the directors, officers, or stockholders of the Company or any Subsidiary, on the other hand, that is required by the rules of FINRA to be described in the Registration Statement, the Time of Sale Prospectus or the Prospectus that is not so described; (iv) there are no outstanding loans or advances or guarantees of indebtedness by the Company or any Subsidiary to or for the benefit of any of their respective officers or directors or any of the members of the families of any of them; and (v) the Company has not offered, or caused any placement agent to offer, Shares to any person with the intent to influence unlawfully (A) a customer or supplier of the Company or any Subsidiary to alter the customer’s or supplier’s level or type of business with the Company or any Subsidiary or (B) a trade journalist or publication to write or publish favorable information about the Company or any Subsidiary or any of their respective products or services; and (vi) neither the Company nor any Subsidiary nor any director, officer or employee of the Company or any Subsidiary nor, to the Company’s knowledge, any agent, affiliate or other person acting on behalf of the Company or any Subsidiary has (A) violated or is in violation of any applicable provision of the U.S. Foreign Corrupt Practices Act of 1977, or any other applicable anti-bribery or anti-corruption Law (collectively, “</w:t>
      </w:r>
      <w:r>
        <w:rPr>
          <w:rFonts w:ascii="Arial" w:cs="Arial" w:eastAsia="Arial" w:hAnsi="Arial"/>
          <w:sz w:val="16"/>
          <w:szCs w:val="16"/>
          <w:b w:val="1"/>
          <w:bCs w:val="1"/>
          <w:color w:val="auto"/>
        </w:rPr>
        <w:t>Anti-Corruption Laws</w:t>
      </w:r>
      <w:r>
        <w:rPr>
          <w:rFonts w:ascii="Arial" w:cs="Arial" w:eastAsia="Arial" w:hAnsi="Arial"/>
          <w:sz w:val="16"/>
          <w:szCs w:val="16"/>
          <w:color w:val="auto"/>
        </w:rPr>
        <w:t>”), (B) promised, offered, provided, attempted to provide or authorized the provision of anything of value, directly or indirectly, to any person for the purpose of obtaining or retaining business, influencing any act or decision of the recipient or securing any improper advantage, or (C) made any payment of funds of the Company or any Subsidiary or received or retained any funds in violation of any Anti-Corruption Laws.</w:t>
      </w:r>
    </w:p>
    <w:p>
      <w:pPr>
        <w:spacing w:after="0" w:line="397" w:lineRule="exact"/>
        <w:rPr>
          <w:rFonts w:ascii="Arial" w:cs="Arial" w:eastAsia="Arial" w:hAnsi="Arial"/>
          <w:sz w:val="16"/>
          <w:szCs w:val="16"/>
          <w:b w:val="1"/>
          <w:bCs w:val="1"/>
          <w:color w:val="auto"/>
        </w:rPr>
      </w:pPr>
    </w:p>
    <w:p>
      <w:pPr>
        <w:jc w:val="both"/>
        <w:ind w:firstLine="1304"/>
        <w:spacing w:after="0" w:line="288" w:lineRule="auto"/>
        <w:tabs>
          <w:tab w:leader="none" w:pos="1685" w:val="left"/>
        </w:tabs>
        <w:numPr>
          <w:ilvl w:val="0"/>
          <w:numId w:val="17"/>
        </w:numPr>
        <w:rPr>
          <w:rFonts w:ascii="Arial" w:cs="Arial" w:eastAsia="Arial" w:hAnsi="Arial"/>
          <w:sz w:val="16"/>
          <w:szCs w:val="16"/>
          <w:b w:val="1"/>
          <w:bCs w:val="1"/>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Neither the execution of this Agreement or any of the Offered Warrants, nor the issuance, offering or sale of the Securities or Warrant Shares, as contemplated by the Registration Statement, the Time of Sale Prospectus or the Prospectus, nor the consummation of any of the transactions contemplated herein and therein,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could not, individually or in the aggregate, have a Material Adverse Effect; nor will such action result in (x) any violation of the provisions of the organizational or governing documents of the Company, or (y) any material violation of the provisions of any statute or any order, rule or regulation applicable to the Company or of any Governmental Authority having jurisdiction over the Company, except such violations that could not, individually or in the aggregate, have a Material Adverse Effect.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ind w:left="1620" w:hanging="316"/>
        <w:spacing w:after="0"/>
        <w:tabs>
          <w:tab w:leader="none" w:pos="1620" w:val="left"/>
        </w:tabs>
        <w:numPr>
          <w:ilvl w:val="1"/>
          <w:numId w:val="18"/>
        </w:numPr>
        <w:rPr>
          <w:rFonts w:ascii="Arial" w:cs="Arial" w:eastAsia="Arial" w:hAnsi="Arial"/>
          <w:sz w:val="18"/>
          <w:szCs w:val="18"/>
          <w:b w:val="1"/>
          <w:bCs w:val="1"/>
          <w:color w:val="auto"/>
        </w:rPr>
      </w:pPr>
      <w:r>
        <w:rPr>
          <w:rFonts w:ascii="Arial" w:cs="Arial" w:eastAsia="Arial" w:hAnsi="Arial"/>
          <w:sz w:val="18"/>
          <w:szCs w:val="18"/>
          <w:u w:val="single" w:color="auto"/>
          <w:color w:val="auto"/>
        </w:rPr>
        <w:t>Sanctions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1952"/>
        <w:spacing w:after="0" w:line="263" w:lineRule="auto"/>
        <w:tabs>
          <w:tab w:leader="none" w:pos="2174" w:val="left"/>
        </w:tabs>
        <w:numPr>
          <w:ilvl w:val="2"/>
          <w:numId w:val="18"/>
        </w:numPr>
        <w:rPr>
          <w:rFonts w:ascii="Arial" w:cs="Arial" w:eastAsia="Arial" w:hAnsi="Arial"/>
          <w:sz w:val="18"/>
          <w:szCs w:val="18"/>
          <w:color w:val="auto"/>
        </w:rPr>
      </w:pPr>
      <w:r>
        <w:rPr>
          <w:rFonts w:ascii="Arial" w:cs="Arial" w:eastAsia="Arial" w:hAnsi="Arial"/>
          <w:sz w:val="18"/>
          <w:szCs w:val="18"/>
          <w:color w:val="auto"/>
        </w:rPr>
        <w:t>The Company represents that neither the Company nor any of the Subsidiaries, nor any director, officer, employee, agent, affiliate or representative of the Company or any of the Subsidiaries, is a government, individual, or entity (in this paragraph (ss),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a Person that is:</w:t>
      </w:r>
    </w:p>
    <w:p>
      <w:pPr>
        <w:spacing w:after="0" w:line="183" w:lineRule="exact"/>
        <w:rPr>
          <w:rFonts w:ascii="Arial" w:cs="Arial" w:eastAsia="Arial" w:hAnsi="Arial"/>
          <w:sz w:val="18"/>
          <w:szCs w:val="18"/>
          <w:color w:val="auto"/>
        </w:rPr>
      </w:pPr>
    </w:p>
    <w:p>
      <w:pPr>
        <w:jc w:val="both"/>
        <w:ind w:left="660" w:firstLine="1940"/>
        <w:spacing w:after="0" w:line="259" w:lineRule="auto"/>
        <w:tabs>
          <w:tab w:leader="none" w:pos="2927" w:val="left"/>
        </w:tabs>
        <w:numPr>
          <w:ilvl w:val="3"/>
          <w:numId w:val="18"/>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the United Nations Security Council, the European Union, His Majesty’s Treasury or other relevant sanctions authorities, including designation on OFAC’s Specially Designated Nationals and Blocked Persons List or OFAC’s Foreign Sanctions Evaders List (as amended, collectively, “</w:t>
      </w:r>
      <w:r>
        <w:rPr>
          <w:rFonts w:ascii="Arial" w:cs="Arial" w:eastAsia="Arial" w:hAnsi="Arial"/>
          <w:sz w:val="18"/>
          <w:szCs w:val="18"/>
          <w:b w:val="1"/>
          <w:bCs w:val="1"/>
          <w:color w:val="auto"/>
        </w:rPr>
        <w:t>Sanctions</w:t>
      </w:r>
      <w:r>
        <w:rPr>
          <w:rFonts w:ascii="Arial" w:cs="Arial" w:eastAsia="Arial" w:hAnsi="Arial"/>
          <w:sz w:val="18"/>
          <w:szCs w:val="18"/>
          <w:color w:val="auto"/>
        </w:rPr>
        <w:t>”), nor</w:t>
      </w:r>
    </w:p>
    <w:p>
      <w:pPr>
        <w:spacing w:after="0" w:line="186" w:lineRule="exact"/>
        <w:rPr>
          <w:rFonts w:ascii="Arial" w:cs="Arial" w:eastAsia="Arial" w:hAnsi="Arial"/>
          <w:sz w:val="18"/>
          <w:szCs w:val="18"/>
          <w:color w:val="auto"/>
        </w:rPr>
      </w:pPr>
    </w:p>
    <w:p>
      <w:pPr>
        <w:jc w:val="both"/>
        <w:ind w:left="660" w:firstLine="1940"/>
        <w:spacing w:after="0" w:line="263" w:lineRule="auto"/>
        <w:tabs>
          <w:tab w:leader="none" w:pos="2894" w:val="left"/>
        </w:tabs>
        <w:numPr>
          <w:ilvl w:val="3"/>
          <w:numId w:val="18"/>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that broadly prohibit dealings with that country or territory (including Cuba, Iran, North Korea, Sudan, Syria and the Crimea Region of the Ukraine) (the “Sanctioned Countries”).</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219" w:val="left"/>
        </w:tabs>
        <w:numPr>
          <w:ilvl w:val="2"/>
          <w:numId w:val="18"/>
        </w:numPr>
        <w:rPr>
          <w:rFonts w:ascii="Arial" w:cs="Arial" w:eastAsia="Arial" w:hAnsi="Arial"/>
          <w:sz w:val="18"/>
          <w:szCs w:val="18"/>
          <w:color w:val="auto"/>
        </w:rPr>
      </w:pPr>
      <w:r>
        <w:rPr>
          <w:rFonts w:ascii="Arial" w:cs="Arial" w:eastAsia="Arial" w:hAnsi="Arial"/>
          <w:sz w:val="18"/>
          <w:szCs w:val="18"/>
          <w:color w:val="auto"/>
        </w:rPr>
        <w:t>The Company represents that, for the past five years, it has not engaged in, and it is not now engaging in, any dealings or transactions with any Person, or in any country or territory, that at the time of the dealing or transaction is or was the subject of Sanctions or is or was a Sanctioned Country.</w:t>
      </w:r>
    </w:p>
    <w:p>
      <w:pPr>
        <w:spacing w:after="0" w:line="183" w:lineRule="exact"/>
        <w:rPr>
          <w:rFonts w:ascii="Arial" w:cs="Arial" w:eastAsia="Arial" w:hAnsi="Arial"/>
          <w:sz w:val="18"/>
          <w:szCs w:val="18"/>
          <w:color w:val="auto"/>
        </w:rPr>
      </w:pPr>
    </w:p>
    <w:p>
      <w:pPr>
        <w:jc w:val="both"/>
        <w:ind w:firstLine="1304"/>
        <w:spacing w:after="0" w:line="284" w:lineRule="auto"/>
        <w:tabs>
          <w:tab w:leader="none" w:pos="1614" w:val="left"/>
        </w:tabs>
        <w:numPr>
          <w:ilvl w:val="1"/>
          <w:numId w:val="18"/>
        </w:numPr>
        <w:rPr>
          <w:rFonts w:ascii="Arial" w:cs="Arial" w:eastAsia="Arial" w:hAnsi="Arial"/>
          <w:sz w:val="16"/>
          <w:szCs w:val="16"/>
          <w:b w:val="1"/>
          <w:bCs w:val="1"/>
          <w:color w:val="auto"/>
        </w:rPr>
      </w:pPr>
      <w:r>
        <w:rPr>
          <w:rFonts w:ascii="Arial" w:cs="Arial" w:eastAsia="Arial" w:hAnsi="Arial"/>
          <w:sz w:val="16"/>
          <w:szCs w:val="16"/>
          <w:u w:val="single" w:color="auto"/>
          <w:color w:val="auto"/>
        </w:rPr>
        <w:t>Compliance with Laws</w:t>
      </w:r>
      <w:r>
        <w:rPr>
          <w:rFonts w:ascii="Arial" w:cs="Arial" w:eastAsia="Arial" w:hAnsi="Arial"/>
          <w:sz w:val="16"/>
          <w:szCs w:val="16"/>
          <w:color w:val="auto"/>
        </w:rPr>
        <w:t>. Each of the Company and the Subsidiaries: (i) is and at all times has been in compliance with all statutes, rules or regulations applicable to the ownership, testing, development, manufacture, packaging, processing, use, distribution, marketing, labeling, promotion, sale, offer for sale, storage, import, export or disposal of any product manufactured or distributed by the Company or the Subsidiaries, other than Environmental Laws (“</w:t>
      </w:r>
      <w:r>
        <w:rPr>
          <w:rFonts w:ascii="Arial" w:cs="Arial" w:eastAsia="Arial" w:hAnsi="Arial"/>
          <w:sz w:val="16"/>
          <w:szCs w:val="16"/>
          <w:b w:val="1"/>
          <w:bCs w:val="1"/>
          <w:color w:val="auto"/>
        </w:rPr>
        <w:t>Applicable Laws</w:t>
      </w:r>
      <w:r>
        <w:rPr>
          <w:rFonts w:ascii="Arial" w:cs="Arial" w:eastAsia="Arial" w:hAnsi="Arial"/>
          <w:sz w:val="16"/>
          <w:szCs w:val="16"/>
          <w:color w:val="auto"/>
        </w:rPr>
        <w:t>”), except as could not, individually or in the aggregate, have a Material Adverse Effect; (ii) has not received any notice of adverse finding, warning letter, untitled letter or other correspondence or notice from any Governmental Authority alleging or asserting noncompliance with any Applicable Laws or any licenses, certificates, approvals, clearances, authorizations, permits and supplements or amendments thereto required by any such Applicable Laws, except as could not, individually or in the aggregate, have a Material Adverse Effect; (“</w:t>
      </w:r>
      <w:r>
        <w:rPr>
          <w:rFonts w:ascii="Arial" w:cs="Arial" w:eastAsia="Arial" w:hAnsi="Arial"/>
          <w:sz w:val="16"/>
          <w:szCs w:val="16"/>
          <w:b w:val="1"/>
          <w:bCs w:val="1"/>
          <w:color w:val="auto"/>
        </w:rPr>
        <w:t>Authorizations</w:t>
      </w:r>
      <w:r>
        <w:rPr>
          <w:rFonts w:ascii="Arial" w:cs="Arial" w:eastAsia="Arial" w:hAnsi="Arial"/>
          <w:sz w:val="16"/>
          <w:szCs w:val="16"/>
          <w:color w:val="auto"/>
        </w:rPr>
        <w:t>”);</w:t>
      </w:r>
    </w:p>
    <w:p>
      <w:pPr>
        <w:spacing w:after="0" w:line="2" w:lineRule="exact"/>
        <w:rPr>
          <w:rFonts w:ascii="Arial" w:cs="Arial" w:eastAsia="Arial" w:hAnsi="Arial"/>
          <w:sz w:val="16"/>
          <w:szCs w:val="16"/>
          <w:b w:val="1"/>
          <w:bCs w:val="1"/>
          <w:color w:val="auto"/>
        </w:rPr>
      </w:pPr>
    </w:p>
    <w:p>
      <w:pPr>
        <w:jc w:val="both"/>
        <w:ind w:firstLine="8"/>
        <w:spacing w:after="0" w:line="285" w:lineRule="auto"/>
        <w:tabs>
          <w:tab w:leader="none" w:pos="318" w:val="left"/>
        </w:tabs>
        <w:numPr>
          <w:ilvl w:val="0"/>
          <w:numId w:val="19"/>
        </w:numPr>
        <w:rPr>
          <w:rFonts w:ascii="Arial" w:cs="Arial" w:eastAsia="Arial" w:hAnsi="Arial"/>
          <w:sz w:val="16"/>
          <w:szCs w:val="16"/>
          <w:color w:val="auto"/>
        </w:rPr>
      </w:pPr>
      <w:r>
        <w:rPr>
          <w:rFonts w:ascii="Arial" w:cs="Arial" w:eastAsia="Arial" w:hAnsi="Arial"/>
          <w:sz w:val="16"/>
          <w:szCs w:val="16"/>
          <w:color w:val="auto"/>
        </w:rPr>
        <w:t>possesses all material Authorizations, and such Authorizations are valid and in full force and effect and are not in material violation of any term of any such Authorizations; (iv) has not received notice of any claim, action, suit, proceeding, hearing, enforcement, investigation, arbitration or other action from any Governmental Authority or third party alleging that any product operation or activity is in violation of any Applicable Laws or Authorizations and has no knowledge that any such Governmental Authority or third party is considering any such claim, litigation, arbitration, action, suit, investigation or proceeding; (v) has not received notice that any Governmental Authority has taken, is taking or intends to take action to limit, suspend, modify or revoke any Authorizations and has no knowledge that any such Governmental Authority is considering such action; (vi)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on the date filed (or were corrected or supplemented by a subsequent submission), except as could not, individually or in the aggregate, have a Material Adverse Effect; and (vii) has not, either voluntarily or involuntarily, initiated, conducted or issued, or caused to be initiated, conducted or issued, any recall, market withdrawal or replacement, safety alert, post-sale warning, “dear healthcare provider” letter, or other notice or action relating to the alleged lack of safety or efficacy of any product or any alleged product defect or violation and, to the Company’s knowledge, no third party has initiated, conducted or intends to initiate any such notice or action.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both"/>
        <w:ind w:firstLine="1304"/>
        <w:spacing w:after="0" w:line="263" w:lineRule="auto"/>
        <w:tabs>
          <w:tab w:leader="none" w:pos="1591" w:val="left"/>
        </w:tabs>
        <w:numPr>
          <w:ilvl w:val="0"/>
          <w:numId w:val="20"/>
        </w:numPr>
        <w:rPr>
          <w:rFonts w:ascii="Arial" w:cs="Arial" w:eastAsia="Arial" w:hAnsi="Arial"/>
          <w:sz w:val="18"/>
          <w:szCs w:val="18"/>
          <w:b w:val="1"/>
          <w:bCs w:val="1"/>
          <w:color w:val="auto"/>
        </w:rPr>
      </w:pPr>
      <w:r>
        <w:rPr>
          <w:rFonts w:ascii="Arial" w:cs="Arial" w:eastAsia="Arial" w:hAnsi="Arial"/>
          <w:sz w:val="18"/>
          <w:szCs w:val="18"/>
          <w:u w:val="single" w:color="auto"/>
          <w:color w:val="auto"/>
        </w:rPr>
        <w:t>Statistical and Market-Related Data</w:t>
      </w:r>
      <w:r>
        <w:rPr>
          <w:rFonts w:ascii="Arial" w:cs="Arial" w:eastAsia="Arial" w:hAnsi="Arial"/>
          <w:sz w:val="18"/>
          <w:szCs w:val="18"/>
          <w:color w:val="auto"/>
        </w:rPr>
        <w:t>. All statistical, demographic and market-related data included in the Registration Statement, the Time of Sale Prospectus or the Prospectus are based on or derived from sources that the Company believes to be reliable and accurate or represent the Company’s good faith estimates that are made on the basis of data derived from such sources.</w:t>
      </w:r>
    </w:p>
    <w:p>
      <w:pPr>
        <w:spacing w:after="0" w:line="183" w:lineRule="exact"/>
        <w:rPr>
          <w:rFonts w:ascii="Arial" w:cs="Arial" w:eastAsia="Arial" w:hAnsi="Arial"/>
          <w:sz w:val="18"/>
          <w:szCs w:val="18"/>
          <w:b w:val="1"/>
          <w:bCs w:val="1"/>
          <w:color w:val="auto"/>
        </w:rPr>
      </w:pPr>
    </w:p>
    <w:p>
      <w:pPr>
        <w:jc w:val="both"/>
        <w:ind w:firstLine="1304"/>
        <w:spacing w:after="0" w:line="263" w:lineRule="auto"/>
        <w:tabs>
          <w:tab w:leader="none" w:pos="1675" w:val="left"/>
        </w:tabs>
        <w:numPr>
          <w:ilvl w:val="0"/>
          <w:numId w:val="20"/>
        </w:numPr>
        <w:rPr>
          <w:rFonts w:ascii="Arial" w:cs="Arial" w:eastAsia="Arial" w:hAnsi="Arial"/>
          <w:sz w:val="18"/>
          <w:szCs w:val="18"/>
          <w:b w:val="1"/>
          <w:bCs w:val="1"/>
          <w:color w:val="auto"/>
        </w:rPr>
      </w:pPr>
      <w:r>
        <w:rPr>
          <w:rFonts w:ascii="Arial" w:cs="Arial" w:eastAsia="Arial" w:hAnsi="Arial"/>
          <w:sz w:val="18"/>
          <w:szCs w:val="18"/>
          <w:u w:val="single" w:color="auto"/>
          <w:color w:val="auto"/>
        </w:rPr>
        <w:t>Related-Party Transactions</w:t>
      </w:r>
      <w:r>
        <w:rPr>
          <w:rFonts w:ascii="Arial" w:cs="Arial" w:eastAsia="Arial" w:hAnsi="Arial"/>
          <w:sz w:val="18"/>
          <w:szCs w:val="18"/>
          <w:color w:val="auto"/>
        </w:rPr>
        <w:t>. There are no business relationships or related-party transactions involving the Company or any of the Subsidiaries or any other person required to be described in the Registration Statement, the Time of Sale Prospectus or the Prospectus that have not been described as required.</w:t>
      </w:r>
    </w:p>
    <w:p>
      <w:pPr>
        <w:spacing w:after="0" w:line="183" w:lineRule="exact"/>
        <w:rPr>
          <w:rFonts w:ascii="Arial" w:cs="Arial" w:eastAsia="Arial" w:hAnsi="Arial"/>
          <w:sz w:val="18"/>
          <w:szCs w:val="18"/>
          <w:b w:val="1"/>
          <w:bCs w:val="1"/>
          <w:color w:val="auto"/>
        </w:rPr>
      </w:pPr>
    </w:p>
    <w:p>
      <w:pPr>
        <w:jc w:val="both"/>
        <w:ind w:firstLine="1304"/>
        <w:spacing w:after="0" w:line="259" w:lineRule="auto"/>
        <w:tabs>
          <w:tab w:leader="none" w:pos="1644" w:val="left"/>
        </w:tabs>
        <w:numPr>
          <w:ilvl w:val="0"/>
          <w:numId w:val="20"/>
        </w:numPr>
        <w:rPr>
          <w:rFonts w:ascii="Arial" w:cs="Arial" w:eastAsia="Arial" w:hAnsi="Arial"/>
          <w:sz w:val="18"/>
          <w:szCs w:val="18"/>
          <w:b w:val="1"/>
          <w:bCs w:val="1"/>
          <w:color w:val="auto"/>
        </w:rPr>
      </w:pPr>
      <w:r>
        <w:rPr>
          <w:rFonts w:ascii="Arial" w:cs="Arial" w:eastAsia="Arial" w:hAnsi="Arial"/>
          <w:sz w:val="18"/>
          <w:szCs w:val="18"/>
          <w:u w:val="single" w:color="auto"/>
          <w:color w:val="auto"/>
        </w:rPr>
        <w:t>FINRA Matters</w:t>
      </w:r>
      <w:r>
        <w:rPr>
          <w:rFonts w:ascii="Arial" w:cs="Arial" w:eastAsia="Arial" w:hAnsi="Arial"/>
          <w:sz w:val="18"/>
          <w:szCs w:val="18"/>
          <w:color w:val="auto"/>
        </w:rPr>
        <w:t>. All of the information provided to the Underwriters or to counsel for the Underwriters by the Company, its counsel, its officers and directors and the holders of any securities (debt or equity) or options to acquire any securities of the Company in connection with the offering of the Securities is true, complete, correct and compliant with FINRA’s rules and any letters, filings or other supplemental information provided to FINRA pursuant to FINRA Rules is true, complete and correct.</w:t>
      </w:r>
    </w:p>
    <w:p>
      <w:pPr>
        <w:spacing w:after="0" w:line="186" w:lineRule="exact"/>
        <w:rPr>
          <w:rFonts w:ascii="Arial" w:cs="Arial" w:eastAsia="Arial" w:hAnsi="Arial"/>
          <w:sz w:val="18"/>
          <w:szCs w:val="18"/>
          <w:b w:val="1"/>
          <w:bCs w:val="1"/>
          <w:color w:val="auto"/>
        </w:rPr>
      </w:pPr>
    </w:p>
    <w:p>
      <w:pPr>
        <w:ind w:firstLine="1304"/>
        <w:spacing w:after="0" w:line="277" w:lineRule="auto"/>
        <w:tabs>
          <w:tab w:leader="none" w:pos="1729" w:val="left"/>
        </w:tabs>
        <w:numPr>
          <w:ilvl w:val="0"/>
          <w:numId w:val="20"/>
        </w:numPr>
        <w:rPr>
          <w:rFonts w:ascii="Arial" w:cs="Arial" w:eastAsia="Arial" w:hAnsi="Arial"/>
          <w:sz w:val="18"/>
          <w:szCs w:val="18"/>
          <w:b w:val="1"/>
          <w:bCs w:val="1"/>
          <w:color w:val="auto"/>
        </w:rPr>
      </w:pPr>
      <w:r>
        <w:rPr>
          <w:rFonts w:ascii="Arial" w:cs="Arial" w:eastAsia="Arial" w:hAnsi="Arial"/>
          <w:sz w:val="18"/>
          <w:szCs w:val="18"/>
          <w:u w:val="single" w:color="auto"/>
          <w:color w:val="auto"/>
        </w:rPr>
        <w:t>Parties to Lock-Up Agreements</w:t>
      </w:r>
      <w:r>
        <w:rPr>
          <w:rFonts w:ascii="Arial" w:cs="Arial" w:eastAsia="Arial" w:hAnsi="Arial"/>
          <w:sz w:val="18"/>
          <w:szCs w:val="18"/>
          <w:color w:val="auto"/>
        </w:rPr>
        <w:t xml:space="preserve">. The Company has furnished to the Underwriters a letter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Lock-up Agreement</w:t>
      </w:r>
      <w:r>
        <w:rPr>
          <w:rFonts w:ascii="Arial" w:cs="Arial" w:eastAsia="Arial" w:hAnsi="Arial"/>
          <w:sz w:val="18"/>
          <w:szCs w:val="18"/>
          <w:color w:val="auto"/>
        </w:rPr>
        <w:t xml:space="preserve">”) from the officers and directors of the listed on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jc w:val="both"/>
        <w:ind w:firstLine="1304"/>
        <w:spacing w:after="0" w:line="301" w:lineRule="auto"/>
        <w:tabs>
          <w:tab w:leader="none" w:pos="1665" w:val="left"/>
        </w:tabs>
        <w:numPr>
          <w:ilvl w:val="1"/>
          <w:numId w:val="21"/>
        </w:numPr>
        <w:rPr>
          <w:rFonts w:ascii="Arial" w:cs="Arial" w:eastAsia="Arial" w:hAnsi="Arial"/>
          <w:sz w:val="16"/>
          <w:szCs w:val="16"/>
          <w:b w:val="1"/>
          <w:bCs w:val="1"/>
          <w:color w:val="auto"/>
        </w:rPr>
      </w:pPr>
      <w:r>
        <w:rPr>
          <w:rFonts w:ascii="Arial" w:cs="Arial" w:eastAsia="Arial" w:hAnsi="Arial"/>
          <w:sz w:val="16"/>
          <w:szCs w:val="16"/>
          <w:u w:val="single" w:color="auto"/>
          <w:color w:val="auto"/>
        </w:rPr>
        <w:t>No Contract Terminations</w:t>
      </w:r>
      <w:r>
        <w:rPr>
          <w:rFonts w:ascii="Arial" w:cs="Arial" w:eastAsia="Arial" w:hAnsi="Arial"/>
          <w:sz w:val="16"/>
          <w:szCs w:val="16"/>
          <w:color w:val="auto"/>
        </w:rPr>
        <w:t>. Neither the Company nor any of the Subsidiaries has sent or received any communication regarding termination of, or intent not to renew, any of the contracts or agreements referred to or described in the Registration Statement, the Time of Sale Prospectus or the Prospectus,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157" w:lineRule="exact"/>
        <w:rPr>
          <w:rFonts w:ascii="Arial" w:cs="Arial" w:eastAsia="Arial" w:hAnsi="Arial"/>
          <w:sz w:val="16"/>
          <w:szCs w:val="16"/>
          <w:b w:val="1"/>
          <w:bCs w:val="1"/>
          <w:color w:val="auto"/>
        </w:rPr>
      </w:pPr>
    </w:p>
    <w:p>
      <w:pPr>
        <w:jc w:val="both"/>
        <w:ind w:firstLine="1304"/>
        <w:spacing w:after="0" w:line="284" w:lineRule="auto"/>
        <w:tabs>
          <w:tab w:leader="none" w:pos="1673" w:val="left"/>
        </w:tabs>
        <w:numPr>
          <w:ilvl w:val="1"/>
          <w:numId w:val="21"/>
        </w:numPr>
        <w:rPr>
          <w:rFonts w:ascii="Arial" w:cs="Arial" w:eastAsia="Arial" w:hAnsi="Arial"/>
          <w:sz w:val="16"/>
          <w:szCs w:val="16"/>
          <w:b w:val="1"/>
          <w:bCs w:val="1"/>
          <w:color w:val="auto"/>
        </w:rPr>
      </w:pPr>
      <w:r>
        <w:rPr>
          <w:rFonts w:ascii="Arial" w:cs="Arial" w:eastAsia="Arial" w:hAnsi="Arial"/>
          <w:sz w:val="16"/>
          <w:szCs w:val="16"/>
          <w:u w:val="single" w:color="auto"/>
          <w:color w:val="auto"/>
        </w:rPr>
        <w:t>Cybersecurity</w:t>
      </w:r>
      <w:r>
        <w:rPr>
          <w:rFonts w:ascii="Arial" w:cs="Arial" w:eastAsia="Arial" w:hAnsi="Arial"/>
          <w:sz w:val="16"/>
          <w:szCs w:val="16"/>
          <w:color w:val="auto"/>
        </w:rPr>
        <w:t>. To the Company’s knowledge, the Company and its subsidiaries’ information technology assets and equipment, computers, systems, networks, hardware, software, websites, applications, and databases (collectively, “</w:t>
      </w:r>
      <w:r>
        <w:rPr>
          <w:rFonts w:ascii="Arial" w:cs="Arial" w:eastAsia="Arial" w:hAnsi="Arial"/>
          <w:sz w:val="16"/>
          <w:szCs w:val="16"/>
          <w:b w:val="1"/>
          <w:bCs w:val="1"/>
          <w:color w:val="auto"/>
        </w:rPr>
        <w:t>IT Systems</w:t>
      </w:r>
      <w:r>
        <w:rPr>
          <w:rFonts w:ascii="Arial" w:cs="Arial" w:eastAsia="Arial" w:hAnsi="Arial"/>
          <w:sz w:val="16"/>
          <w:szCs w:val="16"/>
          <w:color w:val="auto"/>
        </w:rPr>
        <w:t>”) are adequate for, and operate and perform in all material respects as required in connection with the operation of the business of the Company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all “Personal Data” (defined below) and all sensitive, confidential or regulated data (“</w:t>
      </w:r>
      <w:r>
        <w:rPr>
          <w:rFonts w:ascii="Arial" w:cs="Arial" w:eastAsia="Arial" w:hAnsi="Arial"/>
          <w:sz w:val="16"/>
          <w:szCs w:val="16"/>
          <w:b w:val="1"/>
          <w:bCs w:val="1"/>
          <w:color w:val="auto"/>
        </w:rPr>
        <w:t>Confidential Data</w:t>
      </w:r>
      <w:r>
        <w:rPr>
          <w:rFonts w:ascii="Arial" w:cs="Arial" w:eastAsia="Arial" w:hAnsi="Arial"/>
          <w:sz w:val="16"/>
          <w:szCs w:val="16"/>
          <w:color w:val="auto"/>
        </w:rPr>
        <w:t>”) used in connection with their businesses. “</w:t>
      </w:r>
      <w:r>
        <w:rPr>
          <w:rFonts w:ascii="Arial" w:cs="Arial" w:eastAsia="Arial" w:hAnsi="Arial"/>
          <w:sz w:val="16"/>
          <w:szCs w:val="16"/>
          <w:b w:val="1"/>
          <w:bCs w:val="1"/>
          <w:color w:val="auto"/>
        </w:rPr>
        <w:t>Personal Data</w:t>
      </w:r>
      <w:r>
        <w:rPr>
          <w:rFonts w:ascii="Arial" w:cs="Arial" w:eastAsia="Arial" w:hAnsi="Arial"/>
          <w:sz w:val="16"/>
          <w:szCs w:val="16"/>
          <w:color w:val="auto"/>
        </w:rPr>
        <w:t>” means</w:t>
      </w:r>
    </w:p>
    <w:p>
      <w:pPr>
        <w:spacing w:after="0" w:line="2" w:lineRule="exact"/>
        <w:rPr>
          <w:rFonts w:ascii="Arial" w:cs="Arial" w:eastAsia="Arial" w:hAnsi="Arial"/>
          <w:sz w:val="16"/>
          <w:szCs w:val="16"/>
          <w:b w:val="1"/>
          <w:bCs w:val="1"/>
          <w:color w:val="auto"/>
        </w:rPr>
      </w:pPr>
    </w:p>
    <w:p>
      <w:pPr>
        <w:jc w:val="both"/>
        <w:ind w:firstLine="8"/>
        <w:spacing w:after="0" w:line="281" w:lineRule="auto"/>
        <w:tabs>
          <w:tab w:leader="none" w:pos="237"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below);</w:t>
      </w:r>
    </w:p>
    <w:p>
      <w:pPr>
        <w:spacing w:after="0" w:line="1" w:lineRule="exact"/>
        <w:rPr>
          <w:rFonts w:ascii="Arial" w:cs="Arial" w:eastAsia="Arial" w:hAnsi="Arial"/>
          <w:sz w:val="16"/>
          <w:szCs w:val="16"/>
          <w:color w:val="auto"/>
        </w:rPr>
      </w:pPr>
    </w:p>
    <w:p>
      <w:pPr>
        <w:jc w:val="both"/>
        <w:ind w:firstLine="8"/>
        <w:spacing w:after="0" w:line="270" w:lineRule="auto"/>
        <w:tabs>
          <w:tab w:leader="none" w:pos="327"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information which would qualify as “protected health information” under the Health Insurance Portability and Accountability Act of 1996, as amended by the Health Information Technology for Economic and Clinical Health Act (collectively, “</w:t>
      </w:r>
      <w:r>
        <w:rPr>
          <w:rFonts w:ascii="Arial" w:cs="Arial" w:eastAsia="Arial" w:hAnsi="Arial"/>
          <w:sz w:val="17"/>
          <w:szCs w:val="17"/>
          <w:b w:val="1"/>
          <w:bCs w:val="1"/>
          <w:color w:val="auto"/>
        </w:rPr>
        <w:t>HIPAA</w:t>
      </w:r>
      <w:r>
        <w:rPr>
          <w:rFonts w:ascii="Arial" w:cs="Arial" w:eastAsia="Arial" w:hAnsi="Arial"/>
          <w:sz w:val="17"/>
          <w:szCs w:val="17"/>
          <w:color w:val="auto"/>
        </w:rPr>
        <w:t>”); (v) any “personal information” as defined by the California Consumer Privacy Act (“</w:t>
      </w:r>
      <w:r>
        <w:rPr>
          <w:rFonts w:ascii="Arial" w:cs="Arial" w:eastAsia="Arial" w:hAnsi="Arial"/>
          <w:sz w:val="17"/>
          <w:szCs w:val="17"/>
          <w:b w:val="1"/>
          <w:bCs w:val="1"/>
          <w:color w:val="auto"/>
        </w:rPr>
        <w:t>CCPA</w:t>
      </w:r>
      <w:r>
        <w:rPr>
          <w:rFonts w:ascii="Arial" w:cs="Arial" w:eastAsia="Arial" w:hAnsi="Arial"/>
          <w:sz w:val="17"/>
          <w:szCs w:val="17"/>
          <w:color w:val="auto"/>
        </w:rPr>
        <w:t>”); and (vi) any other piece of information that allows the identification of such natural person, or his or her family, or permits the collection or analysis of any data related to an identified person’s health or sexual orientation. There have been no known breaches, violations, outages or unauthorized uses of or accesses to same, except for those that have been remedied without material cost or liability or the duty to notify any other person, nor any incidents under internal review or investigations relating to the same.</w:t>
      </w:r>
    </w:p>
    <w:p>
      <w:pPr>
        <w:spacing w:after="0" w:line="178" w:lineRule="exact"/>
        <w:rPr>
          <w:rFonts w:ascii="Arial" w:cs="Arial" w:eastAsia="Arial" w:hAnsi="Arial"/>
          <w:sz w:val="17"/>
          <w:szCs w:val="17"/>
          <w:color w:val="auto"/>
        </w:rPr>
      </w:pPr>
    </w:p>
    <w:p>
      <w:pPr>
        <w:jc w:val="both"/>
        <w:ind w:firstLine="1304"/>
        <w:spacing w:after="0" w:line="287" w:lineRule="auto"/>
        <w:tabs>
          <w:tab w:leader="none" w:pos="1625" w:val="left"/>
        </w:tabs>
        <w:numPr>
          <w:ilvl w:val="1"/>
          <w:numId w:val="23"/>
        </w:numPr>
        <w:rPr>
          <w:rFonts w:ascii="Arial" w:cs="Arial" w:eastAsia="Arial" w:hAnsi="Arial"/>
          <w:sz w:val="16"/>
          <w:szCs w:val="16"/>
          <w:b w:val="1"/>
          <w:bCs w:val="1"/>
          <w:color w:val="auto"/>
        </w:rPr>
      </w:pPr>
      <w:r>
        <w:rPr>
          <w:rFonts w:ascii="Arial" w:cs="Arial" w:eastAsia="Arial" w:hAnsi="Arial"/>
          <w:sz w:val="16"/>
          <w:szCs w:val="16"/>
          <w:u w:val="single" w:color="auto"/>
          <w:color w:val="auto"/>
        </w:rPr>
        <w:t>Compliance with Data Privacy Laws</w:t>
      </w:r>
      <w:r>
        <w:rPr>
          <w:rFonts w:ascii="Arial" w:cs="Arial" w:eastAsia="Arial" w:hAnsi="Arial"/>
          <w:sz w:val="16"/>
          <w:szCs w:val="16"/>
          <w:color w:val="auto"/>
        </w:rPr>
        <w:t>. The Company and its subsidiaries are, and at all prior times were, in material compliance with all applicable state and federal data privacy and security laws and regulations, including without limitation HIPAA, CCPA, and the European Union General Data Protection Regulation (“</w:t>
      </w:r>
      <w:r>
        <w:rPr>
          <w:rFonts w:ascii="Arial" w:cs="Arial" w:eastAsia="Arial" w:hAnsi="Arial"/>
          <w:sz w:val="16"/>
          <w:szCs w:val="16"/>
          <w:b w:val="1"/>
          <w:bCs w:val="1"/>
          <w:color w:val="auto"/>
        </w:rPr>
        <w:t>GDPR</w:t>
      </w:r>
      <w:r>
        <w:rPr>
          <w:rFonts w:ascii="Arial" w:cs="Arial" w:eastAsia="Arial" w:hAnsi="Arial"/>
          <w:sz w:val="16"/>
          <w:szCs w:val="16"/>
          <w:color w:val="auto"/>
        </w:rPr>
        <w:t>”) (EU 2016/679) (collectively, the “</w:t>
      </w:r>
      <w:r>
        <w:rPr>
          <w:rFonts w:ascii="Arial" w:cs="Arial" w:eastAsia="Arial" w:hAnsi="Arial"/>
          <w:sz w:val="16"/>
          <w:szCs w:val="16"/>
          <w:b w:val="1"/>
          <w:bCs w:val="1"/>
          <w:color w:val="auto"/>
        </w:rPr>
        <w:t>Privacy Laws</w:t>
      </w:r>
      <w:r>
        <w:rPr>
          <w:rFonts w:ascii="Arial" w:cs="Arial" w:eastAsia="Arial" w:hAnsi="Arial"/>
          <w:sz w:val="16"/>
          <w:szCs w:val="16"/>
          <w:color w:val="auto"/>
        </w:rPr>
        <w:t>”). To ensure compliance with the Privacy Laws, the Company has in place, complies with, and takes appropriate steps to ensure compliance in all material respects with their policies and procedures relating to data privacy and security and the collection, storage, use, processing, disclosure, handling, and analysis of Personal Data and Confidential Data (the “</w:t>
      </w:r>
      <w:r>
        <w:rPr>
          <w:rFonts w:ascii="Arial" w:cs="Arial" w:eastAsia="Arial" w:hAnsi="Arial"/>
          <w:sz w:val="16"/>
          <w:szCs w:val="16"/>
          <w:b w:val="1"/>
          <w:bCs w:val="1"/>
          <w:color w:val="auto"/>
        </w:rPr>
        <w:t>Policies</w:t>
      </w:r>
      <w:r>
        <w:rPr>
          <w:rFonts w:ascii="Arial" w:cs="Arial" w:eastAsia="Arial" w:hAnsi="Arial"/>
          <w:sz w:val="16"/>
          <w:szCs w:val="16"/>
          <w:color w:val="auto"/>
        </w:rPr>
        <w:t>”). The Company has at all times made all disclosures to users or customers required by applicable laws and regulatory rules or requirements, and none of such disclosures made or contained in any Policy have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both"/>
        <w:ind w:firstLine="648"/>
        <w:spacing w:after="0" w:line="263" w:lineRule="auto"/>
        <w:rPr>
          <w:sz w:val="20"/>
          <w:szCs w:val="20"/>
          <w:color w:val="auto"/>
        </w:rPr>
      </w:pPr>
      <w:r>
        <w:rPr>
          <w:rFonts w:ascii="Arial" w:cs="Arial" w:eastAsia="Arial" w:hAnsi="Arial"/>
          <w:sz w:val="18"/>
          <w:szCs w:val="18"/>
          <w:color w:val="auto"/>
        </w:rPr>
        <w:t>Any certificate signed by any officer of the Company or any of the Subsidiaries and delivered to any Underwriter or to counsel for the Underwriters in connection with the offering, or the purchase and sale, of the Securities shall be deemed a representation and warranty by the Company to each Underwriter as to the matters covered thereby.</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a reasonable basis for making each of the representations set forth in this Section 1. The Company acknowledges that the Underwriters and, for purposes of the opinions to be delivered pursuant to Section 6, counsel to the Company and counsel to the Underwriters, will rely upon the accuracy and truthfulness of the foregoing representations and hereby consents to such reliance.</w:t>
      </w:r>
    </w:p>
    <w:p>
      <w:pPr>
        <w:spacing w:after="0" w:line="165" w:lineRule="exact"/>
        <w:rPr>
          <w:sz w:val="20"/>
          <w:szCs w:val="20"/>
          <w:color w:val="auto"/>
        </w:rPr>
      </w:pPr>
    </w:p>
    <w:p>
      <w:pPr>
        <w:ind w:left="840" w:hanging="184"/>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Purchase, Sale and Delivery of the Securities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96" w:lineRule="auto"/>
        <w:tabs>
          <w:tab w:leader="none" w:pos="1551" w:val="left"/>
        </w:tabs>
        <w:numPr>
          <w:ilvl w:val="1"/>
          <w:numId w:val="24"/>
        </w:numPr>
        <w:rPr>
          <w:rFonts w:ascii="Arial" w:cs="Arial" w:eastAsia="Arial" w:hAnsi="Arial"/>
          <w:sz w:val="16"/>
          <w:szCs w:val="16"/>
          <w:b w:val="1"/>
          <w:bCs w:val="1"/>
          <w:color w:val="auto"/>
        </w:rPr>
      </w:pPr>
      <w:r>
        <w:rPr>
          <w:rFonts w:ascii="Arial" w:cs="Arial" w:eastAsia="Arial" w:hAnsi="Arial"/>
          <w:sz w:val="16"/>
          <w:szCs w:val="16"/>
          <w:u w:val="single" w:color="auto"/>
          <w:color w:val="auto"/>
        </w:rPr>
        <w:t>The Firm Shares and Firm Warrants</w:t>
      </w:r>
      <w:r>
        <w:rPr>
          <w:rFonts w:ascii="Arial" w:cs="Arial" w:eastAsia="Arial" w:hAnsi="Arial"/>
          <w:sz w:val="16"/>
          <w:szCs w:val="16"/>
          <w:color w:val="auto"/>
        </w:rPr>
        <w:t xml:space="preserve">. Upon the terms herein set forth, the Company agrees to issue and sell to the several Underwriters an aggregate of (i) [●] Firm Shares and (ii) Firm Warrants to purchase [●] Shares. On the basis of the representations, warranties and agreements herein contained, and upon the terms but subject to the conditions herein set forth, the Underwriters agree, severally and not jointly, to purchase from the Company the respective number of Firm Shares and Firm Warrants set forth opposite their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The purchase price per Firm Share and accompanying one Firm Warrant to be paid by the several Underwriters to the Company shall be $[●] per share and accompanying Offered Warrant.</w:t>
      </w:r>
    </w:p>
    <w:p>
      <w:pPr>
        <w:spacing w:after="0" w:line="161" w:lineRule="exact"/>
        <w:rPr>
          <w:rFonts w:ascii="Arial" w:cs="Arial" w:eastAsia="Arial" w:hAnsi="Arial"/>
          <w:sz w:val="16"/>
          <w:szCs w:val="16"/>
          <w:b w:val="1"/>
          <w:bCs w:val="1"/>
          <w:color w:val="auto"/>
        </w:rPr>
      </w:pPr>
    </w:p>
    <w:p>
      <w:pPr>
        <w:jc w:val="both"/>
        <w:ind w:firstLine="1304"/>
        <w:spacing w:after="0" w:line="291" w:lineRule="auto"/>
        <w:tabs>
          <w:tab w:leader="none" w:pos="1569" w:val="left"/>
        </w:tabs>
        <w:numPr>
          <w:ilvl w:val="1"/>
          <w:numId w:val="24"/>
        </w:numPr>
        <w:rPr>
          <w:rFonts w:ascii="Arial" w:cs="Arial" w:eastAsia="Arial" w:hAnsi="Arial"/>
          <w:sz w:val="16"/>
          <w:szCs w:val="16"/>
          <w:b w:val="1"/>
          <w:bCs w:val="1"/>
          <w:color w:val="auto"/>
        </w:rPr>
      </w:pPr>
      <w:r>
        <w:rPr>
          <w:rFonts w:ascii="Arial" w:cs="Arial" w:eastAsia="Arial" w:hAnsi="Arial"/>
          <w:sz w:val="16"/>
          <w:szCs w:val="16"/>
          <w:u w:val="single" w:color="auto"/>
          <w:color w:val="auto"/>
        </w:rPr>
        <w:t>The First Closing Date</w:t>
      </w:r>
      <w:r>
        <w:rPr>
          <w:rFonts w:ascii="Arial" w:cs="Arial" w:eastAsia="Arial" w:hAnsi="Arial"/>
          <w:sz w:val="16"/>
          <w:szCs w:val="16"/>
          <w:color w:val="auto"/>
        </w:rPr>
        <w:t>. Settlement of the Firm Shares and Firm Warrants to be purchased by the Underwriters and payment therefor shall be made at the offices of Duane Morris LLP, 1540 Broadway, New York, New York 10036 (or such other place as may be agreed to by the Company</w:t>
      </w:r>
    </w:p>
    <w:p>
      <w:pPr>
        <w:jc w:val="both"/>
        <w:spacing w:after="0" w:line="253" w:lineRule="auto"/>
        <w:rPr>
          <w:sz w:val="20"/>
          <w:szCs w:val="20"/>
          <w:color w:val="auto"/>
        </w:rPr>
      </w:pPr>
      <w:r>
        <w:rPr>
          <w:rFonts w:ascii="Arial" w:cs="Arial" w:eastAsia="Arial" w:hAnsi="Arial"/>
          <w:sz w:val="18"/>
          <w:szCs w:val="18"/>
          <w:color w:val="auto"/>
        </w:rPr>
        <w:t>and the Representative) at [●] a.m. Eastern time, on June , 2023, or such other time and date not later than [●] p.m. Eastern time, on June , 2023 as the Representative shall designate by notice to the Company (the time and date of such closing are called the “</w:t>
      </w:r>
      <w:r>
        <w:rPr>
          <w:rFonts w:ascii="Arial" w:cs="Arial" w:eastAsia="Arial" w:hAnsi="Arial"/>
          <w:sz w:val="18"/>
          <w:szCs w:val="18"/>
          <w:b w:val="1"/>
          <w:bCs w:val="1"/>
          <w:color w:val="auto"/>
        </w:rPr>
        <w:t>First Closing Date</w:t>
      </w:r>
      <w:r>
        <w:rPr>
          <w:rFonts w:ascii="Arial" w:cs="Arial" w:eastAsia="Arial" w:hAnsi="Arial"/>
          <w:sz w:val="18"/>
          <w:szCs w:val="18"/>
          <w:color w:val="auto"/>
        </w:rPr>
        <w:t>”). The Company hereby acknowledges that circumstances under which the Representative may provide notice to postpone the First Closing Date as originally scheduled include, but are not limited to, any determination by the Company or the Representative to recirculate to the public copies of an amended or supplemented Prospectus or a delay as contemplated by the provisions of Section 11.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jc w:val="both"/>
        <w:ind w:firstLine="1304"/>
        <w:spacing w:after="0" w:line="267" w:lineRule="auto"/>
        <w:tabs>
          <w:tab w:leader="none" w:pos="1576" w:val="left"/>
        </w:tabs>
        <w:numPr>
          <w:ilvl w:val="0"/>
          <w:numId w:val="25"/>
        </w:numPr>
        <w:rPr>
          <w:rFonts w:ascii="Arial" w:cs="Arial" w:eastAsia="Arial" w:hAnsi="Arial"/>
          <w:sz w:val="17"/>
          <w:szCs w:val="17"/>
          <w:b w:val="1"/>
          <w:bCs w:val="1"/>
          <w:color w:val="auto"/>
        </w:rPr>
      </w:pPr>
      <w:r>
        <w:rPr>
          <w:rFonts w:ascii="Arial" w:cs="Arial" w:eastAsia="Arial" w:hAnsi="Arial"/>
          <w:sz w:val="17"/>
          <w:szCs w:val="17"/>
          <w:u w:val="single" w:color="auto"/>
          <w:color w:val="auto"/>
        </w:rPr>
        <w:t>The Option Shares and Option Warrants; Option Closing Date</w:t>
      </w:r>
      <w:r>
        <w:rPr>
          <w:rFonts w:ascii="Arial" w:cs="Arial" w:eastAsia="Arial" w:hAnsi="Arial"/>
          <w:sz w:val="17"/>
          <w:szCs w:val="17"/>
          <w:color w:val="auto"/>
        </w:rPr>
        <w:t>. In addition, on the basis of the representations, warranties and agreements herein contained, and upon the terms but subject to the conditions herein set forth, the Company hereby grants an option to the several Underwriters to purchase, severally and not jointly, up to an aggregate (i) [●] Option Shares at a purchase price of $[●] per Option Share and/or (ii) Option Warrants to purchase up to an aggregate of [●] Shares at a purchase price of $[●] per Option Warrant. The option granted hereunder may be exercised at any time and from time to time in whole or in part upon notice by the Representative to the Company, which notice may be given at any time within 45 days from the date of this Agreement. Such notice shall set forth (i) the aggregate number of Option Shares and/or Option Warrants as to which the Underwriters are exercising the option and (ii) the time, date and place at which certificates for the Option Shares and/or Option Warrants will be delivered (which time and date may be simultaneous with, but not earlier than, the First Closing Date; and in the event that such time and date are simultaneous with the First Closing Date, the term “</w:t>
      </w:r>
      <w:r>
        <w:rPr>
          <w:rFonts w:ascii="Arial" w:cs="Arial" w:eastAsia="Arial" w:hAnsi="Arial"/>
          <w:sz w:val="17"/>
          <w:szCs w:val="17"/>
          <w:b w:val="1"/>
          <w:bCs w:val="1"/>
          <w:color w:val="auto"/>
        </w:rPr>
        <w:t>First Closing Date</w:t>
      </w:r>
      <w:r>
        <w:rPr>
          <w:rFonts w:ascii="Arial" w:cs="Arial" w:eastAsia="Arial" w:hAnsi="Arial"/>
          <w:sz w:val="17"/>
          <w:szCs w:val="17"/>
          <w:color w:val="auto"/>
        </w:rPr>
        <w:t>” shall refer to the time and date of delivery of certificates for the Firm Shares and Firm Warrants and such Option Shares and/or Option Warrants). Any such time and date of delivery, if subsequent to the First Closing Date, is called an “</w:t>
      </w:r>
      <w:r>
        <w:rPr>
          <w:rFonts w:ascii="Arial" w:cs="Arial" w:eastAsia="Arial" w:hAnsi="Arial"/>
          <w:sz w:val="17"/>
          <w:szCs w:val="17"/>
          <w:b w:val="1"/>
          <w:bCs w:val="1"/>
          <w:color w:val="auto"/>
        </w:rPr>
        <w:t>Option Closing</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shall be determined by the Representative, and shall not be earlier than three or later than five full Business Days after delivery of such notice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exercise. If any Option Shares and/or Option Warrants are to be purchased, (A) each Underwriter agrees, severally and not jointly, to purchase the number of Option Shares and/or Option Warrants (subject to such adjustments to eliminate fractional shares as the Representative may determine) that bears the same proportion to the total number of Option Shares and/or Option Warrants to be purchased as the number of Firm Shares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opposite the name of such Underwriter bears to the total number of Firm Shares and (B) the Company agrees to sell the number of Option Shares and/or Option Warrants set forth in the paragraph “Introductory” of this Agreement (subject to such adjustments to eliminate fractional shares as the Representative may determine). The Representative may cancel the option at any time prior to its expiration by giving written notice of such cancellation to the Company.</w:t>
      </w:r>
    </w:p>
    <w:p>
      <w:pPr>
        <w:spacing w:after="0" w:line="189" w:lineRule="exact"/>
        <w:rPr>
          <w:rFonts w:ascii="Arial" w:cs="Arial" w:eastAsia="Arial" w:hAnsi="Arial"/>
          <w:sz w:val="17"/>
          <w:szCs w:val="17"/>
          <w:b w:val="1"/>
          <w:bCs w:val="1"/>
          <w:color w:val="auto"/>
        </w:rPr>
      </w:pPr>
    </w:p>
    <w:p>
      <w:pPr>
        <w:ind w:left="1560" w:hanging="256"/>
        <w:spacing w:after="0"/>
        <w:tabs>
          <w:tab w:leader="none" w:pos="1560" w:val="left"/>
        </w:tabs>
        <w:numPr>
          <w:ilvl w:val="0"/>
          <w:numId w:val="25"/>
        </w:numPr>
        <w:rPr>
          <w:rFonts w:ascii="Arial" w:cs="Arial" w:eastAsia="Arial" w:hAnsi="Arial"/>
          <w:sz w:val="18"/>
          <w:szCs w:val="18"/>
          <w:b w:val="1"/>
          <w:bCs w:val="1"/>
          <w:color w:val="auto"/>
        </w:rPr>
      </w:pPr>
      <w:r>
        <w:rPr>
          <w:rFonts w:ascii="Arial" w:cs="Arial" w:eastAsia="Arial" w:hAnsi="Arial"/>
          <w:sz w:val="18"/>
          <w:szCs w:val="18"/>
          <w:u w:val="single" w:color="auto"/>
          <w:color w:val="auto"/>
        </w:rPr>
        <w:t>Underwriter’s Warrant</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right="20" w:firstLine="1952"/>
        <w:spacing w:after="0" w:line="268" w:lineRule="auto"/>
        <w:tabs>
          <w:tab w:leader="none" w:pos="2179"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Purchase Warrants</w:t>
      </w:r>
      <w:r>
        <w:rPr>
          <w:rFonts w:ascii="Arial" w:cs="Arial" w:eastAsia="Arial" w:hAnsi="Arial"/>
          <w:sz w:val="17"/>
          <w:szCs w:val="17"/>
          <w:color w:val="auto"/>
        </w:rPr>
        <w:t>. The Company hereby agrees to issue and sell to the Representative (and/or its designees) on the First Closing Date an option (“</w:t>
      </w:r>
      <w:r>
        <w:rPr>
          <w:rFonts w:ascii="Arial" w:cs="Arial" w:eastAsia="Arial" w:hAnsi="Arial"/>
          <w:sz w:val="17"/>
          <w:szCs w:val="17"/>
          <w:b w:val="1"/>
          <w:bCs w:val="1"/>
          <w:color w:val="auto"/>
        </w:rPr>
        <w:t>Underwriter’s Warrant</w:t>
      </w:r>
      <w:r>
        <w:rPr>
          <w:rFonts w:ascii="Arial" w:cs="Arial" w:eastAsia="Arial" w:hAnsi="Arial"/>
          <w:sz w:val="17"/>
          <w:szCs w:val="17"/>
          <w:color w:val="auto"/>
        </w:rPr>
        <w:t xml:space="preserve">”) for the purchase of an aggregate of [●] Shares (plus an additional 5% of the Option Shares purchased on each Option Closing Date). The Underwriter’s Warrant, in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shall be exercisable, in whole or in part, from the First Closing Date (the “Commencement Date”) and expiring on the five (5) year anniversary of the Commencement Date at an initial exercise price per Share of $[●], which is equal to 125.0% of the combined public offering price of each Share and accompanying Offered Warrant. The Underwriter’s Warrant and the Shares issuable upon exercise thereof (the “</w:t>
      </w:r>
      <w:r>
        <w:rPr>
          <w:rFonts w:ascii="Arial" w:cs="Arial" w:eastAsia="Arial" w:hAnsi="Arial"/>
          <w:sz w:val="17"/>
          <w:szCs w:val="17"/>
          <w:b w:val="1"/>
          <w:bCs w:val="1"/>
          <w:color w:val="auto"/>
        </w:rPr>
        <w:t>Underwriter’s Shares</w:t>
      </w:r>
      <w:r>
        <w:rPr>
          <w:rFonts w:ascii="Arial" w:cs="Arial" w:eastAsia="Arial" w:hAnsi="Arial"/>
          <w:sz w:val="17"/>
          <w:szCs w:val="17"/>
          <w:color w:val="auto"/>
        </w:rPr>
        <w:t>”) are sometimes hereinafter referred to together as the “</w:t>
      </w:r>
      <w:r>
        <w:rPr>
          <w:rFonts w:ascii="Arial" w:cs="Arial" w:eastAsia="Arial" w:hAnsi="Arial"/>
          <w:sz w:val="17"/>
          <w:szCs w:val="17"/>
          <w:b w:val="1"/>
          <w:bCs w:val="1"/>
          <w:color w:val="auto"/>
        </w:rPr>
        <w:t>Underwriter’s Securities</w:t>
      </w:r>
      <w:r>
        <w:rPr>
          <w:rFonts w:ascii="Arial" w:cs="Arial" w:eastAsia="Arial" w:hAnsi="Arial"/>
          <w:sz w:val="17"/>
          <w:szCs w:val="17"/>
          <w:color w:val="auto"/>
        </w:rPr>
        <w:t>.” The Representative understands and agrees that there are significant restrictions pursuant to FINRA Rule 5110 against transferring the Underwriter’s Warrant and the underlying Shares during the one hundred eighty (180) days after the First Closing Date and by its acceptance thereof shall agree that it will not sell, transfer, assign, pledge or hypothecate the Underwriter’s Warrant, or any portion thereof, or be the subject of any hedging, short sale, derivative, put or call transaction that would result in the effective economic disposition of such securities for a period of one hundred eighty (180) days following the effective date of the Registration Statement to anyone other than (i) an Underwriter or a selected dealer in connection with the offering of the Securities, or (ii) a bona fide officer or partner of the Representative or of any such Underwriter or selected dealer; and only if any such transferee agrees to the foregoing lock-up restrictions.</w:t>
      </w:r>
    </w:p>
    <w:p>
      <w:pPr>
        <w:spacing w:after="0" w:line="186" w:lineRule="exact"/>
        <w:rPr>
          <w:rFonts w:ascii="Arial" w:cs="Arial" w:eastAsia="Arial" w:hAnsi="Arial"/>
          <w:sz w:val="17"/>
          <w:szCs w:val="17"/>
          <w:color w:val="auto"/>
        </w:rPr>
      </w:pPr>
    </w:p>
    <w:p>
      <w:pPr>
        <w:ind w:right="20" w:firstLine="1952"/>
        <w:spacing w:after="0" w:line="277" w:lineRule="auto"/>
        <w:tabs>
          <w:tab w:leader="none" w:pos="2220"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Delivery</w:t>
      </w:r>
      <w:r>
        <w:rPr>
          <w:rFonts w:ascii="Arial" w:cs="Arial" w:eastAsia="Arial" w:hAnsi="Arial"/>
          <w:sz w:val="18"/>
          <w:szCs w:val="18"/>
          <w:color w:val="auto"/>
        </w:rPr>
        <w:t>. Delivery of the Underwriter’s Warrant shall be made on the First Closing Date and any Option Closing Date and shall be issued in the name or names and in such authorized denominations as the Representative may reasonably request.</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29" w:name="page30"/>
    <w:bookmarkEnd w:id="29"/>
    <w:p>
      <w:pPr>
        <w:jc w:val="both"/>
        <w:ind w:firstLine="1304"/>
        <w:spacing w:after="0" w:line="311" w:lineRule="auto"/>
        <w:tabs>
          <w:tab w:leader="none" w:pos="1545" w:val="left"/>
        </w:tabs>
        <w:numPr>
          <w:ilvl w:val="1"/>
          <w:numId w:val="26"/>
        </w:numPr>
        <w:rPr>
          <w:rFonts w:ascii="Arial" w:cs="Arial" w:eastAsia="Arial" w:hAnsi="Arial"/>
          <w:sz w:val="16"/>
          <w:szCs w:val="16"/>
          <w:b w:val="1"/>
          <w:bCs w:val="1"/>
          <w:color w:val="auto"/>
        </w:rPr>
      </w:pPr>
      <w:r>
        <w:rPr>
          <w:rFonts w:ascii="Arial" w:cs="Arial" w:eastAsia="Arial" w:hAnsi="Arial"/>
          <w:sz w:val="16"/>
          <w:szCs w:val="16"/>
          <w:u w:val="single" w:color="auto"/>
          <w:color w:val="auto"/>
        </w:rPr>
        <w:t>Public Offering of the Securities</w:t>
      </w:r>
      <w:r>
        <w:rPr>
          <w:rFonts w:ascii="Arial" w:cs="Arial" w:eastAsia="Arial" w:hAnsi="Arial"/>
          <w:sz w:val="16"/>
          <w:szCs w:val="16"/>
          <w:color w:val="auto"/>
        </w:rPr>
        <w:t>. The Representative hereby advises the Company that the Underwriters intend to offer for sale to the public, initially on the terms set forth in the Registration Statement, the Time of Sale Prospectus and the Prospectus, their respective portions of the Securities as soon after this Agreement has been executed as the Representative, in its sole judgment, has determined is advisable and practicable.</w:t>
      </w:r>
    </w:p>
    <w:p>
      <w:pPr>
        <w:spacing w:after="0" w:line="148" w:lineRule="exact"/>
        <w:rPr>
          <w:rFonts w:ascii="Arial" w:cs="Arial" w:eastAsia="Arial" w:hAnsi="Arial"/>
          <w:sz w:val="16"/>
          <w:szCs w:val="16"/>
          <w:b w:val="1"/>
          <w:bCs w:val="1"/>
          <w:color w:val="auto"/>
        </w:rPr>
      </w:pPr>
    </w:p>
    <w:p>
      <w:pPr>
        <w:jc w:val="both"/>
        <w:ind w:firstLine="1304"/>
        <w:spacing w:after="0" w:line="272" w:lineRule="auto"/>
        <w:tabs>
          <w:tab w:leader="none" w:pos="1543" w:val="left"/>
        </w:tabs>
        <w:numPr>
          <w:ilvl w:val="1"/>
          <w:numId w:val="26"/>
        </w:numPr>
        <w:rPr>
          <w:rFonts w:ascii="Arial" w:cs="Arial" w:eastAsia="Arial" w:hAnsi="Arial"/>
          <w:sz w:val="17"/>
          <w:szCs w:val="17"/>
          <w:b w:val="1"/>
          <w:bCs w:val="1"/>
          <w:color w:val="auto"/>
        </w:rPr>
      </w:pPr>
      <w:r>
        <w:rPr>
          <w:rFonts w:ascii="Arial" w:cs="Arial" w:eastAsia="Arial" w:hAnsi="Arial"/>
          <w:sz w:val="17"/>
          <w:szCs w:val="17"/>
          <w:u w:val="single" w:color="auto"/>
          <w:color w:val="auto"/>
        </w:rPr>
        <w:t>Payment for the Securities</w:t>
      </w:r>
      <w:r>
        <w:rPr>
          <w:rFonts w:ascii="Arial" w:cs="Arial" w:eastAsia="Arial" w:hAnsi="Arial"/>
          <w:sz w:val="17"/>
          <w:szCs w:val="17"/>
          <w:color w:val="auto"/>
        </w:rPr>
        <w:t>. Payment for the Securities shall be made at the First Closing Date (and, if applicable, at each Option Closing Date) by wire transfer of immediately available funds to the order of the Company. It is understood that the Representative has been authorized, for its own account and the accounts of the several Underwriters, to accept delivery of and receipt for, and make payment of the purchase price for, the Firm Shares and any Option Shares the Underwriters have agreed to purchase. Roth, individually and not as the Representative of the Underwriters, may (but shall not be obligated to) make payment for any Securities to be purchased by any Underwriter whose funds shall not have been received by the Representative by the First Closing Date or the applicable Option Closing Date, as the case may be, for the account of such Underwriter, but any such payment shall not relieve such Underwriter from any of its obligations under this Agreement.</w:t>
      </w:r>
    </w:p>
    <w:p>
      <w:pPr>
        <w:spacing w:after="0" w:line="177" w:lineRule="exact"/>
        <w:rPr>
          <w:rFonts w:ascii="Arial" w:cs="Arial" w:eastAsia="Arial" w:hAnsi="Arial"/>
          <w:sz w:val="17"/>
          <w:szCs w:val="17"/>
          <w:b w:val="1"/>
          <w:bCs w:val="1"/>
          <w:color w:val="auto"/>
        </w:rPr>
      </w:pPr>
    </w:p>
    <w:p>
      <w:pPr>
        <w:jc w:val="both"/>
        <w:ind w:firstLine="1304"/>
        <w:spacing w:after="0" w:line="287" w:lineRule="auto"/>
        <w:tabs>
          <w:tab w:leader="none" w:pos="1554" w:val="left"/>
        </w:tabs>
        <w:numPr>
          <w:ilvl w:val="1"/>
          <w:numId w:val="26"/>
        </w:numPr>
        <w:rPr>
          <w:rFonts w:ascii="Arial" w:cs="Arial" w:eastAsia="Arial" w:hAnsi="Arial"/>
          <w:sz w:val="16"/>
          <w:szCs w:val="16"/>
          <w:b w:val="1"/>
          <w:bCs w:val="1"/>
          <w:color w:val="auto"/>
        </w:rPr>
      </w:pPr>
      <w:r>
        <w:rPr>
          <w:rFonts w:ascii="Arial" w:cs="Arial" w:eastAsia="Arial" w:hAnsi="Arial"/>
          <w:sz w:val="16"/>
          <w:szCs w:val="16"/>
          <w:u w:val="single" w:color="auto"/>
          <w:color w:val="auto"/>
        </w:rPr>
        <w:t>Delivery of the Securities</w:t>
      </w:r>
      <w:r>
        <w:rPr>
          <w:rFonts w:ascii="Arial" w:cs="Arial" w:eastAsia="Arial" w:hAnsi="Arial"/>
          <w:sz w:val="16"/>
          <w:szCs w:val="16"/>
          <w:color w:val="auto"/>
        </w:rPr>
        <w:t>. The Company shall deliver, or cause to be delivered () to the Representative for the accounts of the several Underwriters, certificates for the Firm Shares at the First Closing Date, and (b) physically deliver, or cause to be delivered, to the purchasers thereof the Firm Warrants in accordance with the Underwriters’ instructions, against the irrevocable release of a wire transfer of immediately available funds for the amount of the purchase price therefor. The Company shall also deliver, or cause to be delivered (i) to the Representative for the accounts of the several Underwriters, certificates for the Option Shares on the applicable Option Closing Date, and (b) physically deliver, or cause to be delivered, to the purchasers thereof the Option Warrants in accordance with the Underwriters’ instructions, against the irrevocable release of a wire transfer of immediately available funds for the amount of the purchase price therefor. If the Representative so elects, delivery of the Shares may be made by credit to the accounts designated by the Representative through The Depository Trust Company’s full fast transfer or DWAC programs. The certificates, if any, for the Securities shall be registered in such names and denominations as the Representative shall have requested at least two full Business Days prior to the First Closing Date (or the applicable Option Closing Date, as the case may be) and shall be made available for inspection on the Business Day preceding the First Closing Date (or the applicable Option Closing Date, as the case may be) at a location in New York City as the Representative may designate. Time shall be of the essence, and delivery at the time and place specified in this Agreement is a further condition to the obligations of the Underwriters.</w:t>
      </w:r>
    </w:p>
    <w:p>
      <w:pPr>
        <w:spacing w:after="0" w:line="167" w:lineRule="exact"/>
        <w:rPr>
          <w:rFonts w:ascii="Arial" w:cs="Arial" w:eastAsia="Arial" w:hAnsi="Arial"/>
          <w:sz w:val="16"/>
          <w:szCs w:val="16"/>
          <w:b w:val="1"/>
          <w:bCs w:val="1"/>
          <w:color w:val="auto"/>
        </w:rPr>
      </w:pPr>
    </w:p>
    <w:p>
      <w:pPr>
        <w:ind w:left="820" w:hanging="164"/>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Additional Covenants of the Company</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further covenants and agrees with each Underwriter as follows:</w:t>
      </w:r>
    </w:p>
    <w:p>
      <w:pPr>
        <w:spacing w:after="0" w:line="225" w:lineRule="exact"/>
        <w:rPr>
          <w:sz w:val="20"/>
          <w:szCs w:val="20"/>
          <w:color w:val="auto"/>
        </w:rPr>
      </w:pPr>
    </w:p>
    <w:p>
      <w:pPr>
        <w:jc w:val="both"/>
        <w:ind w:firstLine="1304"/>
        <w:spacing w:after="0" w:line="272" w:lineRule="auto"/>
        <w:tabs>
          <w:tab w:leader="none" w:pos="1583" w:val="left"/>
        </w:tabs>
        <w:numPr>
          <w:ilvl w:val="0"/>
          <w:numId w:val="28"/>
        </w:numPr>
        <w:rPr>
          <w:rFonts w:ascii="Arial" w:cs="Arial" w:eastAsia="Arial" w:hAnsi="Arial"/>
          <w:sz w:val="17"/>
          <w:szCs w:val="17"/>
          <w:b w:val="1"/>
          <w:bCs w:val="1"/>
          <w:color w:val="auto"/>
        </w:rPr>
      </w:pPr>
      <w:r>
        <w:rPr>
          <w:rFonts w:ascii="Arial" w:cs="Arial" w:eastAsia="Arial" w:hAnsi="Arial"/>
          <w:sz w:val="17"/>
          <w:szCs w:val="17"/>
          <w:u w:val="single" w:color="auto"/>
          <w:color w:val="auto"/>
        </w:rPr>
        <w:t>Delivery of Registration Statement, Time of Sale Prospectus and Prospectus</w:t>
      </w:r>
      <w:r>
        <w:rPr>
          <w:rFonts w:ascii="Arial" w:cs="Arial" w:eastAsia="Arial" w:hAnsi="Arial"/>
          <w:sz w:val="17"/>
          <w:szCs w:val="17"/>
          <w:color w:val="auto"/>
        </w:rPr>
        <w:t>. The Company shall furnish to the Representative, without charge, signed copies of the Registration Statement (including exhibits thereto) and for delivery to each other Underwriter a conformed copy of the Registration Statement (without exhibits thereto) and shall furnish to the Representative in New York City, without charge, prior to 10:00 a.m. New York City time on the Business Day next succeeding the date of this Agreement and during the period when a prospectus relating to the Securities is required by the Securities Act to be delivered (whether physically or through compliance with Rule 172 under the Securities Act or any similar rule) in connection with the sale of the Securities, as many copies of the Time of Sale Prospectus, the Prospectus and any supplements and amendments thereto or to the Registration Statement as the Representative may reasonably request.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jc w:val="both"/>
        <w:ind w:firstLine="1304"/>
        <w:spacing w:after="0" w:line="269" w:lineRule="auto"/>
        <w:tabs>
          <w:tab w:leader="none" w:pos="1570" w:val="left"/>
        </w:tabs>
        <w:numPr>
          <w:ilvl w:val="0"/>
          <w:numId w:val="29"/>
        </w:numPr>
        <w:rPr>
          <w:rFonts w:ascii="Arial" w:cs="Arial" w:eastAsia="Arial" w:hAnsi="Arial"/>
          <w:sz w:val="17"/>
          <w:szCs w:val="17"/>
          <w:b w:val="1"/>
          <w:bCs w:val="1"/>
          <w:color w:val="auto"/>
        </w:rPr>
      </w:pPr>
      <w:r>
        <w:rPr>
          <w:rFonts w:ascii="Arial" w:cs="Arial" w:eastAsia="Arial" w:hAnsi="Arial"/>
          <w:sz w:val="17"/>
          <w:szCs w:val="17"/>
          <w:u w:val="single" w:color="auto"/>
          <w:color w:val="auto"/>
        </w:rPr>
        <w:t>Representative’s Review of Proposed Amendments and Supplements</w:t>
      </w:r>
      <w:r>
        <w:rPr>
          <w:rFonts w:ascii="Arial" w:cs="Arial" w:eastAsia="Arial" w:hAnsi="Arial"/>
          <w:sz w:val="17"/>
          <w:szCs w:val="17"/>
          <w:color w:val="auto"/>
        </w:rPr>
        <w:t>. During the period when a prospectus relating to the Securities is required by the Securities Act to be delivered (whether physically or through compliance with Rule 172 under the Securities Act or any similar rule), the Company (i) will furnish to the Representative for review, a reasonable period of time prior to the proposed time of filing of any proposed amendment or supplement to the Registration Statement, a copy of each such amendment or supplement and (ii) will not amend or supplement the Registration Statement without the Representative’s prior written consent, which consent shall not be unreasonably withheld, delayed or conditioned. Prior to amending or supplementing any preliminary prospectus, the Time of Sale Prospectus or the Prospectus, the Company shall furnish to the Representative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consent shall not be unreasonably withheld, delayed or conditioned. The Company shall file with the Commission within the applicable period specified in Rule 424(b) under the Securities Act any prospectus required to be filed pursuant to such Rule.</w:t>
      </w:r>
    </w:p>
    <w:p>
      <w:pPr>
        <w:spacing w:after="0" w:line="185" w:lineRule="exact"/>
        <w:rPr>
          <w:rFonts w:ascii="Arial" w:cs="Arial" w:eastAsia="Arial" w:hAnsi="Arial"/>
          <w:sz w:val="17"/>
          <w:szCs w:val="17"/>
          <w:b w:val="1"/>
          <w:bCs w:val="1"/>
          <w:color w:val="auto"/>
        </w:rPr>
      </w:pPr>
    </w:p>
    <w:p>
      <w:pPr>
        <w:ind w:left="1540" w:hanging="236"/>
        <w:spacing w:after="0"/>
        <w:tabs>
          <w:tab w:leader="none" w:pos="1540" w:val="left"/>
        </w:tabs>
        <w:numPr>
          <w:ilvl w:val="0"/>
          <w:numId w:val="29"/>
        </w:numPr>
        <w:rPr>
          <w:rFonts w:ascii="Arial" w:cs="Arial" w:eastAsia="Arial" w:hAnsi="Arial"/>
          <w:sz w:val="18"/>
          <w:szCs w:val="18"/>
          <w:b w:val="1"/>
          <w:bCs w:val="1"/>
          <w:color w:val="auto"/>
        </w:rPr>
      </w:pPr>
      <w:r>
        <w:rPr>
          <w:rFonts w:ascii="Arial" w:cs="Arial" w:eastAsia="Arial" w:hAnsi="Arial"/>
          <w:sz w:val="18"/>
          <w:szCs w:val="18"/>
          <w:u w:val="single" w:color="auto"/>
          <w:color w:val="auto"/>
        </w:rPr>
        <w:t>Intentionally Omitted.</w:t>
      </w:r>
    </w:p>
    <w:p>
      <w:pPr>
        <w:spacing w:after="0" w:line="225" w:lineRule="exact"/>
        <w:rPr>
          <w:rFonts w:ascii="Arial" w:cs="Arial" w:eastAsia="Arial" w:hAnsi="Arial"/>
          <w:sz w:val="18"/>
          <w:szCs w:val="18"/>
          <w:b w:val="1"/>
          <w:bCs w:val="1"/>
          <w:color w:val="auto"/>
        </w:rPr>
      </w:pPr>
    </w:p>
    <w:p>
      <w:pPr>
        <w:ind w:left="1560" w:hanging="256"/>
        <w:spacing w:after="0"/>
        <w:tabs>
          <w:tab w:leader="none" w:pos="1560" w:val="left"/>
        </w:tabs>
        <w:numPr>
          <w:ilvl w:val="0"/>
          <w:numId w:val="29"/>
        </w:numPr>
        <w:rPr>
          <w:rFonts w:ascii="Arial" w:cs="Arial" w:eastAsia="Arial" w:hAnsi="Arial"/>
          <w:sz w:val="18"/>
          <w:szCs w:val="18"/>
          <w:b w:val="1"/>
          <w:bCs w:val="1"/>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1304"/>
        <w:spacing w:after="0" w:line="287" w:lineRule="auto"/>
        <w:tabs>
          <w:tab w:leader="none" w:pos="1555" w:val="left"/>
        </w:tabs>
        <w:numPr>
          <w:ilvl w:val="0"/>
          <w:numId w:val="29"/>
        </w:numPr>
        <w:rPr>
          <w:rFonts w:ascii="Arial" w:cs="Arial" w:eastAsia="Arial" w:hAnsi="Arial"/>
          <w:sz w:val="16"/>
          <w:szCs w:val="16"/>
          <w:b w:val="1"/>
          <w:bCs w:val="1"/>
          <w:color w:val="auto"/>
        </w:rPr>
      </w:pPr>
      <w:r>
        <w:rPr>
          <w:rFonts w:ascii="Arial" w:cs="Arial" w:eastAsia="Arial" w:hAnsi="Arial"/>
          <w:sz w:val="16"/>
          <w:szCs w:val="16"/>
          <w:u w:val="single" w:color="auto"/>
          <w:color w:val="auto"/>
        </w:rPr>
        <w:t>Amendments and Supplements to Time of Sale Prospectus</w:t>
      </w:r>
      <w:r>
        <w:rPr>
          <w:rFonts w:ascii="Arial" w:cs="Arial" w:eastAsia="Arial" w:hAnsi="Arial"/>
          <w:sz w:val="16"/>
          <w:szCs w:val="16"/>
          <w:color w:val="auto"/>
        </w:rPr>
        <w:t>. If the Time of Sale Prospectus is being used to solicit offers to buy the Securities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ind w:left="1540" w:hanging="236"/>
        <w:spacing w:after="0"/>
        <w:tabs>
          <w:tab w:leader="none" w:pos="1540" w:val="left"/>
        </w:tabs>
        <w:numPr>
          <w:ilvl w:val="0"/>
          <w:numId w:val="30"/>
        </w:numPr>
        <w:rPr>
          <w:rFonts w:ascii="Arial" w:cs="Arial" w:eastAsia="Arial" w:hAnsi="Arial"/>
          <w:sz w:val="16"/>
          <w:szCs w:val="16"/>
          <w:b w:val="1"/>
          <w:bCs w:val="1"/>
          <w:color w:val="auto"/>
        </w:rPr>
      </w:pPr>
      <w:r>
        <w:rPr>
          <w:rFonts w:ascii="Arial" w:cs="Arial" w:eastAsia="Arial" w:hAnsi="Arial"/>
          <w:sz w:val="16"/>
          <w:szCs w:val="16"/>
          <w:u w:val="single" w:color="auto"/>
          <w:color w:val="auto"/>
        </w:rPr>
        <w:t>Certain Notifications and Required Actions</w:t>
      </w:r>
      <w:r>
        <w:rPr>
          <w:rFonts w:ascii="Arial" w:cs="Arial" w:eastAsia="Arial" w:hAnsi="Arial"/>
          <w:sz w:val="16"/>
          <w:szCs w:val="16"/>
          <w:color w:val="auto"/>
        </w:rPr>
        <w:t>. After the date of this Agreement, the Company shall promptly advise the Representative</w:t>
      </w:r>
    </w:p>
    <w:p>
      <w:pPr>
        <w:spacing w:after="0" w:line="46" w:lineRule="exact"/>
        <w:rPr>
          <w:rFonts w:ascii="Arial" w:cs="Arial" w:eastAsia="Arial" w:hAnsi="Arial"/>
          <w:sz w:val="16"/>
          <w:szCs w:val="16"/>
          <w:b w:val="1"/>
          <w:bCs w:val="1"/>
          <w:color w:val="auto"/>
        </w:rPr>
      </w:pPr>
    </w:p>
    <w:p>
      <w:pPr>
        <w:jc w:val="both"/>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in 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reasonable best efforts to obtain the lifting of such order at the earliest possible moment. Additionally, the Company agrees that it shall comply with all applicable provisions of Rule 424(b), Rule 433 and Rule 430A under the Securities Act and will use its reasonable efforts to confirm that any filings made by the Company under Rule 424(b) or Rule 433 were received in a timely manner by the Commission.</w:t>
      </w:r>
    </w:p>
    <w:p>
      <w:pPr>
        <w:spacing w:after="0" w:line="174" w:lineRule="exact"/>
        <w:rPr>
          <w:rFonts w:ascii="Arial" w:cs="Arial" w:eastAsia="Arial" w:hAnsi="Arial"/>
          <w:sz w:val="16"/>
          <w:szCs w:val="16"/>
          <w:b w:val="1"/>
          <w:bCs w:val="1"/>
          <w:color w:val="auto"/>
        </w:rPr>
      </w:pPr>
    </w:p>
    <w:p>
      <w:pPr>
        <w:jc w:val="both"/>
        <w:ind w:firstLine="1304"/>
        <w:spacing w:after="0" w:line="269" w:lineRule="auto"/>
        <w:tabs>
          <w:tab w:leader="none" w:pos="1568" w:val="left"/>
        </w:tabs>
        <w:numPr>
          <w:ilvl w:val="0"/>
          <w:numId w:val="30"/>
        </w:numPr>
        <w:rPr>
          <w:rFonts w:ascii="Arial" w:cs="Arial" w:eastAsia="Arial" w:hAnsi="Arial"/>
          <w:sz w:val="17"/>
          <w:szCs w:val="17"/>
          <w:b w:val="1"/>
          <w:bCs w:val="1"/>
          <w:color w:val="auto"/>
        </w:rPr>
      </w:pPr>
      <w:r>
        <w:rPr>
          <w:rFonts w:ascii="Arial" w:cs="Arial" w:eastAsia="Arial" w:hAnsi="Arial"/>
          <w:sz w:val="17"/>
          <w:szCs w:val="17"/>
          <w:u w:val="single" w:color="auto"/>
          <w:color w:val="auto"/>
        </w:rPr>
        <w:t>Amendments and Supplements to the Prospectus and Other Securities Act Matters</w:t>
      </w:r>
      <w:r>
        <w:rPr>
          <w:rFonts w:ascii="Arial" w:cs="Arial" w:eastAsia="Arial" w:hAnsi="Arial"/>
          <w:sz w:val="17"/>
          <w:szCs w:val="17"/>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 or counsel for the Underwriters it is otherwise necessary to amend or supplement the Prospectus to comply with applicable Law, the Company agrees (subject to Section 3(b) and Section 3(c))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spacing w:after="0" w:line="178" w:lineRule="exact"/>
        <w:rPr>
          <w:rFonts w:ascii="Arial" w:cs="Arial" w:eastAsia="Arial" w:hAnsi="Arial"/>
          <w:sz w:val="17"/>
          <w:szCs w:val="17"/>
          <w:b w:val="1"/>
          <w:bCs w:val="1"/>
          <w:color w:val="auto"/>
        </w:rPr>
      </w:pPr>
    </w:p>
    <w:p>
      <w:pPr>
        <w:jc w:val="both"/>
        <w:ind w:firstLine="1304"/>
        <w:spacing w:after="0" w:line="270" w:lineRule="auto"/>
        <w:tabs>
          <w:tab w:leader="none" w:pos="1570" w:val="left"/>
        </w:tabs>
        <w:numPr>
          <w:ilvl w:val="0"/>
          <w:numId w:val="30"/>
        </w:numPr>
        <w:rPr>
          <w:rFonts w:ascii="Arial" w:cs="Arial" w:eastAsia="Arial" w:hAnsi="Arial"/>
          <w:sz w:val="17"/>
          <w:szCs w:val="17"/>
          <w:b w:val="1"/>
          <w:bCs w:val="1"/>
          <w:color w:val="auto"/>
        </w:rPr>
      </w:pPr>
      <w:r>
        <w:rPr>
          <w:rFonts w:ascii="Arial" w:cs="Arial" w:eastAsia="Arial" w:hAnsi="Arial"/>
          <w:sz w:val="17"/>
          <w:szCs w:val="17"/>
          <w:u w:val="single" w:color="auto"/>
          <w:color w:val="auto"/>
        </w:rPr>
        <w:t>Blue Sky Compliance</w:t>
      </w:r>
      <w:r>
        <w:rPr>
          <w:rFonts w:ascii="Arial" w:cs="Arial" w:eastAsia="Arial" w:hAnsi="Arial"/>
          <w:sz w:val="17"/>
          <w:szCs w:val="17"/>
          <w:color w:val="auto"/>
        </w:rPr>
        <w:t>. The Company shall cooperate with the Representative and counsel for the Underwriters to qualify or register the Securities for sale under (or obtain exemptions from the application of) the state securities or blue sky Laws or Canadian provincial securities Laws (or other foreign Laws) of those jurisdictions designated by the Representative, shall comply with such Laws and shall continue such qualifications, registrations and exemptions in effect so long as required for the distribution of the Securities.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 promptly of the suspension of the qualification or registration of (or any such exemption relating to) the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ind w:firstLine="1304"/>
        <w:spacing w:after="0" w:line="277" w:lineRule="auto"/>
        <w:tabs>
          <w:tab w:leader="none" w:pos="1522" w:val="left"/>
        </w:tabs>
        <w:numPr>
          <w:ilvl w:val="0"/>
          <w:numId w:val="31"/>
        </w:numPr>
        <w:rPr>
          <w:rFonts w:ascii="Arial" w:cs="Arial" w:eastAsia="Arial" w:hAnsi="Arial"/>
          <w:sz w:val="18"/>
          <w:szCs w:val="18"/>
          <w:b w:val="1"/>
          <w:bCs w:val="1"/>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shall apply the net proceeds from the sale of the Securities sold by it in the manner described under the caption “Use of Proceeds” in the Registration Statement, the Time of Sale Prospectus and the Prospectus.</w:t>
      </w:r>
    </w:p>
    <w:p>
      <w:pPr>
        <w:spacing w:after="0" w:line="170" w:lineRule="exact"/>
        <w:rPr>
          <w:rFonts w:ascii="Arial" w:cs="Arial" w:eastAsia="Arial" w:hAnsi="Arial"/>
          <w:sz w:val="18"/>
          <w:szCs w:val="18"/>
          <w:b w:val="1"/>
          <w:bCs w:val="1"/>
          <w:color w:val="auto"/>
        </w:rPr>
      </w:pPr>
    </w:p>
    <w:p>
      <w:pPr>
        <w:jc w:val="both"/>
        <w:ind w:firstLine="1304"/>
        <w:spacing w:after="0" w:line="259" w:lineRule="auto"/>
        <w:tabs>
          <w:tab w:leader="none" w:pos="1563" w:val="left"/>
        </w:tabs>
        <w:numPr>
          <w:ilvl w:val="0"/>
          <w:numId w:val="31"/>
        </w:numPr>
        <w:rPr>
          <w:rFonts w:ascii="Arial" w:cs="Arial" w:eastAsia="Arial" w:hAnsi="Arial"/>
          <w:sz w:val="18"/>
          <w:szCs w:val="18"/>
          <w:b w:val="1"/>
          <w:bCs w:val="1"/>
          <w:color w:val="auto"/>
        </w:rPr>
      </w:pPr>
      <w:r>
        <w:rPr>
          <w:rFonts w:ascii="Arial" w:cs="Arial" w:eastAsia="Arial" w:hAnsi="Arial"/>
          <w:sz w:val="18"/>
          <w:szCs w:val="18"/>
          <w:u w:val="single" w:color="auto"/>
          <w:color w:val="auto"/>
        </w:rPr>
        <w:t>Earnings Statement</w:t>
      </w:r>
      <w:r>
        <w:rPr>
          <w:rFonts w:ascii="Arial" w:cs="Arial" w:eastAsia="Arial" w:hAnsi="Arial"/>
          <w:sz w:val="18"/>
          <w:szCs w:val="18"/>
          <w:color w:val="auto"/>
        </w:rPr>
        <w:t>. The Company will make generally available to its security holders and to the Representative as soon as practicable an 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w:t>
      </w:r>
    </w:p>
    <w:p>
      <w:pPr>
        <w:spacing w:after="0" w:line="186" w:lineRule="exact"/>
        <w:rPr>
          <w:rFonts w:ascii="Arial" w:cs="Arial" w:eastAsia="Arial" w:hAnsi="Arial"/>
          <w:sz w:val="18"/>
          <w:szCs w:val="18"/>
          <w:b w:val="1"/>
          <w:bCs w:val="1"/>
          <w:color w:val="auto"/>
        </w:rPr>
      </w:pPr>
    </w:p>
    <w:p>
      <w:pPr>
        <w:jc w:val="both"/>
        <w:ind w:firstLine="1304"/>
        <w:spacing w:after="0" w:line="275" w:lineRule="auto"/>
        <w:tabs>
          <w:tab w:leader="none" w:pos="1563" w:val="left"/>
        </w:tabs>
        <w:numPr>
          <w:ilvl w:val="0"/>
          <w:numId w:val="31"/>
        </w:numPr>
        <w:rPr>
          <w:rFonts w:ascii="Arial" w:cs="Arial" w:eastAsia="Arial" w:hAnsi="Arial"/>
          <w:sz w:val="17"/>
          <w:szCs w:val="17"/>
          <w:b w:val="1"/>
          <w:bCs w:val="1"/>
          <w:color w:val="auto"/>
        </w:rPr>
      </w:pPr>
      <w:r>
        <w:rPr>
          <w:rFonts w:ascii="Arial" w:cs="Arial" w:eastAsia="Arial" w:hAnsi="Arial"/>
          <w:sz w:val="17"/>
          <w:szCs w:val="17"/>
          <w:u w:val="single" w:color="auto"/>
          <w:color w:val="auto"/>
        </w:rPr>
        <w:t>Continued Compliance with Securities Laws</w:t>
      </w:r>
      <w:r>
        <w:rPr>
          <w:rFonts w:ascii="Arial" w:cs="Arial" w:eastAsia="Arial" w:hAnsi="Arial"/>
          <w:sz w:val="17"/>
          <w:szCs w:val="17"/>
          <w:color w:val="auto"/>
        </w:rPr>
        <w:t>. The Company will comply with the Securities Act and the Exchange Act so as to permit the completion of the distribution of the Securities as contemplated by this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the Registration Statement, the Time of Sale Prospectus and the Prospectus. Without limiting the generality of the foregoing, the Company will, during the period when a prospectus relating to the Securities is required by the Securities Act to be delivered (whether physically or through compliance with Rule 172 under the Securities Act or any similar rule), file on a timely basis with the Commission and the Nasdaq all reports and documents required to be filed under the Exchange Act.</w:t>
      </w:r>
    </w:p>
    <w:p>
      <w:pPr>
        <w:spacing w:after="0" w:line="176" w:lineRule="exact"/>
        <w:rPr>
          <w:rFonts w:ascii="Arial" w:cs="Arial" w:eastAsia="Arial" w:hAnsi="Arial"/>
          <w:sz w:val="17"/>
          <w:szCs w:val="17"/>
          <w:b w:val="1"/>
          <w:bCs w:val="1"/>
          <w:color w:val="auto"/>
        </w:rPr>
      </w:pPr>
    </w:p>
    <w:p>
      <w:pPr>
        <w:ind w:left="1520" w:hanging="216"/>
        <w:spacing w:after="0"/>
        <w:tabs>
          <w:tab w:leader="none" w:pos="1520" w:val="left"/>
        </w:tabs>
        <w:numPr>
          <w:ilvl w:val="0"/>
          <w:numId w:val="31"/>
        </w:numPr>
        <w:rPr>
          <w:rFonts w:ascii="Arial" w:cs="Arial" w:eastAsia="Arial" w:hAnsi="Arial"/>
          <w:sz w:val="18"/>
          <w:szCs w:val="18"/>
          <w:b w:val="1"/>
          <w:bCs w:val="1"/>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The Company will use its best efforts to list the Shares and the Warrant Shares on the Nasdaq.</w:t>
      </w:r>
    </w:p>
    <w:p>
      <w:pPr>
        <w:spacing w:after="0" w:line="225" w:lineRule="exact"/>
        <w:rPr>
          <w:rFonts w:ascii="Arial" w:cs="Arial" w:eastAsia="Arial" w:hAnsi="Arial"/>
          <w:sz w:val="18"/>
          <w:szCs w:val="18"/>
          <w:b w:val="1"/>
          <w:bCs w:val="1"/>
          <w:color w:val="auto"/>
        </w:rPr>
      </w:pPr>
    </w:p>
    <w:p>
      <w:pPr>
        <w:jc w:val="both"/>
        <w:ind w:firstLine="1304"/>
        <w:spacing w:after="0" w:line="268" w:lineRule="auto"/>
        <w:tabs>
          <w:tab w:leader="none" w:pos="1611" w:val="left"/>
        </w:tabs>
        <w:numPr>
          <w:ilvl w:val="0"/>
          <w:numId w:val="31"/>
        </w:numPr>
        <w:rPr>
          <w:rFonts w:ascii="Arial" w:cs="Arial" w:eastAsia="Arial" w:hAnsi="Arial"/>
          <w:sz w:val="17"/>
          <w:szCs w:val="17"/>
          <w:b w:val="1"/>
          <w:bCs w:val="1"/>
          <w:color w:val="auto"/>
        </w:rPr>
      </w:pPr>
      <w:r>
        <w:rPr>
          <w:rFonts w:ascii="Arial" w:cs="Arial" w:eastAsia="Arial" w:hAnsi="Arial"/>
          <w:sz w:val="17"/>
          <w:szCs w:val="17"/>
          <w:u w:val="single" w:color="auto"/>
          <w:color w:val="auto"/>
        </w:rPr>
        <w:t>Company to Provide Copy of the Prospectus in Form That May be Downloaded from the Internet</w:t>
      </w:r>
      <w:r>
        <w:rPr>
          <w:rFonts w:ascii="Arial" w:cs="Arial" w:eastAsia="Arial" w:hAnsi="Arial"/>
          <w:sz w:val="17"/>
          <w:szCs w:val="17"/>
          <w:color w:val="auto"/>
        </w:rPr>
        <w:t>. If requested by the Representative, the Company shall cause to be prepared and delivered, at its expense, within one Business Day from the effective date of this Agreement, to the Representative, an “</w:t>
      </w:r>
      <w:r>
        <w:rPr>
          <w:rFonts w:ascii="Arial" w:cs="Arial" w:eastAsia="Arial" w:hAnsi="Arial"/>
          <w:sz w:val="17"/>
          <w:szCs w:val="17"/>
          <w:b w:val="1"/>
          <w:bCs w:val="1"/>
          <w:color w:val="auto"/>
        </w:rPr>
        <w:t>electronic Prospectus</w:t>
      </w:r>
      <w:r>
        <w:rPr>
          <w:rFonts w:ascii="Arial" w:cs="Arial" w:eastAsia="Arial" w:hAnsi="Arial"/>
          <w:sz w:val="17"/>
          <w:szCs w:val="17"/>
          <w:color w:val="auto"/>
        </w:rPr>
        <w:t>” to be used by the Underwriters in connection with the offering and sale of the Securities. As used herein, the term “</w:t>
      </w:r>
      <w:r>
        <w:rPr>
          <w:rFonts w:ascii="Arial" w:cs="Arial" w:eastAsia="Arial" w:hAnsi="Arial"/>
          <w:sz w:val="17"/>
          <w:szCs w:val="17"/>
          <w:b w:val="1"/>
          <w:bCs w:val="1"/>
          <w:color w:val="auto"/>
        </w:rPr>
        <w:t>electronic Prospectus</w:t>
      </w:r>
      <w:r>
        <w:rPr>
          <w:rFonts w:ascii="Arial" w:cs="Arial" w:eastAsia="Arial" w:hAnsi="Arial"/>
          <w:sz w:val="17"/>
          <w:szCs w:val="17"/>
          <w:color w:val="auto"/>
        </w:rPr>
        <w:t>” means a form of Time of Sale Prospectus, and any amendment or supplement thereto, that meets each of the following conditions: (i) it shall be encoded in an electronic format, reasonably satisfactory to the Representative, that may be transmitted electronically by the Representative and the other Underwriters to offerees and purchasers of the Securities; (ii) it shall disclose the same information as the paper Time of Sale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 that will allow investors to store and have continuously ready access to the Time of Sale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Time of Sale Prospectus.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jc w:val="both"/>
        <w:ind w:firstLine="1304"/>
        <w:spacing w:after="0" w:line="283" w:lineRule="auto"/>
        <w:tabs>
          <w:tab w:leader="none" w:pos="1574" w:val="left"/>
        </w:tabs>
        <w:numPr>
          <w:ilvl w:val="1"/>
          <w:numId w:val="32"/>
        </w:numPr>
        <w:rPr>
          <w:rFonts w:ascii="Arial" w:cs="Arial" w:eastAsia="Arial" w:hAnsi="Arial"/>
          <w:sz w:val="16"/>
          <w:szCs w:val="16"/>
          <w:b w:val="1"/>
          <w:bCs w:val="1"/>
          <w:color w:val="auto"/>
        </w:rPr>
      </w:pPr>
      <w:r>
        <w:rPr>
          <w:rFonts w:ascii="Arial" w:cs="Arial" w:eastAsia="Arial" w:hAnsi="Arial"/>
          <w:sz w:val="16"/>
          <w:szCs w:val="16"/>
          <w:u w:val="single" w:color="auto"/>
          <w:color w:val="auto"/>
        </w:rPr>
        <w:t>Agreement Not to Offer or Sell Additional Shares</w:t>
      </w:r>
      <w:r>
        <w:rPr>
          <w:rFonts w:ascii="Arial" w:cs="Arial" w:eastAsia="Arial" w:hAnsi="Arial"/>
          <w:sz w:val="16"/>
          <w:szCs w:val="16"/>
          <w:color w:val="auto"/>
        </w:rPr>
        <w:t>. During the period commencing on and including the date hereof and continuing through and including the 90th day following the date of the Prospectus (such period, as extended as described below, being referred to herein as the “</w:t>
      </w:r>
      <w:r>
        <w:rPr>
          <w:rFonts w:ascii="Arial" w:cs="Arial" w:eastAsia="Arial" w:hAnsi="Arial"/>
          <w:sz w:val="16"/>
          <w:szCs w:val="16"/>
          <w:b w:val="1"/>
          <w:bCs w:val="1"/>
          <w:color w:val="auto"/>
        </w:rPr>
        <w:t>Lock-up Period</w:t>
      </w:r>
      <w:r>
        <w:rPr>
          <w:rFonts w:ascii="Arial" w:cs="Arial" w:eastAsia="Arial" w:hAnsi="Arial"/>
          <w:sz w:val="16"/>
          <w:szCs w:val="16"/>
          <w:color w:val="auto"/>
        </w:rPr>
        <w:t xml:space="preserve">”), the Company will not, without the prior written consent of the Representative (which consent may be withheld in its sole discretion), directly or indirectly: (i) sell, offer to sell, contract to sell or lend any Shares or Related Securities (as defined below); (ii) effect any short sale, or establish or increase any “put equivalent position” (as defined in Rule 16a-1(h) under the Exchange Act) or liquidate or decrease any “call equivalent position “ (as defined in Rule 16a-1(b) under the Exchange Act) of any Shares or Related Securities; (iii) pledge, hypothecate or grant any security interest in; (iv) in any other way transfer or dispose of any Shares or Related Securities; (v) enter into any swap, hedge or similar arrangement or agreement that transfers, in whole or in part, the economic risk of ownership of any Shares or Related Securities, regardless of whether any such transaction is to be settled in securities, in cash or otherwise; (vi) announce the offering of any Shares or Related Securities; (vii) file any registration statement under the Securities Act in respect of any Shares or Related Securities (other than as contemplated by this Agreement with respect to the Securities or a registration statement on Form S-4 and Form S-8); or (viii) publicly announce the intention to do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 (A) effect the transactions contemplated hereby, and (B) the issuance of Shares upon the exercise of options or warrants or the conversion of other outstanding convertible securities disclosed as outstanding, or expressly provided for, in the Registration Statement, the Time of Sale Prospectus or the Prospectus, (C) the issuance of employee stock options and the grant of restricted stock awards or restricted stock units or Shares pursuant to equity incentive plans described in the Registration Statement, the Time of Sale Prospectus, and the Prospectus, and the issuance of Shares upon the exercise of such awards or</w:t>
      </w:r>
    </w:p>
    <w:p>
      <w:pPr>
        <w:jc w:val="both"/>
        <w:ind w:firstLine="8"/>
        <w:spacing w:after="0" w:line="287" w:lineRule="auto"/>
        <w:tabs>
          <w:tab w:leader="none" w:pos="313"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issuance of Shares or any securities convertible into, or exercisable, or exchangeable for, Common Stock in connection with any acquisition or strategic investment (including any joint venture, strategic alliance or partnership) or in connection with any debt facility established by the Company, including with any commercial bank or venture debt lender, provided that in the case of clause (D), the aggregate number of shares of Common Stock that the Company may sell or issue pursuant to clause (D) shall not exceed 5% of the total number of shares of the Company’s Common Stock issued and outstanding immediately following the issuance and sale of the Firm Shares pursuant hereto and all recipients of shares of Common Stock or any security convertible into or exercisable for shares of Common Stock shall enter into a “lock-up” agreement substantially in the form of Exhibit A hereto. For purposes of the foregoing, “</w:t>
      </w:r>
      <w:r>
        <w:rPr>
          <w:rFonts w:ascii="Arial" w:cs="Arial" w:eastAsia="Arial" w:hAnsi="Arial"/>
          <w:sz w:val="16"/>
          <w:szCs w:val="16"/>
          <w:b w:val="1"/>
          <w:bCs w:val="1"/>
          <w:color w:val="auto"/>
        </w:rPr>
        <w:t>Related Securities</w:t>
      </w:r>
      <w:r>
        <w:rPr>
          <w:rFonts w:ascii="Arial" w:cs="Arial" w:eastAsia="Arial" w:hAnsi="Arial"/>
          <w:sz w:val="16"/>
          <w:szCs w:val="16"/>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169" w:lineRule="exact"/>
        <w:rPr>
          <w:rFonts w:ascii="Arial" w:cs="Arial" w:eastAsia="Arial" w:hAnsi="Arial"/>
          <w:sz w:val="16"/>
          <w:szCs w:val="16"/>
          <w:color w:val="auto"/>
        </w:rPr>
      </w:pPr>
    </w:p>
    <w:p>
      <w:pPr>
        <w:jc w:val="both"/>
        <w:ind w:firstLine="1304"/>
        <w:spacing w:after="0" w:line="263" w:lineRule="auto"/>
        <w:tabs>
          <w:tab w:leader="none" w:pos="1569" w:val="left"/>
        </w:tabs>
        <w:numPr>
          <w:ilvl w:val="1"/>
          <w:numId w:val="33"/>
        </w:numPr>
        <w:rPr>
          <w:rFonts w:ascii="Arial" w:cs="Arial" w:eastAsia="Arial" w:hAnsi="Arial"/>
          <w:sz w:val="18"/>
          <w:szCs w:val="18"/>
          <w:b w:val="1"/>
          <w:bCs w:val="1"/>
          <w:color w:val="auto"/>
        </w:rPr>
      </w:pPr>
      <w:r>
        <w:rPr>
          <w:rFonts w:ascii="Arial" w:cs="Arial" w:eastAsia="Arial" w:hAnsi="Arial"/>
          <w:sz w:val="18"/>
          <w:szCs w:val="18"/>
          <w:u w:val="single" w:color="auto"/>
          <w:color w:val="auto"/>
        </w:rPr>
        <w:t>Investment Limitation</w:t>
      </w:r>
      <w:r>
        <w:rPr>
          <w:rFonts w:ascii="Arial" w:cs="Arial" w:eastAsia="Arial" w:hAnsi="Arial"/>
          <w:sz w:val="18"/>
          <w:szCs w:val="18"/>
          <w:color w:val="auto"/>
        </w:rPr>
        <w:t>. The Company shall not invest or otherwise use the proceeds received by the Company from its sale of the Securities in such a manner as would require the Company or any of the Subsidiaries to register as an investment company under the Investment Company Act.</w:t>
      </w:r>
    </w:p>
    <w:p>
      <w:pPr>
        <w:spacing w:after="0" w:line="183" w:lineRule="exact"/>
        <w:rPr>
          <w:rFonts w:ascii="Arial" w:cs="Arial" w:eastAsia="Arial" w:hAnsi="Arial"/>
          <w:sz w:val="18"/>
          <w:szCs w:val="18"/>
          <w:b w:val="1"/>
          <w:bCs w:val="1"/>
          <w:color w:val="auto"/>
        </w:rPr>
      </w:pPr>
    </w:p>
    <w:p>
      <w:pPr>
        <w:jc w:val="both"/>
        <w:ind w:firstLine="1304"/>
        <w:spacing w:after="0" w:line="257" w:lineRule="auto"/>
        <w:tabs>
          <w:tab w:leader="none" w:pos="1565" w:val="left"/>
        </w:tabs>
        <w:numPr>
          <w:ilvl w:val="1"/>
          <w:numId w:val="33"/>
        </w:numPr>
        <w:rPr>
          <w:rFonts w:ascii="Arial" w:cs="Arial" w:eastAsia="Arial" w:hAnsi="Arial"/>
          <w:sz w:val="18"/>
          <w:szCs w:val="18"/>
          <w:b w:val="1"/>
          <w:bCs w:val="1"/>
          <w:color w:val="auto"/>
        </w:rPr>
      </w:pPr>
      <w:r>
        <w:rPr>
          <w:rFonts w:ascii="Arial" w:cs="Arial" w:eastAsia="Arial" w:hAnsi="Arial"/>
          <w:sz w:val="18"/>
          <w:szCs w:val="18"/>
          <w:u w:val="single" w:color="auto"/>
          <w:color w:val="auto"/>
        </w:rPr>
        <w:t>No Stabilization or Manipulation; Compliance with Regulation M</w:t>
      </w:r>
      <w:r>
        <w:rPr>
          <w:rFonts w:ascii="Arial" w:cs="Arial" w:eastAsia="Arial" w:hAnsi="Arial"/>
          <w:sz w:val="18"/>
          <w:szCs w:val="18"/>
          <w:color w:val="auto"/>
        </w:rPr>
        <w:t>. The Company will not take, and will ensure that no affiliate of the Company will take, directly or indirectly, without giving effect to activities by the Underwriters, any action designed to or that might cause or result in stabilization or manipulation of the price of the Securities or any reference security with respect to the Securities, whether to facilitate the sale or resale of the Offered Shares, Warrant Shares, Offered Warrants or otherwise, and the Company will, and shall cause each of its affiliates to, comply with all applicable provisions of Regulation 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jc w:val="both"/>
        <w:ind w:firstLine="1304"/>
        <w:spacing w:after="0" w:line="293" w:lineRule="auto"/>
        <w:tabs>
          <w:tab w:leader="none" w:pos="1585" w:val="left"/>
        </w:tabs>
        <w:numPr>
          <w:ilvl w:val="0"/>
          <w:numId w:val="34"/>
        </w:numPr>
        <w:rPr>
          <w:rFonts w:ascii="Arial" w:cs="Arial" w:eastAsia="Arial" w:hAnsi="Arial"/>
          <w:sz w:val="16"/>
          <w:szCs w:val="16"/>
          <w:b w:val="1"/>
          <w:bCs w:val="1"/>
          <w:color w:val="auto"/>
        </w:rPr>
      </w:pPr>
      <w:r>
        <w:rPr>
          <w:rFonts w:ascii="Arial" w:cs="Arial" w:eastAsia="Arial" w:hAnsi="Arial"/>
          <w:sz w:val="16"/>
          <w:szCs w:val="16"/>
          <w:u w:val="single" w:color="auto"/>
          <w:color w:val="auto"/>
        </w:rPr>
        <w:t>Offered Warrants</w:t>
      </w:r>
      <w:r>
        <w:rPr>
          <w:rFonts w:ascii="Arial" w:cs="Arial" w:eastAsia="Arial" w:hAnsi="Arial"/>
          <w:sz w:val="16"/>
          <w:szCs w:val="16"/>
          <w:color w:val="auto"/>
        </w:rPr>
        <w:t>. The Company shall, at all times while any Offered Warrants are outstanding, use its reasonable best efforts to maintain a registration statement covering the issue and sale of the Warrant Shares upon exercise of the Offered Warrants such that the Warrant Shares, when issued, will not be subject to resale restrictions under the Securities Act except to the extent that the Warrant Shares are owned by affiliates. The Company shall, at all times while any Offered Warrants are outstanding, reserve and keep available out of the aggregate of its authorized but unissued and otherwise unreserved Shares, solely for the purpose of enabling it to issue Warrant Shares upon exercise of such Offered Warrants, the number of Warrant Shares that are initially issuable and deliverable upon the exercise of the then-outstanding Offered Warrants.</w:t>
      </w:r>
    </w:p>
    <w:p>
      <w:pPr>
        <w:spacing w:after="0" w:line="164" w:lineRule="exact"/>
        <w:rPr>
          <w:rFonts w:ascii="Arial" w:cs="Arial" w:eastAsia="Arial" w:hAnsi="Arial"/>
          <w:sz w:val="16"/>
          <w:szCs w:val="16"/>
          <w:b w:val="1"/>
          <w:bCs w:val="1"/>
          <w:color w:val="auto"/>
        </w:rPr>
      </w:pPr>
    </w:p>
    <w:p>
      <w:pPr>
        <w:ind w:left="1540" w:hanging="236"/>
        <w:spacing w:after="0"/>
        <w:tabs>
          <w:tab w:leader="none" w:pos="1540" w:val="left"/>
        </w:tabs>
        <w:numPr>
          <w:ilvl w:val="0"/>
          <w:numId w:val="34"/>
        </w:numPr>
        <w:rPr>
          <w:rFonts w:ascii="Arial" w:cs="Arial" w:eastAsia="Arial" w:hAnsi="Arial"/>
          <w:sz w:val="18"/>
          <w:szCs w:val="18"/>
          <w:b w:val="1"/>
          <w:bCs w:val="1"/>
          <w:color w:val="auto"/>
        </w:rPr>
      </w:pPr>
      <w:r>
        <w:rPr>
          <w:rFonts w:ascii="Arial" w:cs="Arial" w:eastAsia="Arial" w:hAnsi="Arial"/>
          <w:sz w:val="18"/>
          <w:szCs w:val="18"/>
          <w:u w:val="single" w:color="auto"/>
          <w:color w:val="auto"/>
        </w:rPr>
        <w:t>Sanctions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firstLine="1952"/>
        <w:spacing w:after="0" w:line="342" w:lineRule="auto"/>
        <w:tabs>
          <w:tab w:leader="none" w:pos="2167"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Company and each of the Subsidiaries covenants that it will not, directly or indirectly, use the proceeds of the offering and sale of the Shares, or lend, contribute or otherwise make available such proceeds to any subsidiary, joint venture partner or other Person:</w:t>
      </w:r>
    </w:p>
    <w:p>
      <w:pPr>
        <w:spacing w:after="0" w:line="123" w:lineRule="exact"/>
        <w:rPr>
          <w:rFonts w:ascii="Arial" w:cs="Arial" w:eastAsia="Arial" w:hAnsi="Arial"/>
          <w:sz w:val="16"/>
          <w:szCs w:val="16"/>
          <w:color w:val="auto"/>
        </w:rPr>
      </w:pPr>
    </w:p>
    <w:p>
      <w:pPr>
        <w:ind w:left="660" w:firstLine="1940"/>
        <w:spacing w:after="0" w:line="277" w:lineRule="auto"/>
        <w:tabs>
          <w:tab w:leader="none" w:pos="2901" w:val="left"/>
        </w:tabs>
        <w:numPr>
          <w:ilvl w:val="2"/>
          <w:numId w:val="34"/>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 is a Sanctioned Country; or</w:t>
      </w:r>
    </w:p>
    <w:p>
      <w:pPr>
        <w:spacing w:after="0" w:line="170" w:lineRule="exact"/>
        <w:rPr>
          <w:rFonts w:ascii="Arial" w:cs="Arial" w:eastAsia="Arial" w:hAnsi="Arial"/>
          <w:sz w:val="18"/>
          <w:szCs w:val="18"/>
          <w:color w:val="auto"/>
        </w:rPr>
      </w:pPr>
    </w:p>
    <w:p>
      <w:pPr>
        <w:ind w:left="660" w:firstLine="1940"/>
        <w:spacing w:after="0" w:line="277" w:lineRule="auto"/>
        <w:tabs>
          <w:tab w:leader="none" w:pos="2892" w:val="left"/>
        </w:tabs>
        <w:numPr>
          <w:ilvl w:val="2"/>
          <w:numId w:val="34"/>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170" w:lineRule="exact"/>
        <w:rPr>
          <w:rFonts w:ascii="Arial" w:cs="Arial" w:eastAsia="Arial" w:hAnsi="Arial"/>
          <w:sz w:val="18"/>
          <w:szCs w:val="18"/>
          <w:color w:val="auto"/>
        </w:rPr>
      </w:pPr>
    </w:p>
    <w:p>
      <w:pPr>
        <w:ind w:firstLine="1952"/>
        <w:spacing w:after="0" w:line="277" w:lineRule="auto"/>
        <w:tabs>
          <w:tab w:leader="none" w:pos="22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Company will not engage in any dealings or transactions with any Person, or in any country or territory, that at the time of the dealing or transaction is the subject of Sanctions or is a Sanctioned Country.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Representative, on behalf of the several Underwriters, may, in its sole discretion, waive in writing the performance by the Company of any one or more of the foregoing covenants or extend the time for their performance.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 w:name="page36"/>
    <w:bookmarkEnd w:id="35"/>
    <w:p>
      <w:pPr>
        <w:jc w:val="both"/>
        <w:ind w:firstLine="656"/>
        <w:spacing w:after="0" w:line="285" w:lineRule="auto"/>
        <w:tabs>
          <w:tab w:leader="none" w:pos="839"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Payment of Expenses</w:t>
      </w:r>
      <w:r>
        <w:rPr>
          <w:rFonts w:ascii="Arial" w:cs="Arial" w:eastAsia="Arial" w:hAnsi="Arial"/>
          <w:sz w:val="16"/>
          <w:szCs w:val="16"/>
          <w:color w:val="auto"/>
        </w:rPr>
        <w:t>. The Company agrees to pay all costs, fees and expenses incurred in connection with the performance of its obligations hereunder and in connection with the transactions contemplated hereby, including (i) all expenses incident to the issuance and delivery of the Securities (including all printing and engraving costs); (ii) all fees and expenses of the registrar and transfer agent of the Shares; (iii) all necessary issue, transfer and other stamp taxes in connection with the issuance and sale of the Securities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 and each preliminary prospectus, , and all amendments and supplements thereto, and this Agreement; (vi) all filing fees, attorneys’ fees and expenses incurred by the Company in connection with qualifying or registering (or obtaining exemptions from the qualification or registration of) all or any part of the Securities for offer and sale under the state securities or blue sky Laws or the provincial securities Laws of Canada,; (vii) the costs, fees and expenses incurred by the Underwriters in connection with the rules and regulations of FINRA related to the Underwriters’ participation in the offering and distribution of the Securities, including any related filing fees and the legal fees of, and disbursements by, counsel to the Underwriters, subject to the cap set forth in clause (ix); (viii) the costs and expenses of the Company relating to investor presentations on any “road show,”, including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employees and officers of the Company and any such consultants; (ix) the fees and disbursements of counsel for the Underwriters, in an amount not to exceed $100,000, and an additional amount up to $10,000 for counsel fees related to FINRA clearance of the offering of the Securities; and (xi) all other fees, costs and expenses of the nature referred to in Item 13 of Part II of the Registration Statement. Any such amount payable to the Underwriters may be deducted from the purchase price for the Securities. Except as provided in this Section 4 or in Section 7, Section 9 or Section 10, the Underwriters shall pay their own expenses, including the fees and disbursements of their counsel.</w:t>
      </w:r>
    </w:p>
    <w:p>
      <w:pPr>
        <w:spacing w:after="0" w:line="168" w:lineRule="exact"/>
        <w:rPr>
          <w:rFonts w:ascii="Arial" w:cs="Arial" w:eastAsia="Arial" w:hAnsi="Arial"/>
          <w:sz w:val="16"/>
          <w:szCs w:val="16"/>
          <w:color w:val="auto"/>
        </w:rPr>
      </w:pPr>
    </w:p>
    <w:p>
      <w:pPr>
        <w:jc w:val="both"/>
        <w:ind w:firstLine="656"/>
        <w:spacing w:after="0" w:line="286" w:lineRule="auto"/>
        <w:tabs>
          <w:tab w:leader="none" w:pos="833"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Covenant of the Underwriters</w:t>
      </w:r>
      <w:r>
        <w:rPr>
          <w:rFonts w:ascii="Arial" w:cs="Arial" w:eastAsia="Arial" w:hAnsi="Arial"/>
          <w:sz w:val="17"/>
          <w:szCs w:val="17"/>
          <w:color w:val="auto"/>
        </w:rPr>
        <w:t>. Each Underwriter severally and not jointly covenants with the Company not to take any 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165" w:lineRule="exact"/>
        <w:rPr>
          <w:rFonts w:ascii="Arial" w:cs="Arial" w:eastAsia="Arial" w:hAnsi="Arial"/>
          <w:sz w:val="17"/>
          <w:szCs w:val="17"/>
          <w:color w:val="auto"/>
        </w:rPr>
      </w:pPr>
    </w:p>
    <w:p>
      <w:pPr>
        <w:jc w:val="both"/>
        <w:ind w:firstLine="656"/>
        <w:spacing w:after="0" w:line="255" w:lineRule="auto"/>
        <w:tabs>
          <w:tab w:leader="none" w:pos="831"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Conditions of the Obligations of the Underwriters</w:t>
      </w:r>
      <w:r>
        <w:rPr>
          <w:rFonts w:ascii="Arial" w:cs="Arial" w:eastAsia="Arial" w:hAnsi="Arial"/>
          <w:sz w:val="18"/>
          <w:szCs w:val="18"/>
          <w:color w:val="auto"/>
        </w:rPr>
        <w:t>. The respective obligations of the several Underwriters hereunder to purchase and pay for the Firm Shares and the Firm Warrants as provided herein on the First Closing Date and, with respect to the Option Shares and Option Warrants, each Option Closing Date, shall be subject to the accuracy of the representations and warranties on the part of the Company set forth in Section 1 as of the date hereof and as of the First Closing Date as though then made and, with respect to the Option Shares and the Option Warrants, as of each Option Closing Date as though then made, to the timely performance by the Company of its covenants and other obligations hereunder, and to each of the following additional conditions:</w:t>
      </w:r>
    </w:p>
    <w:p>
      <w:pPr>
        <w:spacing w:after="0" w:line="192" w:lineRule="exact"/>
        <w:rPr>
          <w:rFonts w:ascii="Arial" w:cs="Arial" w:eastAsia="Arial" w:hAnsi="Arial"/>
          <w:sz w:val="18"/>
          <w:szCs w:val="18"/>
          <w:color w:val="auto"/>
        </w:rPr>
      </w:pPr>
    </w:p>
    <w:p>
      <w:pPr>
        <w:jc w:val="both"/>
        <w:ind w:firstLine="1304"/>
        <w:spacing w:after="0" w:line="275" w:lineRule="auto"/>
        <w:tabs>
          <w:tab w:leader="none" w:pos="1559" w:val="left"/>
        </w:tabs>
        <w:numPr>
          <w:ilvl w:val="1"/>
          <w:numId w:val="35"/>
        </w:numPr>
        <w:rPr>
          <w:rFonts w:ascii="Arial" w:cs="Arial" w:eastAsia="Arial" w:hAnsi="Arial"/>
          <w:sz w:val="17"/>
          <w:szCs w:val="17"/>
          <w:b w:val="1"/>
          <w:bCs w:val="1"/>
          <w:color w:val="auto"/>
        </w:rPr>
      </w:pPr>
      <w:r>
        <w:rPr>
          <w:rFonts w:ascii="Arial" w:cs="Arial" w:eastAsia="Arial" w:hAnsi="Arial"/>
          <w:sz w:val="17"/>
          <w:szCs w:val="17"/>
          <w:u w:val="single" w:color="auto"/>
          <w:color w:val="auto"/>
        </w:rPr>
        <w:t>Comfort Letter</w:t>
      </w:r>
      <w:r>
        <w:rPr>
          <w:rFonts w:ascii="Arial" w:cs="Arial" w:eastAsia="Arial" w:hAnsi="Arial"/>
          <w:sz w:val="17"/>
          <w:szCs w:val="17"/>
          <w:color w:val="auto"/>
        </w:rPr>
        <w:t>. On the date hereof, the Representative shall receive from BDO USA LLP, independent registered public accountants for the Company, a letter dated the date hereof addressed to the Underwriters, in form and substance satisfactory to the Representative,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jc w:val="both"/>
        <w:ind w:firstLine="1304"/>
        <w:spacing w:after="0" w:line="263" w:lineRule="auto"/>
        <w:tabs>
          <w:tab w:leader="none" w:pos="1566" w:val="left"/>
        </w:tabs>
        <w:numPr>
          <w:ilvl w:val="0"/>
          <w:numId w:val="36"/>
        </w:numPr>
        <w:rPr>
          <w:rFonts w:ascii="Arial" w:cs="Arial" w:eastAsia="Arial" w:hAnsi="Arial"/>
          <w:sz w:val="18"/>
          <w:szCs w:val="18"/>
          <w:b w:val="1"/>
          <w:bCs w:val="1"/>
          <w:color w:val="auto"/>
        </w:rPr>
      </w:pPr>
      <w:r>
        <w:rPr>
          <w:rFonts w:ascii="Arial" w:cs="Arial" w:eastAsia="Arial" w:hAnsi="Arial"/>
          <w:sz w:val="18"/>
          <w:szCs w:val="18"/>
          <w:u w:val="single" w:color="auto"/>
          <w:color w:val="auto"/>
        </w:rPr>
        <w:t>Compliance with Registration Requirements; No Stop Order; No Objection from FINRA</w:t>
      </w:r>
      <w:r>
        <w:rPr>
          <w:rFonts w:ascii="Arial" w:cs="Arial" w:eastAsia="Arial" w:hAnsi="Arial"/>
          <w:sz w:val="18"/>
          <w:szCs w:val="18"/>
          <w:color w:val="auto"/>
        </w:rPr>
        <w:t>. For a period from and after the date of this Agreement and through and including the First Closing Date and, with respect to any Option Shares and/or Option Warrants purchased after the First Closing Date, each Option Closing Date:</w:t>
      </w:r>
    </w:p>
    <w:p>
      <w:pPr>
        <w:spacing w:after="0" w:line="183" w:lineRule="exact"/>
        <w:rPr>
          <w:rFonts w:ascii="Arial" w:cs="Arial" w:eastAsia="Arial" w:hAnsi="Arial"/>
          <w:sz w:val="18"/>
          <w:szCs w:val="18"/>
          <w:b w:val="1"/>
          <w:bCs w:val="1"/>
          <w:color w:val="auto"/>
        </w:rPr>
      </w:pPr>
    </w:p>
    <w:p>
      <w:pPr>
        <w:jc w:val="both"/>
        <w:ind w:firstLine="1952"/>
        <w:spacing w:after="0" w:line="259" w:lineRule="auto"/>
        <w:tabs>
          <w:tab w:leader="none" w:pos="216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Company shall have filed the Prospectus with the Commission (including the information required by Rule 430A under the Securities Act) in the manner and within the time period required by Rule 424(b) under the Securities Act; or the Company shall have filed a post-effective amendment to the Registration Statement containing the information required by such Rule 430A, and such post-effective amendment shall have become effective.</w:t>
      </w:r>
    </w:p>
    <w:p>
      <w:pPr>
        <w:spacing w:after="0" w:line="186" w:lineRule="exact"/>
        <w:rPr>
          <w:rFonts w:ascii="Arial" w:cs="Arial" w:eastAsia="Arial" w:hAnsi="Arial"/>
          <w:sz w:val="18"/>
          <w:szCs w:val="18"/>
          <w:color w:val="auto"/>
        </w:rPr>
      </w:pPr>
    </w:p>
    <w:p>
      <w:pPr>
        <w:ind w:firstLine="1952"/>
        <w:spacing w:after="0" w:line="308" w:lineRule="auto"/>
        <w:tabs>
          <w:tab w:leader="none" w:pos="2266" w:val="left"/>
        </w:tabs>
        <w:numPr>
          <w:ilvl w:val="1"/>
          <w:numId w:val="36"/>
        </w:numPr>
        <w:rPr>
          <w:rFonts w:ascii="Arial" w:cs="Arial" w:eastAsia="Arial" w:hAnsi="Arial"/>
          <w:sz w:val="17"/>
          <w:szCs w:val="17"/>
          <w:color w:val="auto"/>
        </w:rPr>
      </w:pPr>
      <w:r>
        <w:rPr>
          <w:rFonts w:ascii="Arial" w:cs="Arial" w:eastAsia="Arial" w:hAnsi="Arial"/>
          <w:sz w:val="17"/>
          <w:szCs w:val="17"/>
          <w:color w:val="auto"/>
        </w:rPr>
        <w:t>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146" w:lineRule="exact"/>
        <w:rPr>
          <w:rFonts w:ascii="Arial" w:cs="Arial" w:eastAsia="Arial" w:hAnsi="Arial"/>
          <w:sz w:val="17"/>
          <w:szCs w:val="17"/>
          <w:color w:val="auto"/>
        </w:rPr>
      </w:pPr>
    </w:p>
    <w:p>
      <w:pPr>
        <w:ind w:left="2260" w:hanging="308"/>
        <w:spacing w:after="0"/>
        <w:tabs>
          <w:tab w:leader="none" w:pos="22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FINRA shall have raised no objection to the fairness and reasonableness of the underwriting terms and arrangements.</w:t>
      </w:r>
    </w:p>
    <w:p>
      <w:pPr>
        <w:spacing w:after="0" w:line="236" w:lineRule="exact"/>
        <w:rPr>
          <w:rFonts w:ascii="Arial" w:cs="Arial" w:eastAsia="Arial" w:hAnsi="Arial"/>
          <w:sz w:val="17"/>
          <w:szCs w:val="17"/>
          <w:color w:val="auto"/>
        </w:rPr>
      </w:pPr>
    </w:p>
    <w:p>
      <w:pPr>
        <w:jc w:val="both"/>
        <w:ind w:firstLine="1304"/>
        <w:spacing w:after="0" w:line="254" w:lineRule="auto"/>
        <w:tabs>
          <w:tab w:leader="none" w:pos="1558" w:val="left"/>
        </w:tabs>
        <w:numPr>
          <w:ilvl w:val="0"/>
          <w:numId w:val="36"/>
        </w:numPr>
        <w:rPr>
          <w:rFonts w:ascii="Arial" w:cs="Arial" w:eastAsia="Arial" w:hAnsi="Arial"/>
          <w:sz w:val="18"/>
          <w:szCs w:val="18"/>
          <w:b w:val="1"/>
          <w:bCs w:val="1"/>
          <w:color w:val="auto"/>
        </w:rPr>
      </w:pPr>
      <w:r>
        <w:rPr>
          <w:rFonts w:ascii="Arial" w:cs="Arial" w:eastAsia="Arial" w:hAnsi="Arial"/>
          <w:sz w:val="18"/>
          <w:szCs w:val="18"/>
          <w:u w:val="single" w:color="auto"/>
          <w:color w:val="auto"/>
        </w:rPr>
        <w:t>No Material Adverse Effect or Ratings Agency Change</w:t>
      </w:r>
      <w:r>
        <w:rPr>
          <w:rFonts w:ascii="Arial" w:cs="Arial" w:eastAsia="Arial" w:hAnsi="Arial"/>
          <w:sz w:val="18"/>
          <w:szCs w:val="18"/>
          <w:color w:val="auto"/>
        </w:rPr>
        <w:t>. For the period from and after the date of this Agreement and through and including the First Closing Date and, with respect to any Option Shares and/or Option Warrants purchased after the First Closing Date, each Option Closing Date, in the judgment of the Representative there shall not have occurred any material adverse change in the authorized capital stock of the Company or any Material Adverse Effect or any development that could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w:t>
      </w:r>
    </w:p>
    <w:p>
      <w:pPr>
        <w:spacing w:after="0" w:line="194" w:lineRule="exact"/>
        <w:rPr>
          <w:rFonts w:ascii="Arial" w:cs="Arial" w:eastAsia="Arial" w:hAnsi="Arial"/>
          <w:sz w:val="18"/>
          <w:szCs w:val="18"/>
          <w:b w:val="1"/>
          <w:bCs w:val="1"/>
          <w:color w:val="auto"/>
        </w:rPr>
      </w:pPr>
    </w:p>
    <w:p>
      <w:pPr>
        <w:jc w:val="both"/>
        <w:ind w:firstLine="1304"/>
        <w:spacing w:after="0" w:line="263" w:lineRule="auto"/>
        <w:tabs>
          <w:tab w:leader="none" w:pos="1566" w:val="left"/>
        </w:tabs>
        <w:numPr>
          <w:ilvl w:val="0"/>
          <w:numId w:val="36"/>
        </w:numPr>
        <w:rPr>
          <w:rFonts w:ascii="Arial" w:cs="Arial" w:eastAsia="Arial" w:hAnsi="Arial"/>
          <w:sz w:val="18"/>
          <w:szCs w:val="18"/>
          <w:b w:val="1"/>
          <w:bCs w:val="1"/>
          <w:color w:val="auto"/>
        </w:rPr>
      </w:pPr>
      <w:r>
        <w:rPr>
          <w:rFonts w:ascii="Arial" w:cs="Arial" w:eastAsia="Arial" w:hAnsi="Arial"/>
          <w:sz w:val="18"/>
          <w:szCs w:val="18"/>
          <w:u w:val="single" w:color="auto"/>
          <w:color w:val="auto"/>
        </w:rPr>
        <w:t>Lock-Up Agreements</w:t>
      </w:r>
      <w:r>
        <w:rPr>
          <w:rFonts w:ascii="Arial" w:cs="Arial" w:eastAsia="Arial" w:hAnsi="Arial"/>
          <w:sz w:val="18"/>
          <w:szCs w:val="18"/>
          <w:color w:val="auto"/>
        </w:rPr>
        <w:t xml:space="preserve">. On or prior to the First Closing Date, the Company shall have furnished to the Representative an agreement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from each director and officer set forth on Exhibit B hereto and each such agreement shall be in full force and effect on each of the First Closing Date and each Option Closing Date.</w:t>
      </w:r>
    </w:p>
    <w:p>
      <w:pPr>
        <w:spacing w:after="0" w:line="183" w:lineRule="exact"/>
        <w:rPr>
          <w:rFonts w:ascii="Arial" w:cs="Arial" w:eastAsia="Arial" w:hAnsi="Arial"/>
          <w:sz w:val="18"/>
          <w:szCs w:val="18"/>
          <w:b w:val="1"/>
          <w:bCs w:val="1"/>
          <w:color w:val="auto"/>
        </w:rPr>
      </w:pPr>
    </w:p>
    <w:p>
      <w:pPr>
        <w:jc w:val="both"/>
        <w:ind w:firstLine="1304"/>
        <w:spacing w:after="0" w:line="263" w:lineRule="auto"/>
        <w:tabs>
          <w:tab w:leader="none" w:pos="1547" w:val="left"/>
        </w:tabs>
        <w:numPr>
          <w:ilvl w:val="0"/>
          <w:numId w:val="36"/>
        </w:numPr>
        <w:rPr>
          <w:rFonts w:ascii="Arial" w:cs="Arial" w:eastAsia="Arial" w:hAnsi="Arial"/>
          <w:sz w:val="18"/>
          <w:szCs w:val="18"/>
          <w:b w:val="1"/>
          <w:bCs w:val="1"/>
          <w:color w:val="auto"/>
        </w:rPr>
      </w:pPr>
      <w:r>
        <w:rPr>
          <w:rFonts w:ascii="Arial" w:cs="Arial" w:eastAsia="Arial" w:hAnsi="Arial"/>
          <w:sz w:val="18"/>
          <w:szCs w:val="18"/>
          <w:u w:val="single" w:color="auto"/>
          <w:color w:val="auto"/>
        </w:rPr>
        <w:t>Opinion of Counsel for the Company</w:t>
      </w:r>
      <w:r>
        <w:rPr>
          <w:rFonts w:ascii="Arial" w:cs="Arial" w:eastAsia="Arial" w:hAnsi="Arial"/>
          <w:sz w:val="18"/>
          <w:szCs w:val="18"/>
          <w:color w:val="auto"/>
        </w:rPr>
        <w:t>. On each of the First Closing Date and each Option Closing Date the Representative shall have received the opinion and negative assurance letter of Lowenstein Sandler LLP, counsel for the Company, dated as of such date, in form and substance reasonably satisfactory to the Representative.</w:t>
      </w:r>
    </w:p>
    <w:p>
      <w:pPr>
        <w:spacing w:after="0" w:line="183" w:lineRule="exact"/>
        <w:rPr>
          <w:rFonts w:ascii="Arial" w:cs="Arial" w:eastAsia="Arial" w:hAnsi="Arial"/>
          <w:sz w:val="18"/>
          <w:szCs w:val="18"/>
          <w:b w:val="1"/>
          <w:bCs w:val="1"/>
          <w:color w:val="auto"/>
        </w:rPr>
      </w:pPr>
    </w:p>
    <w:p>
      <w:pPr>
        <w:jc w:val="both"/>
        <w:ind w:firstLine="1304"/>
        <w:spacing w:after="0" w:line="263" w:lineRule="auto"/>
        <w:tabs>
          <w:tab w:leader="none" w:pos="1535" w:val="left"/>
        </w:tabs>
        <w:numPr>
          <w:ilvl w:val="0"/>
          <w:numId w:val="36"/>
        </w:numPr>
        <w:rPr>
          <w:rFonts w:ascii="Arial" w:cs="Arial" w:eastAsia="Arial" w:hAnsi="Arial"/>
          <w:sz w:val="18"/>
          <w:szCs w:val="18"/>
          <w:b w:val="1"/>
          <w:bCs w:val="1"/>
          <w:color w:val="auto"/>
        </w:rPr>
      </w:pPr>
      <w:r>
        <w:rPr>
          <w:rFonts w:ascii="Arial" w:cs="Arial" w:eastAsia="Arial" w:hAnsi="Arial"/>
          <w:sz w:val="18"/>
          <w:szCs w:val="18"/>
          <w:u w:val="single" w:color="auto"/>
          <w:color w:val="auto"/>
        </w:rPr>
        <w:t>Opinion of Counsel for the Underwriters</w:t>
      </w:r>
      <w:r>
        <w:rPr>
          <w:rFonts w:ascii="Arial" w:cs="Arial" w:eastAsia="Arial" w:hAnsi="Arial"/>
          <w:sz w:val="18"/>
          <w:szCs w:val="18"/>
          <w:color w:val="auto"/>
        </w:rPr>
        <w:t>. On each of the First Closing Date and each Option Closing Date the Representative shall have received the opinion and negative assurance letter of Duane Morris LLP, counsel for the Underwriters in connection with the offer and sale of the Securities, in form and substance satisfactory to the Representative, dated as of such date.</w:t>
      </w:r>
    </w:p>
    <w:p>
      <w:pPr>
        <w:spacing w:after="0" w:line="183" w:lineRule="exact"/>
        <w:rPr>
          <w:rFonts w:ascii="Arial" w:cs="Arial" w:eastAsia="Arial" w:hAnsi="Arial"/>
          <w:sz w:val="18"/>
          <w:szCs w:val="18"/>
          <w:b w:val="1"/>
          <w:bCs w:val="1"/>
          <w:color w:val="auto"/>
        </w:rPr>
      </w:pPr>
    </w:p>
    <w:p>
      <w:pPr>
        <w:jc w:val="both"/>
        <w:ind w:firstLine="1304"/>
        <w:spacing w:after="0" w:line="263" w:lineRule="auto"/>
        <w:tabs>
          <w:tab w:leader="none" w:pos="1578" w:val="left"/>
        </w:tabs>
        <w:numPr>
          <w:ilvl w:val="0"/>
          <w:numId w:val="36"/>
        </w:numPr>
        <w:rPr>
          <w:rFonts w:ascii="Arial" w:cs="Arial" w:eastAsia="Arial" w:hAnsi="Arial"/>
          <w:sz w:val="18"/>
          <w:szCs w:val="18"/>
          <w:b w:val="1"/>
          <w:bCs w:val="1"/>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On each of the First Closing Date and each Option Closing Date, the Representative shall have received a certificate executed by the Chief Executive Officer or President of the Company and the Chief Financial Officer of the Company, dated as of such date, to the effect set forth in Section 6(b)(ii) and further to the effect that:</w:t>
      </w:r>
    </w:p>
    <w:p>
      <w:pPr>
        <w:spacing w:after="0" w:line="183" w:lineRule="exact"/>
        <w:rPr>
          <w:rFonts w:ascii="Arial" w:cs="Arial" w:eastAsia="Arial" w:hAnsi="Arial"/>
          <w:sz w:val="18"/>
          <w:szCs w:val="18"/>
          <w:b w:val="1"/>
          <w:bCs w:val="1"/>
          <w:color w:val="auto"/>
        </w:rPr>
      </w:pPr>
    </w:p>
    <w:p>
      <w:pPr>
        <w:ind w:left="2180" w:hanging="228"/>
        <w:spacing w:after="0"/>
        <w:tabs>
          <w:tab w:leader="none" w:pos="21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for the period from and including the date of this Agreement through and including such date, there has not occurred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Material Adverse Effect;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 w:name="page38"/>
    <w:bookmarkEnd w:id="37"/>
    <w:p>
      <w:pPr>
        <w:ind w:firstLine="1952"/>
        <w:spacing w:after="0" w:line="277" w:lineRule="auto"/>
        <w:tabs>
          <w:tab w:leader="none" w:pos="2214"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representations, warranties and covenants of the Company set forth in Section 1 are true and correct with the same force and effect as though expressly made on and as of such date; and</w:t>
      </w:r>
    </w:p>
    <w:p>
      <w:pPr>
        <w:spacing w:after="0" w:line="170" w:lineRule="exact"/>
        <w:rPr>
          <w:rFonts w:ascii="Arial" w:cs="Arial" w:eastAsia="Arial" w:hAnsi="Arial"/>
          <w:sz w:val="18"/>
          <w:szCs w:val="18"/>
          <w:color w:val="auto"/>
        </w:rPr>
      </w:pPr>
    </w:p>
    <w:p>
      <w:pPr>
        <w:ind w:firstLine="1952"/>
        <w:spacing w:after="0" w:line="277" w:lineRule="auto"/>
        <w:tabs>
          <w:tab w:leader="none" w:pos="2265"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Company has complied with all the agreements hereunder and satisfied all the conditions on its part to be performed or satisfied hereunder at or prior to such date.</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b w:val="1"/>
          <w:bCs w:val="1"/>
          <w:color w:val="auto"/>
        </w:rPr>
      </w:pPr>
    </w:p>
    <w:p>
      <w:pPr>
        <w:jc w:val="both"/>
        <w:ind w:firstLine="1304"/>
        <w:spacing w:after="0" w:line="255" w:lineRule="auto"/>
        <w:tabs>
          <w:tab w:leader="none" w:pos="1521" w:val="left"/>
        </w:tabs>
        <w:numPr>
          <w:ilvl w:val="0"/>
          <w:numId w:val="38"/>
        </w:numPr>
        <w:rPr>
          <w:rFonts w:ascii="Arial" w:cs="Arial" w:eastAsia="Arial" w:hAnsi="Arial"/>
          <w:sz w:val="18"/>
          <w:szCs w:val="18"/>
          <w:b w:val="1"/>
          <w:bCs w:val="1"/>
          <w:color w:val="auto"/>
        </w:rPr>
      </w:pPr>
      <w:r>
        <w:rPr>
          <w:rFonts w:ascii="Arial" w:cs="Arial" w:eastAsia="Arial" w:hAnsi="Arial"/>
          <w:sz w:val="18"/>
          <w:szCs w:val="18"/>
          <w:u w:val="single" w:color="auto"/>
          <w:color w:val="auto"/>
        </w:rPr>
        <w:t>Bring-down Comfort Letter</w:t>
      </w:r>
      <w:r>
        <w:rPr>
          <w:rFonts w:ascii="Arial" w:cs="Arial" w:eastAsia="Arial" w:hAnsi="Arial"/>
          <w:sz w:val="18"/>
          <w:szCs w:val="18"/>
          <w:color w:val="auto"/>
        </w:rPr>
        <w:t>. On each of the First Closing Date and each Option Closing Date the Representative shall have received from BDO USA LLP, independent registered public accountants for the Company, a letter dated such date, in form and substance reasonably satisfactory to the Representative,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Registration Statement, the Time of Sale Prospectus, Prospectus, and each free writing prospectus, if any.</w:t>
      </w:r>
    </w:p>
    <w:p>
      <w:pPr>
        <w:spacing w:after="0" w:line="192" w:lineRule="exact"/>
        <w:rPr>
          <w:rFonts w:ascii="Arial" w:cs="Arial" w:eastAsia="Arial" w:hAnsi="Arial"/>
          <w:sz w:val="18"/>
          <w:szCs w:val="18"/>
          <w:b w:val="1"/>
          <w:bCs w:val="1"/>
          <w:color w:val="auto"/>
        </w:rPr>
      </w:pPr>
    </w:p>
    <w:p>
      <w:pPr>
        <w:jc w:val="both"/>
        <w:ind w:firstLine="1304"/>
        <w:spacing w:after="0" w:line="263" w:lineRule="auto"/>
        <w:tabs>
          <w:tab w:leader="none" w:pos="1539" w:val="left"/>
        </w:tabs>
        <w:numPr>
          <w:ilvl w:val="0"/>
          <w:numId w:val="38"/>
        </w:numPr>
        <w:rPr>
          <w:rFonts w:ascii="Arial" w:cs="Arial" w:eastAsia="Arial" w:hAnsi="Arial"/>
          <w:sz w:val="18"/>
          <w:szCs w:val="18"/>
          <w:b w:val="1"/>
          <w:bCs w:val="1"/>
          <w:color w:val="auto"/>
        </w:rPr>
      </w:pPr>
      <w:r>
        <w:rPr>
          <w:rFonts w:ascii="Arial" w:cs="Arial" w:eastAsia="Arial" w:hAnsi="Arial"/>
          <w:sz w:val="18"/>
          <w:szCs w:val="18"/>
          <w:u w:val="single" w:color="auto"/>
          <w:color w:val="auto"/>
        </w:rPr>
        <w:t>Rule 462(b) Registration Statement</w:t>
      </w:r>
      <w:r>
        <w:rPr>
          <w:rFonts w:ascii="Arial" w:cs="Arial" w:eastAsia="Arial" w:hAnsi="Arial"/>
          <w:sz w:val="18"/>
          <w:szCs w:val="18"/>
          <w:color w:val="auto"/>
        </w:rPr>
        <w:t>. In the event that a Rule 462(b) Registration Statement is filed in connection with the offering contemplated by this Agreement, such Rule 462(b) Registration Statement shall have been filed with the Commission on the date of this Agreement and shall have become effective automatically upon such filing.</w:t>
      </w:r>
    </w:p>
    <w:p>
      <w:pPr>
        <w:spacing w:after="0" w:line="183" w:lineRule="exact"/>
        <w:rPr>
          <w:rFonts w:ascii="Arial" w:cs="Arial" w:eastAsia="Arial" w:hAnsi="Arial"/>
          <w:sz w:val="18"/>
          <w:szCs w:val="18"/>
          <w:b w:val="1"/>
          <w:bCs w:val="1"/>
          <w:color w:val="auto"/>
        </w:rPr>
      </w:pPr>
    </w:p>
    <w:p>
      <w:pPr>
        <w:jc w:val="both"/>
        <w:ind w:firstLine="1304"/>
        <w:spacing w:after="0" w:line="273" w:lineRule="auto"/>
        <w:tabs>
          <w:tab w:leader="none" w:pos="1563" w:val="left"/>
        </w:tabs>
        <w:numPr>
          <w:ilvl w:val="0"/>
          <w:numId w:val="38"/>
        </w:numPr>
        <w:rPr>
          <w:rFonts w:ascii="Arial" w:cs="Arial" w:eastAsia="Arial" w:hAnsi="Arial"/>
          <w:sz w:val="17"/>
          <w:szCs w:val="17"/>
          <w:b w:val="1"/>
          <w:bCs w:val="1"/>
          <w:color w:val="auto"/>
        </w:rPr>
      </w:pPr>
      <w:r>
        <w:rPr>
          <w:rFonts w:ascii="Arial" w:cs="Arial" w:eastAsia="Arial" w:hAnsi="Arial"/>
          <w:sz w:val="17"/>
          <w:szCs w:val="17"/>
          <w:u w:val="single" w:color="auto"/>
          <w:color w:val="auto"/>
        </w:rPr>
        <w:t>Additional Documents</w:t>
      </w:r>
      <w:r>
        <w:rPr>
          <w:rFonts w:ascii="Arial" w:cs="Arial" w:eastAsia="Arial" w:hAnsi="Arial"/>
          <w:sz w:val="17"/>
          <w:szCs w:val="17"/>
          <w:color w:val="auto"/>
        </w:rPr>
        <w:t>. On or before each of the First Closing Date and each Option Closing Date, the Representative and counsel for the Underwriters shall have received such information, documents and opinions as they may reasonably request for the purposes of enabling them to pass upon the issuance and sale of the Securities as contemplated herein, or in order to evidence the accuracy of any of the representations and warranties, or the satisfaction of any of the conditions or agreements, herein contained; and all proceedings taken by the Company in connection with the issuance and sale of the Securities as contemplated herein and in connection with the other transactions contemplated by this Agreement shall be reasonably satisfactory in form and substance to the Representative and counsel for the Underwriters.</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If any condition specified in this Section 6 is not satisfied when and as required to be satisfied, this Agreement may be terminated by the Representative by notice from the Representative to the Company at any time on or prior to the First Closing Date and, with respect to the Option Shares and/or Option Warrants,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p>
      <w:pPr>
        <w:jc w:val="both"/>
        <w:ind w:firstLine="656"/>
        <w:spacing w:after="0" w:line="254" w:lineRule="auto"/>
        <w:tabs>
          <w:tab w:leader="none" w:pos="83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Reimbursement of Underwriters’ Expenses</w:t>
      </w:r>
      <w:r>
        <w:rPr>
          <w:rFonts w:ascii="Arial" w:cs="Arial" w:eastAsia="Arial" w:hAnsi="Arial"/>
          <w:sz w:val="18"/>
          <w:szCs w:val="18"/>
          <w:color w:val="auto"/>
        </w:rPr>
        <w:t>. If this Agreement is terminated by the Representative pursuant to Section 6, Section 11 or Section 12, or if the sale to the Underwriters of the Securities on the First Closing Date is not consummated because of any refusal, inability or failure on the part of the Company to perform any agreement herein or to comply with any provision hereof, the Company agrees to reimburse the Representative and the other Underwriters (or such Underwriters as have terminated this Agreement with respect to themselves), severally, upon demand for all out-of-pocket expenses that shall have been reasonably incurred by the Representative and the Underwriters in connection with the proposed purchase and the offering and sale of the Securities, including reasonable fees and disbursements of counsel, printing expenses, travel expenses, postage, facsimile and telephone charges, up to a maximum of $60,000.</w:t>
      </w:r>
    </w:p>
    <w:p>
      <w:pPr>
        <w:spacing w:after="0" w:line="194" w:lineRule="exact"/>
        <w:rPr>
          <w:rFonts w:ascii="Arial" w:cs="Arial" w:eastAsia="Arial" w:hAnsi="Arial"/>
          <w:sz w:val="18"/>
          <w:szCs w:val="18"/>
          <w:color w:val="auto"/>
        </w:rPr>
      </w:pPr>
    </w:p>
    <w:p>
      <w:pPr>
        <w:ind w:left="840" w:hanging="184"/>
        <w:spacing w:after="0"/>
        <w:tabs>
          <w:tab w:leader="none" w:pos="84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Effectiveness of this Agreement</w:t>
      </w:r>
      <w:r>
        <w:rPr>
          <w:rFonts w:ascii="Arial" w:cs="Arial" w:eastAsia="Arial" w:hAnsi="Arial"/>
          <w:sz w:val="17"/>
          <w:szCs w:val="17"/>
          <w:color w:val="auto"/>
        </w:rPr>
        <w:t>. This Agreement shall become effective upon the execution and delivery hereof by the parties hereto.</w:t>
      </w:r>
    </w:p>
    <w:p>
      <w:pPr>
        <w:spacing w:after="0" w:line="236" w:lineRule="exact"/>
        <w:rPr>
          <w:rFonts w:ascii="Arial" w:cs="Arial" w:eastAsia="Arial" w:hAnsi="Arial"/>
          <w:sz w:val="17"/>
          <w:szCs w:val="17"/>
          <w:color w:val="auto"/>
        </w:rPr>
      </w:pPr>
    </w:p>
    <w:p>
      <w:pPr>
        <w:ind w:left="840" w:hanging="184"/>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64" w:val="left"/>
        </w:tabs>
        <w:numPr>
          <w:ilvl w:val="1"/>
          <w:numId w:val="39"/>
        </w:numPr>
        <w:rPr>
          <w:rFonts w:ascii="Arial" w:cs="Arial" w:eastAsia="Arial" w:hAnsi="Arial"/>
          <w:sz w:val="18"/>
          <w:szCs w:val="18"/>
          <w:b w:val="1"/>
          <w:bCs w:val="1"/>
          <w:color w:val="auto"/>
        </w:rPr>
      </w:pPr>
      <w:r>
        <w:rPr>
          <w:rFonts w:ascii="Arial" w:cs="Arial" w:eastAsia="Arial" w:hAnsi="Arial"/>
          <w:sz w:val="18"/>
          <w:szCs w:val="18"/>
          <w:u w:val="single" w:color="auto"/>
          <w:color w:val="auto"/>
        </w:rPr>
        <w:t>Indemnification of the Underwriters</w:t>
      </w:r>
      <w:r>
        <w:rPr>
          <w:rFonts w:ascii="Arial" w:cs="Arial" w:eastAsia="Arial" w:hAnsi="Arial"/>
          <w:sz w:val="18"/>
          <w:szCs w:val="18"/>
          <w:color w:val="auto"/>
        </w:rPr>
        <w:t>. The Company agrees to indemnify and hold harmless each Underwriter, its affiliates and their respective partners, members, directors, officers, employees and agents, and each person, if any, who controls each Underwriter or any affiliate within the meaning of Section 15 of the Securities Act or Section 20 of the Exchange Act as follows:</w:t>
      </w:r>
    </w:p>
    <w:p>
      <w:pPr>
        <w:spacing w:after="0" w:line="183" w:lineRule="exact"/>
        <w:rPr>
          <w:rFonts w:ascii="Arial" w:cs="Arial" w:eastAsia="Arial" w:hAnsi="Arial"/>
          <w:sz w:val="18"/>
          <w:szCs w:val="18"/>
          <w:b w:val="1"/>
          <w:bCs w:val="1"/>
          <w:color w:val="auto"/>
        </w:rPr>
      </w:pPr>
    </w:p>
    <w:p>
      <w:pPr>
        <w:jc w:val="both"/>
        <w:ind w:firstLine="1952"/>
        <w:spacing w:after="0" w:line="254" w:lineRule="auto"/>
        <w:tabs>
          <w:tab w:leader="none" w:pos="2163" w:val="left"/>
        </w:tabs>
        <w:numPr>
          <w:ilvl w:val="2"/>
          <w:numId w:val="39"/>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preliminary prospectus, Time of Sale Prospectus, any Marketing Material, any Section 5(d) Written Communication or the Prospectus (or any amendment or supplement to the foregoing), or the omission or alleged omission therefrom of a material fact necessary in order to make the statements therein, in the light of the circumstances under which they were made, not misleading; and</w:t>
      </w:r>
    </w:p>
    <w:p>
      <w:pPr>
        <w:spacing w:after="0" w:line="194" w:lineRule="exact"/>
        <w:rPr>
          <w:rFonts w:ascii="Arial" w:cs="Arial" w:eastAsia="Arial" w:hAnsi="Arial"/>
          <w:sz w:val="18"/>
          <w:szCs w:val="18"/>
          <w:color w:val="auto"/>
        </w:rPr>
      </w:pPr>
    </w:p>
    <w:p>
      <w:pPr>
        <w:jc w:val="both"/>
        <w:ind w:firstLine="1952"/>
        <w:spacing w:after="0" w:line="257" w:lineRule="auto"/>
        <w:tabs>
          <w:tab w:leader="none" w:pos="2223" w:val="left"/>
        </w:tabs>
        <w:numPr>
          <w:ilvl w:val="2"/>
          <w:numId w:val="39"/>
        </w:numPr>
        <w:rPr>
          <w:rFonts w:ascii="Arial" w:cs="Arial" w:eastAsia="Arial" w:hAnsi="Arial"/>
          <w:sz w:val="18"/>
          <w:szCs w:val="18"/>
          <w:color w:val="auto"/>
        </w:rPr>
      </w:pPr>
      <w:r>
        <w:rPr>
          <w:rFonts w:ascii="Arial" w:cs="Arial" w:eastAsia="Arial" w:hAnsi="Arial"/>
          <w:sz w:val="18"/>
          <w:szCs w:val="18"/>
          <w:color w:val="auto"/>
        </w:rPr>
        <w:t xml:space="preserve">against any and all loss, liability, claim, damage and expense whatsoever,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Section 9(d)) any such settlement is effected with the written consent of the Company, which consent shall not unreasonably be delayed, conditioned or withheld;</w:t>
      </w:r>
    </w:p>
    <w:p>
      <w:pPr>
        <w:spacing w:after="0" w:line="187" w:lineRule="exact"/>
        <w:rPr>
          <w:rFonts w:ascii="Arial" w:cs="Arial" w:eastAsia="Arial" w:hAnsi="Arial"/>
          <w:sz w:val="18"/>
          <w:szCs w:val="18"/>
          <w:color w:val="auto"/>
        </w:rPr>
      </w:pPr>
    </w:p>
    <w:p>
      <w:pPr>
        <w:jc w:val="both"/>
        <w:ind w:firstLine="1952"/>
        <w:spacing w:after="0" w:line="263" w:lineRule="auto"/>
        <w:tabs>
          <w:tab w:leader="none" w:pos="2282" w:val="left"/>
        </w:tabs>
        <w:numPr>
          <w:ilvl w:val="2"/>
          <w:numId w:val="39"/>
        </w:numPr>
        <w:rPr>
          <w:rFonts w:ascii="Arial" w:cs="Arial" w:eastAsia="Arial" w:hAnsi="Arial"/>
          <w:sz w:val="18"/>
          <w:szCs w:val="18"/>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indemnity agreement shall not apply to any loss, liability, claim, damage or expense to the extent arising out of any untrue statement or omission or alleged untrue statement or omission made solely in reliance upon and in conformity with the Underwriter Information (as defined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jc w:val="both"/>
        <w:ind w:firstLine="1304"/>
        <w:spacing w:after="0" w:line="269" w:lineRule="auto"/>
        <w:tabs>
          <w:tab w:leader="none" w:pos="1563" w:val="left"/>
        </w:tabs>
        <w:numPr>
          <w:ilvl w:val="1"/>
          <w:numId w:val="40"/>
        </w:numPr>
        <w:rPr>
          <w:rFonts w:ascii="Arial" w:cs="Arial" w:eastAsia="Arial" w:hAnsi="Arial"/>
          <w:sz w:val="17"/>
          <w:szCs w:val="17"/>
          <w:b w:val="1"/>
          <w:bCs w:val="1"/>
          <w:color w:val="auto"/>
        </w:rPr>
      </w:pPr>
      <w:r>
        <w:rPr>
          <w:rFonts w:ascii="Arial" w:cs="Arial" w:eastAsia="Arial" w:hAnsi="Arial"/>
          <w:sz w:val="17"/>
          <w:szCs w:val="17"/>
          <w:u w:val="single" w:color="auto"/>
          <w:color w:val="auto"/>
        </w:rPr>
        <w:t>Indemnification of the Company, its Directors and Officers</w:t>
      </w:r>
      <w:r>
        <w:rPr>
          <w:rFonts w:ascii="Arial" w:cs="Arial" w:eastAsia="Arial" w:hAnsi="Arial"/>
          <w:sz w:val="17"/>
          <w:szCs w:val="17"/>
          <w:color w:val="auto"/>
        </w:rPr>
        <w:t>. Each Underwriter agrees, severally and not jointly, to indemnify and hold harmless the Company, and its directors,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Section 9(a), as incurred, but only with respect to untrue statements or omissions, or alleged untrue statements or omissions, made in the Registration Statement, any preliminary prospectus, the Time of Sale Prospectus, any Section 5(d) Written Communication or the Prospectus (or any amendment or supplement to the foregoing), in reliance upon and in conformity with information relating to such Underwriter and furnished to the Company in writing by such Underwriter or Underwriters expressly for use therein. The Company hereby acknowledges that the only information that the Underwriter or Underwriters has furnished to the Company expressly for use in the Registration Statement, any preliminary prospectus, the Time of Sale Prospectus, any free writing prospectus, any Section 5(d) Written Communication or the Prospectus (or any amendment or supplement to the foregoing) are the statements set forth in the [ ● ] sentence[s] under the caption “Underwriting” in the Preliminary Prospectus and Prospectus (the “</w:t>
      </w:r>
      <w:r>
        <w:rPr>
          <w:rFonts w:ascii="Arial" w:cs="Arial" w:eastAsia="Arial" w:hAnsi="Arial"/>
          <w:sz w:val="17"/>
          <w:szCs w:val="17"/>
          <w:b w:val="1"/>
          <w:bCs w:val="1"/>
          <w:color w:val="auto"/>
        </w:rPr>
        <w:t>Underwriter Information</w:t>
      </w:r>
      <w:r>
        <w:rPr>
          <w:rFonts w:ascii="Arial" w:cs="Arial" w:eastAsia="Arial" w:hAnsi="Arial"/>
          <w:sz w:val="17"/>
          <w:szCs w:val="17"/>
          <w:color w:val="auto"/>
        </w:rPr>
        <w:t>”).</w:t>
      </w:r>
    </w:p>
    <w:p>
      <w:pPr>
        <w:spacing w:after="0" w:line="181" w:lineRule="exact"/>
        <w:rPr>
          <w:rFonts w:ascii="Arial" w:cs="Arial" w:eastAsia="Arial" w:hAnsi="Arial"/>
          <w:sz w:val="17"/>
          <w:szCs w:val="17"/>
          <w:b w:val="1"/>
          <w:bCs w:val="1"/>
          <w:color w:val="auto"/>
        </w:rPr>
      </w:pPr>
    </w:p>
    <w:p>
      <w:pPr>
        <w:jc w:val="both"/>
        <w:ind w:firstLine="1304"/>
        <w:spacing w:after="0" w:line="282" w:lineRule="auto"/>
        <w:tabs>
          <w:tab w:leader="none" w:pos="1544" w:val="left"/>
        </w:tabs>
        <w:numPr>
          <w:ilvl w:val="1"/>
          <w:numId w:val="40"/>
        </w:numPr>
        <w:rPr>
          <w:rFonts w:ascii="Arial" w:cs="Arial" w:eastAsia="Arial" w:hAnsi="Arial"/>
          <w:sz w:val="16"/>
          <w:szCs w:val="16"/>
          <w:b w:val="1"/>
          <w:bCs w:val="1"/>
          <w:color w:val="auto"/>
        </w:rPr>
      </w:pPr>
      <w:r>
        <w:rPr>
          <w:rFonts w:ascii="Arial" w:cs="Arial" w:eastAsia="Arial" w:hAnsi="Arial"/>
          <w:sz w:val="16"/>
          <w:szCs w:val="16"/>
          <w:u w:val="single" w:color="auto"/>
          <w:color w:val="auto"/>
        </w:rPr>
        <w:t>Notifications and Other Indemnification Procedures</w:t>
      </w:r>
      <w:r>
        <w:rPr>
          <w:rFonts w:ascii="Arial" w:cs="Arial" w:eastAsia="Arial" w:hAnsi="Arial"/>
          <w:sz w:val="16"/>
          <w:szCs w:val="16"/>
          <w:color w:val="auto"/>
        </w:rPr>
        <w:t>. Any party that proposes to assert the right to be indemnified under this Section 9 will, promptly after receipt of notice of commencement of any action against such party in respect of which a claim is to be made against an indemnifying party or parties under this Section 9,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9 and (ii) any liability that it may have to any indemnified party under the foregoing provision of this Section 9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(A) the employment of counsel by the indemnified party has been authorized in writing by the indemnifying party, (B) the indemnified party has reasonably concluded (based on advice of counsel) that there may be legal defenses available to it or other indemnified parties that are different from or in addition to those available to the indemnifying party, (C)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w:t>
      </w:r>
    </w:p>
    <w:p>
      <w:pPr>
        <w:spacing w:after="0" w:line="11" w:lineRule="exact"/>
        <w:rPr>
          <w:rFonts w:ascii="Arial" w:cs="Arial" w:eastAsia="Arial" w:hAnsi="Arial"/>
          <w:sz w:val="16"/>
          <w:szCs w:val="16"/>
          <w:b w:val="1"/>
          <w:bCs w:val="1"/>
          <w:color w:val="auto"/>
        </w:rPr>
      </w:pPr>
    </w:p>
    <w:p>
      <w:pPr>
        <w:jc w:val="both"/>
        <w:ind w:firstLine="8"/>
        <w:spacing w:after="0" w:line="267" w:lineRule="auto"/>
        <w:tabs>
          <w:tab w:leader="none" w:pos="31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(plus local counsel)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9 (whether or not any indemnified party is a party thereto), unless such settlement, compromise or consent (x) includes an express and unconditional release of each indemnified party, in form and substance reasonably satisfactory to such indemnified party, from all liability arising out of such litigation, investigation, proceeding or claim and (y) does not include a statement as to or an admission of fault, culpability or a failure to act by or on behalf of any indemnified party.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jc w:val="both"/>
        <w:ind w:firstLine="1304"/>
        <w:spacing w:after="0" w:line="255" w:lineRule="auto"/>
        <w:tabs>
          <w:tab w:leader="none" w:pos="1565" w:val="left"/>
        </w:tabs>
        <w:numPr>
          <w:ilvl w:val="1"/>
          <w:numId w:val="42"/>
        </w:numPr>
        <w:rPr>
          <w:rFonts w:ascii="Arial" w:cs="Arial" w:eastAsia="Arial" w:hAnsi="Arial"/>
          <w:sz w:val="18"/>
          <w:szCs w:val="18"/>
          <w:b w:val="1"/>
          <w:bCs w:val="1"/>
          <w:color w:val="auto"/>
        </w:rPr>
      </w:pPr>
      <w:r>
        <w:rPr>
          <w:rFonts w:ascii="Arial" w:cs="Arial" w:eastAsia="Arial" w:hAnsi="Arial"/>
          <w:sz w:val="18"/>
          <w:szCs w:val="18"/>
          <w:u w:val="single" w:color="auto"/>
          <w:color w:val="auto"/>
        </w:rPr>
        <w:t>Settlement Without Consent if Failure to Reimburse</w:t>
      </w:r>
      <w:r>
        <w:rPr>
          <w:rFonts w:ascii="Arial" w:cs="Arial" w:eastAsia="Arial" w:hAnsi="Arial"/>
          <w:sz w:val="18"/>
          <w:szCs w:val="18"/>
          <w:color w:val="auto"/>
        </w:rPr>
        <w:t>. If an indemnified party shall have requested an indemnifying party to reimburse the indemnified party for reasonable fees and expenses of counsel, such indemnifying party agrees that it shall be liable for any settlement of the nature contemplated by Section 9(a)(ii)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92" w:lineRule="exact"/>
        <w:rPr>
          <w:rFonts w:ascii="Arial" w:cs="Arial" w:eastAsia="Arial" w:hAnsi="Arial"/>
          <w:sz w:val="18"/>
          <w:szCs w:val="18"/>
          <w:b w:val="1"/>
          <w:bCs w:val="1"/>
          <w:color w:val="auto"/>
        </w:rPr>
      </w:pPr>
    </w:p>
    <w:p>
      <w:pPr>
        <w:jc w:val="both"/>
        <w:ind w:firstLine="656"/>
        <w:spacing w:after="0" w:line="283" w:lineRule="auto"/>
        <w:tabs>
          <w:tab w:leader="none" w:pos="953"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In order to provide for just and equitable contribution in circumstances in which the indemnification provided for in the foregoing paragraphs of Section 9 is applicable in accordance with its terms but for any reason is held to be unavailable or insufficient from the Company or the Underwriters, the Company and the Underwriters will contribute to the total losses, claims, liabilities, expenses and damages (including any investigative, legal and other expenses reasonably incurred in connection with, and any amount paid in settlement of, any action, suit or proceeding or any claim asserted) to which any indemnified party may be subject in such proportion as shall be appropriate to reflect the relative benefits received by the Company on the one hand and the Underwriters on the other hand. The relative benefits received by the Company on the one hand and the Underwriters on the other hand shall be deemed to be in the same proportion as the total net proceeds from the sale of the Securities (before deducting expenses) received by the Company bear to the total compensation received by the Underwriters (before deducting expenses) from the sale of Securities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Underwriters,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Underwriters, the intent of the parties and their relative knowledge, access to information and opportunity to correct or prevent such statement or omission. The Company and the Underwriters agree that it would not be just and equitable if contributions pursuant to this Section 10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Section 10 shall be deemed to include, for the purpose of this Section 10, any legal or other expenses reasonably incurred by such indemnified party in connection with investigating or defending any such action or claim to the extent consistent with Section 9(c). Notwithstanding the foregoing provisions of Section 9 and this Section 10, the Underwriters shall not be required to contribute any amount in excess of the commissions actually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10, any person who controls a party to this Agreement within the meaning of the Securities Act, any affiliates of the respective Underwriters and any officers, directors, partners, employees or agents of the Underwriters or their respective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10, will notify any such party or parties from whom contribution may be sought, but the omission to so notify will not relieve that party or parties from whom contribution may be sought from any other obligation it or they may have under this Section 10 except to the extent that the failure to so notify such other party materially prejudiced the substantive rights or defenses of the party from whom contribution is sought. Except for a settlement entered into pursuant to the last sentence of Section 9(c), no party will be liable for contribution with respect to any action or claim settled without its written consent if such consent is required pursuant to Section 9(c).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jc w:val="both"/>
        <w:ind w:firstLine="656"/>
        <w:spacing w:after="0" w:line="285" w:lineRule="auto"/>
        <w:tabs>
          <w:tab w:leader="none" w:pos="917"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Default of One or More of the Several Underwriters</w:t>
      </w:r>
      <w:r>
        <w:rPr>
          <w:rFonts w:ascii="Arial" w:cs="Arial" w:eastAsia="Arial" w:hAnsi="Arial"/>
          <w:sz w:val="16"/>
          <w:szCs w:val="16"/>
          <w:color w:val="auto"/>
        </w:rPr>
        <w:t xml:space="preserve">. If, on the First Closing Date or any Option Closing Date, any one or more of the several Underwriters shall fail or refuse to purchase the Firm Shares and the Firm Warrants that it or they have agreed to purchase hereunder on such date, and the aggregate number of the Firm Shares and the Firm Warrants which such defaulting Underwriter or Underwriters agreed but failed or refused to purchase does not exceed 10% of the aggregate number of the Securities to be purchased on such date, the Representative may make arrangements satisfactory to the Company for the purchase of such Securities by other persons, including any of the Underwriters, but if no such arrangements are made by such date, the other Underwriters shall be obligated, severally and not jointly, in the proportions that the number of Firm Shares and Firm Warrants set forth opposite their respective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bears to the aggregate number of Firm Shares and Firm Warrants set forth opposite the names of all such non-defaulting Underwriters, or in such other proportions as may be specified by the Representative with the consent of the non-defaulting Underwriters, to purchase the Securities which such defaulting Underwriter or Underwriters agreed but failed or refused to purchase on such date. If, on the First Closing Date or any Option Closing Date, any one or more of the several Underwriters shall fail or refuse to purchase Securities that it or they have agreed to purchase hereunder on such date, and the aggregate number of Securities which such defaulting Underwriter or Underwriters agreed but failed or refused to purchase exceeds 10% of the aggregate number of Securities to be purchased on such date, and arrangements satisfactory to the Representative and the Company for the purchase of such Securities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17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As used in this Agreement, the term “</w:t>
      </w:r>
      <w:r>
        <w:rPr>
          <w:rFonts w:ascii="Arial" w:cs="Arial" w:eastAsia="Arial" w:hAnsi="Arial"/>
          <w:sz w:val="18"/>
          <w:szCs w:val="18"/>
          <w:b w:val="1"/>
          <w:bCs w:val="1"/>
          <w:color w:val="auto"/>
        </w:rPr>
        <w:t>Underwriter</w:t>
      </w:r>
      <w:r>
        <w:rPr>
          <w:rFonts w:ascii="Arial" w:cs="Arial" w:eastAsia="Arial" w:hAnsi="Arial"/>
          <w:sz w:val="18"/>
          <w:szCs w:val="18"/>
          <w:color w:val="auto"/>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spacing w:after="0" w:line="180" w:lineRule="exact"/>
        <w:rPr>
          <w:sz w:val="20"/>
          <w:szCs w:val="20"/>
          <w:color w:val="auto"/>
        </w:rPr>
      </w:pPr>
    </w:p>
    <w:p>
      <w:pPr>
        <w:jc w:val="both"/>
        <w:ind w:firstLine="656"/>
        <w:spacing w:after="0" w:line="267" w:lineRule="auto"/>
        <w:tabs>
          <w:tab w:leader="none" w:pos="918"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Termination of this Agreement</w:t>
      </w:r>
      <w:r>
        <w:rPr>
          <w:rFonts w:ascii="Arial" w:cs="Arial" w:eastAsia="Arial" w:hAnsi="Arial"/>
          <w:sz w:val="17"/>
          <w:szCs w:val="17"/>
          <w:color w:val="auto"/>
        </w:rPr>
        <w:t xml:space="preserve">. Prior to the purchase of the Firm Shares and Firm Warrants by the Underwriters on the First Closing Date, this Agreement may be terminated by the Representative by notice given to the Company if at any time: (i) trading or quotation in any of the Company’s securities shall have been suspended or limited by the Commission or by the Nasdaq, or trading in securities generally on either the Nasdaq, NYSE or the NYSE American shall have been suspended or limited, or minimum or maximum prices shall have been generally established on any of such stock exchanges; (ii) a general banking moratorium shall have been declared by any state or federal authorities; (iii) there shall have occurred any outbreak or escalation of national or international hostilities or any crisis or calamity, or any change in the United States or any international financial markets, or any substantial change or development involving a prospective substantial change in United States’ or international political, financial or economic conditions, as in the sole judgment of the Representative is material and adverse and makes it impracticable to market the Securities in the manner and on the terms described in the Time of Sale Prospectus or the Prospectus or to enforce contracts for the sale of securities; (iv) in the sole judgment of the Representative there shall have occurred any material adverse change, development or event involving the condition, financial or otherwise, or in the business, properties, earnings, results of operations or prospects of the Company and the Subsidiaries considered as one enterprise, whether or not arising in the ordinary course of business; or (v) the Company shall have sustained a loss by strike, fire, flood, earthquake, accident or other calamity of such character as in the sole judgment of the Representative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 and the Underwriters pursuant to Section 4 or Section 7 hereof or (B) any Underwriter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provisions of Section 9 and Section 10 shall at all times be effective and shall survive such termination.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jc w:val="both"/>
        <w:ind w:firstLine="656"/>
        <w:spacing w:after="0" w:line="269" w:lineRule="auto"/>
        <w:tabs>
          <w:tab w:leader="none" w:pos="919"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No Advisory or Fiduciary Relationship</w:t>
      </w:r>
      <w:r>
        <w:rPr>
          <w:rFonts w:ascii="Arial" w:cs="Arial" w:eastAsia="Arial" w:hAnsi="Arial"/>
          <w:sz w:val="17"/>
          <w:szCs w:val="17"/>
          <w:color w:val="auto"/>
        </w:rPr>
        <w:t>.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or its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181" w:lineRule="exact"/>
        <w:rPr>
          <w:rFonts w:ascii="Arial" w:cs="Arial" w:eastAsia="Arial" w:hAnsi="Arial"/>
          <w:sz w:val="17"/>
          <w:szCs w:val="17"/>
          <w:color w:val="auto"/>
        </w:rPr>
      </w:pPr>
    </w:p>
    <w:p>
      <w:pPr>
        <w:jc w:val="both"/>
        <w:ind w:firstLine="656"/>
        <w:spacing w:after="0" w:line="257" w:lineRule="auto"/>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Representations and Agreements to Survive Delivery</w:t>
      </w:r>
      <w:r>
        <w:rPr>
          <w:rFonts w:ascii="Arial" w:cs="Arial" w:eastAsia="Arial" w:hAnsi="Arial"/>
          <w:sz w:val="18"/>
          <w:szCs w:val="18"/>
          <w:color w:val="auto"/>
        </w:rPr>
        <w:t>. The respective indemnities, agreements, representations, warranties and other statements of the Company, its officers and the several Underwriters set forth in or made pursuant to this Agreement will remain in full force and effect, regardless of any investigation made by or on behalf of any Underwriter or the Company or any of its or their partners, affiliates, officers, directors or employees or any controlling person, as the case may be, and, anything herein to the contrary notwithstanding, will survive delivery of and payment for the Securities sold hereunder and any termination of this Agreement.</w:t>
      </w:r>
    </w:p>
    <w:p>
      <w:pPr>
        <w:spacing w:after="0" w:line="187" w:lineRule="exact"/>
        <w:rPr>
          <w:rFonts w:ascii="Arial" w:cs="Arial" w:eastAsia="Arial" w:hAnsi="Arial"/>
          <w:sz w:val="18"/>
          <w:szCs w:val="18"/>
          <w:color w:val="auto"/>
        </w:rPr>
      </w:pPr>
    </w:p>
    <w:p>
      <w:pPr>
        <w:ind w:firstLine="656"/>
        <w:spacing w:after="0" w:line="277" w:lineRule="auto"/>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shall be in writing and shall be mailed, hand delivered or telecopied and confirmed to the parties hereto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ind w:left="660"/>
              <w:spacing w:after="0"/>
              <w:rPr>
                <w:sz w:val="20"/>
                <w:szCs w:val="20"/>
                <w:color w:val="auto"/>
              </w:rPr>
            </w:pPr>
            <w:r>
              <w:rPr>
                <w:rFonts w:ascii="Arial" w:cs="Arial" w:eastAsia="Arial" w:hAnsi="Arial"/>
                <w:sz w:val="18"/>
                <w:szCs w:val="18"/>
                <w:color w:val="auto"/>
              </w:rPr>
              <w:t>If to the Representative:</w:t>
            </w:r>
          </w:p>
        </w:tc>
        <w:tc>
          <w:tcPr>
            <w:tcW w:w="7480" w:type="dxa"/>
            <w:vAlign w:val="bottom"/>
          </w:tcPr>
          <w:p>
            <w:pPr>
              <w:ind w:left="1380"/>
              <w:spacing w:after="0"/>
              <w:rPr>
                <w:sz w:val="20"/>
                <w:szCs w:val="20"/>
                <w:color w:val="auto"/>
              </w:rPr>
            </w:pPr>
            <w:r>
              <w:rPr>
                <w:rFonts w:ascii="Arial" w:cs="Arial" w:eastAsia="Arial" w:hAnsi="Arial"/>
                <w:sz w:val="18"/>
                <w:szCs w:val="18"/>
                <w:color w:val="auto"/>
              </w:rPr>
              <w:t>Roth Capital Partners, LLC</w:t>
            </w:r>
          </w:p>
        </w:tc>
      </w:tr>
      <w:tr>
        <w:trPr>
          <w:trHeight w:val="216"/>
        </w:trPr>
        <w:tc>
          <w:tcPr>
            <w:tcW w:w="3760" w:type="dxa"/>
            <w:vAlign w:val="bottom"/>
          </w:tcPr>
          <w:p>
            <w:pPr>
              <w:spacing w:after="0"/>
              <w:rPr>
                <w:sz w:val="18"/>
                <w:szCs w:val="18"/>
                <w:color w:val="auto"/>
              </w:rPr>
            </w:pPr>
          </w:p>
        </w:tc>
        <w:tc>
          <w:tcPr>
            <w:tcW w:w="7480" w:type="dxa"/>
            <w:vAlign w:val="bottom"/>
          </w:tcPr>
          <w:p>
            <w:pPr>
              <w:ind w:left="1380"/>
              <w:spacing w:after="0"/>
              <w:rPr>
                <w:sz w:val="20"/>
                <w:szCs w:val="20"/>
                <w:color w:val="auto"/>
              </w:rPr>
            </w:pPr>
            <w:r>
              <w:rPr>
                <w:rFonts w:ascii="Arial" w:cs="Arial" w:eastAsia="Arial" w:hAnsi="Arial"/>
                <w:sz w:val="18"/>
                <w:szCs w:val="18"/>
                <w:color w:val="auto"/>
              </w:rPr>
              <w:t>888 San Clemente Drive, Suite 400</w:t>
            </w:r>
          </w:p>
        </w:tc>
      </w:tr>
      <w:tr>
        <w:trPr>
          <w:trHeight w:val="216"/>
        </w:trPr>
        <w:tc>
          <w:tcPr>
            <w:tcW w:w="3760" w:type="dxa"/>
            <w:vAlign w:val="bottom"/>
          </w:tcPr>
          <w:p>
            <w:pPr>
              <w:spacing w:after="0"/>
              <w:rPr>
                <w:sz w:val="18"/>
                <w:szCs w:val="18"/>
                <w:color w:val="auto"/>
              </w:rPr>
            </w:pPr>
          </w:p>
        </w:tc>
        <w:tc>
          <w:tcPr>
            <w:tcW w:w="7480" w:type="dxa"/>
            <w:vAlign w:val="bottom"/>
          </w:tcPr>
          <w:p>
            <w:pPr>
              <w:ind w:left="1380"/>
              <w:spacing w:after="0"/>
              <w:rPr>
                <w:sz w:val="20"/>
                <w:szCs w:val="20"/>
                <w:color w:val="auto"/>
              </w:rPr>
            </w:pPr>
            <w:r>
              <w:rPr>
                <w:rFonts w:ascii="Arial" w:cs="Arial" w:eastAsia="Arial" w:hAnsi="Arial"/>
                <w:sz w:val="18"/>
                <w:szCs w:val="18"/>
                <w:color w:val="auto"/>
              </w:rPr>
              <w:t>Newport Beach, CA 92660</w:t>
            </w:r>
          </w:p>
        </w:tc>
      </w:tr>
      <w:tr>
        <w:trPr>
          <w:trHeight w:val="216"/>
        </w:trPr>
        <w:tc>
          <w:tcPr>
            <w:tcW w:w="3760" w:type="dxa"/>
            <w:vAlign w:val="bottom"/>
          </w:tcPr>
          <w:p>
            <w:pPr>
              <w:spacing w:after="0"/>
              <w:rPr>
                <w:sz w:val="18"/>
                <w:szCs w:val="18"/>
                <w:color w:val="auto"/>
              </w:rPr>
            </w:pPr>
          </w:p>
        </w:tc>
        <w:tc>
          <w:tcPr>
            <w:tcW w:w="7480" w:type="dxa"/>
            <w:vAlign w:val="bottom"/>
          </w:tcPr>
          <w:p>
            <w:pPr>
              <w:ind w:left="1380"/>
              <w:spacing w:after="0"/>
              <w:rPr>
                <w:sz w:val="20"/>
                <w:szCs w:val="20"/>
                <w:color w:val="auto"/>
              </w:rPr>
            </w:pPr>
            <w:r>
              <w:rPr>
                <w:rFonts w:ascii="Arial" w:cs="Arial" w:eastAsia="Arial" w:hAnsi="Arial"/>
                <w:sz w:val="18"/>
                <w:szCs w:val="18"/>
                <w:color w:val="auto"/>
              </w:rPr>
              <w:t>Fax No.: (949) 720-7227</w:t>
            </w:r>
          </w:p>
        </w:tc>
      </w:tr>
      <w:tr>
        <w:trPr>
          <w:trHeight w:val="230"/>
        </w:trPr>
        <w:tc>
          <w:tcPr>
            <w:tcW w:w="3760" w:type="dxa"/>
            <w:vAlign w:val="bottom"/>
          </w:tcPr>
          <w:p>
            <w:pPr>
              <w:spacing w:after="0"/>
              <w:rPr>
                <w:sz w:val="20"/>
                <w:szCs w:val="20"/>
                <w:color w:val="auto"/>
              </w:rPr>
            </w:pPr>
          </w:p>
        </w:tc>
        <w:tc>
          <w:tcPr>
            <w:tcW w:w="7480" w:type="dxa"/>
            <w:vAlign w:val="bottom"/>
          </w:tcPr>
          <w:p>
            <w:pPr>
              <w:ind w:left="1380"/>
              <w:spacing w:after="0"/>
              <w:rPr>
                <w:sz w:val="20"/>
                <w:szCs w:val="20"/>
                <w:color w:val="auto"/>
              </w:rPr>
            </w:pPr>
            <w:r>
              <w:rPr>
                <w:rFonts w:ascii="Arial" w:cs="Arial" w:eastAsia="Arial" w:hAnsi="Arial"/>
                <w:sz w:val="18"/>
                <w:szCs w:val="18"/>
                <w:color w:val="auto"/>
              </w:rPr>
              <w:t>Attention: Managing Director</w:t>
            </w:r>
          </w:p>
        </w:tc>
      </w:tr>
      <w:tr>
        <w:trPr>
          <w:trHeight w:val="418"/>
        </w:trPr>
        <w:tc>
          <w:tcPr>
            <w:tcW w:w="3760" w:type="dxa"/>
            <w:vAlign w:val="bottom"/>
          </w:tcPr>
          <w:p>
            <w:pPr>
              <w:ind w:left="660"/>
              <w:spacing w:after="0"/>
              <w:rPr>
                <w:sz w:val="20"/>
                <w:szCs w:val="20"/>
                <w:color w:val="auto"/>
              </w:rPr>
            </w:pPr>
            <w:r>
              <w:rPr>
                <w:rFonts w:ascii="Arial" w:cs="Arial" w:eastAsia="Arial" w:hAnsi="Arial"/>
                <w:sz w:val="18"/>
                <w:szCs w:val="18"/>
                <w:color w:val="auto"/>
              </w:rPr>
              <w:t>with a copy to:</w:t>
            </w:r>
          </w:p>
        </w:tc>
        <w:tc>
          <w:tcPr>
            <w:tcW w:w="7480" w:type="dxa"/>
            <w:vAlign w:val="bottom"/>
          </w:tcPr>
          <w:p>
            <w:pPr>
              <w:ind w:left="1380"/>
              <w:spacing w:after="0"/>
              <w:rPr>
                <w:sz w:val="20"/>
                <w:szCs w:val="20"/>
                <w:color w:val="auto"/>
              </w:rPr>
            </w:pPr>
            <w:r>
              <w:rPr>
                <w:rFonts w:ascii="Arial" w:cs="Arial" w:eastAsia="Arial" w:hAnsi="Arial"/>
                <w:sz w:val="18"/>
                <w:szCs w:val="18"/>
                <w:color w:val="auto"/>
              </w:rPr>
              <w:t>Duane Morris LLP</w:t>
            </w:r>
          </w:p>
        </w:tc>
      </w:tr>
      <w:tr>
        <w:trPr>
          <w:trHeight w:val="216"/>
        </w:trPr>
        <w:tc>
          <w:tcPr>
            <w:tcW w:w="3760" w:type="dxa"/>
            <w:vAlign w:val="bottom"/>
          </w:tcPr>
          <w:p>
            <w:pPr>
              <w:spacing w:after="0"/>
              <w:rPr>
                <w:sz w:val="18"/>
                <w:szCs w:val="18"/>
                <w:color w:val="auto"/>
              </w:rPr>
            </w:pPr>
          </w:p>
        </w:tc>
        <w:tc>
          <w:tcPr>
            <w:tcW w:w="7480" w:type="dxa"/>
            <w:vAlign w:val="bottom"/>
          </w:tcPr>
          <w:p>
            <w:pPr>
              <w:ind w:left="1380"/>
              <w:spacing w:after="0"/>
              <w:rPr>
                <w:sz w:val="20"/>
                <w:szCs w:val="20"/>
                <w:color w:val="auto"/>
              </w:rPr>
            </w:pPr>
            <w:r>
              <w:rPr>
                <w:rFonts w:ascii="Arial" w:cs="Arial" w:eastAsia="Arial" w:hAnsi="Arial"/>
                <w:sz w:val="18"/>
                <w:szCs w:val="18"/>
                <w:color w:val="auto"/>
              </w:rPr>
              <w:t>1540 Broadway</w:t>
            </w:r>
          </w:p>
        </w:tc>
      </w:tr>
      <w:tr>
        <w:trPr>
          <w:trHeight w:val="216"/>
        </w:trPr>
        <w:tc>
          <w:tcPr>
            <w:tcW w:w="3760" w:type="dxa"/>
            <w:vAlign w:val="bottom"/>
          </w:tcPr>
          <w:p>
            <w:pPr>
              <w:spacing w:after="0"/>
              <w:rPr>
                <w:sz w:val="18"/>
                <w:szCs w:val="18"/>
                <w:color w:val="auto"/>
              </w:rPr>
            </w:pPr>
          </w:p>
        </w:tc>
        <w:tc>
          <w:tcPr>
            <w:tcW w:w="7480" w:type="dxa"/>
            <w:vAlign w:val="bottom"/>
          </w:tcPr>
          <w:p>
            <w:pPr>
              <w:ind w:left="1380"/>
              <w:spacing w:after="0"/>
              <w:rPr>
                <w:sz w:val="20"/>
                <w:szCs w:val="20"/>
                <w:color w:val="auto"/>
              </w:rPr>
            </w:pPr>
            <w:r>
              <w:rPr>
                <w:rFonts w:ascii="Arial" w:cs="Arial" w:eastAsia="Arial" w:hAnsi="Arial"/>
                <w:sz w:val="18"/>
                <w:szCs w:val="18"/>
                <w:color w:val="auto"/>
              </w:rPr>
              <w:t>New York, NY 10036</w:t>
            </w:r>
          </w:p>
        </w:tc>
      </w:tr>
      <w:tr>
        <w:trPr>
          <w:trHeight w:val="216"/>
        </w:trPr>
        <w:tc>
          <w:tcPr>
            <w:tcW w:w="3760" w:type="dxa"/>
            <w:vAlign w:val="bottom"/>
          </w:tcPr>
          <w:p>
            <w:pPr>
              <w:spacing w:after="0"/>
              <w:rPr>
                <w:sz w:val="18"/>
                <w:szCs w:val="18"/>
                <w:color w:val="auto"/>
              </w:rPr>
            </w:pPr>
          </w:p>
        </w:tc>
        <w:tc>
          <w:tcPr>
            <w:tcW w:w="7480" w:type="dxa"/>
            <w:vAlign w:val="bottom"/>
          </w:tcPr>
          <w:p>
            <w:pPr>
              <w:ind w:left="1380"/>
              <w:spacing w:after="0"/>
              <w:rPr>
                <w:sz w:val="20"/>
                <w:szCs w:val="20"/>
                <w:color w:val="auto"/>
              </w:rPr>
            </w:pPr>
            <w:r>
              <w:rPr>
                <w:rFonts w:ascii="Arial" w:cs="Arial" w:eastAsia="Arial" w:hAnsi="Arial"/>
                <w:sz w:val="18"/>
                <w:szCs w:val="18"/>
                <w:color w:val="auto"/>
              </w:rPr>
              <w:t>Attention: James T. Seery</w:t>
            </w:r>
          </w:p>
        </w:tc>
      </w:tr>
      <w:tr>
        <w:trPr>
          <w:trHeight w:val="230"/>
        </w:trPr>
        <w:tc>
          <w:tcPr>
            <w:tcW w:w="3760" w:type="dxa"/>
            <w:vAlign w:val="bottom"/>
          </w:tcPr>
          <w:p>
            <w:pPr>
              <w:spacing w:after="0"/>
              <w:rPr>
                <w:sz w:val="20"/>
                <w:szCs w:val="20"/>
                <w:color w:val="auto"/>
              </w:rPr>
            </w:pPr>
          </w:p>
        </w:tc>
        <w:tc>
          <w:tcPr>
            <w:tcW w:w="7480" w:type="dxa"/>
            <w:vAlign w:val="bottom"/>
          </w:tcPr>
          <w:p>
            <w:pPr>
              <w:ind w:left="1380"/>
              <w:spacing w:after="0"/>
              <w:rPr>
                <w:sz w:val="20"/>
                <w:szCs w:val="20"/>
                <w:color w:val="auto"/>
              </w:rPr>
            </w:pPr>
            <w:r>
              <w:rPr>
                <w:rFonts w:ascii="Arial" w:cs="Arial" w:eastAsia="Arial" w:hAnsi="Arial"/>
                <w:sz w:val="18"/>
                <w:szCs w:val="18"/>
                <w:color w:val="auto"/>
              </w:rPr>
              <w:t>Email: jtseery@duanemorris.com</w:t>
            </w:r>
          </w:p>
        </w:tc>
      </w:tr>
      <w:tr>
        <w:trPr>
          <w:trHeight w:val="418"/>
        </w:trPr>
        <w:tc>
          <w:tcPr>
            <w:tcW w:w="3760" w:type="dxa"/>
            <w:vAlign w:val="bottom"/>
          </w:tcPr>
          <w:p>
            <w:pPr>
              <w:ind w:left="660"/>
              <w:spacing w:after="0"/>
              <w:rPr>
                <w:sz w:val="20"/>
                <w:szCs w:val="20"/>
                <w:color w:val="auto"/>
              </w:rPr>
            </w:pPr>
            <w:r>
              <w:rPr>
                <w:rFonts w:ascii="Arial" w:cs="Arial" w:eastAsia="Arial" w:hAnsi="Arial"/>
                <w:sz w:val="18"/>
                <w:szCs w:val="18"/>
                <w:color w:val="auto"/>
              </w:rPr>
              <w:t>If to the Company:</w:t>
            </w:r>
          </w:p>
        </w:tc>
        <w:tc>
          <w:tcPr>
            <w:tcW w:w="7480" w:type="dxa"/>
            <w:vAlign w:val="bottom"/>
          </w:tcPr>
          <w:p>
            <w:pPr>
              <w:ind w:left="1380"/>
              <w:spacing w:after="0"/>
              <w:rPr>
                <w:sz w:val="20"/>
                <w:szCs w:val="20"/>
                <w:color w:val="auto"/>
              </w:rPr>
            </w:pPr>
            <w:r>
              <w:rPr>
                <w:rFonts w:ascii="Arial" w:cs="Arial" w:eastAsia="Arial" w:hAnsi="Arial"/>
                <w:sz w:val="18"/>
                <w:szCs w:val="18"/>
                <w:color w:val="auto"/>
              </w:rPr>
              <w:t>Dragonfly Energy Holdings Corp.</w:t>
            </w:r>
          </w:p>
        </w:tc>
      </w:tr>
      <w:tr>
        <w:trPr>
          <w:trHeight w:val="216"/>
        </w:trPr>
        <w:tc>
          <w:tcPr>
            <w:tcW w:w="3760" w:type="dxa"/>
            <w:vAlign w:val="bottom"/>
          </w:tcPr>
          <w:p>
            <w:pPr>
              <w:spacing w:after="0"/>
              <w:rPr>
                <w:sz w:val="18"/>
                <w:szCs w:val="18"/>
                <w:color w:val="auto"/>
              </w:rPr>
            </w:pPr>
          </w:p>
        </w:tc>
        <w:tc>
          <w:tcPr>
            <w:tcW w:w="7480" w:type="dxa"/>
            <w:vAlign w:val="bottom"/>
          </w:tcPr>
          <w:p>
            <w:pPr>
              <w:ind w:left="1380"/>
              <w:spacing w:after="0"/>
              <w:rPr>
                <w:sz w:val="20"/>
                <w:szCs w:val="20"/>
                <w:color w:val="auto"/>
              </w:rPr>
            </w:pPr>
            <w:r>
              <w:rPr>
                <w:rFonts w:ascii="Arial" w:cs="Arial" w:eastAsia="Arial" w:hAnsi="Arial"/>
                <w:sz w:val="18"/>
                <w:szCs w:val="18"/>
                <w:color w:val="auto"/>
              </w:rPr>
              <w:t>1190 Trademark Dr. #108</w:t>
            </w:r>
          </w:p>
        </w:tc>
      </w:tr>
      <w:tr>
        <w:trPr>
          <w:trHeight w:val="216"/>
        </w:trPr>
        <w:tc>
          <w:tcPr>
            <w:tcW w:w="3760" w:type="dxa"/>
            <w:vAlign w:val="bottom"/>
          </w:tcPr>
          <w:p>
            <w:pPr>
              <w:spacing w:after="0"/>
              <w:rPr>
                <w:sz w:val="18"/>
                <w:szCs w:val="18"/>
                <w:color w:val="auto"/>
              </w:rPr>
            </w:pPr>
          </w:p>
        </w:tc>
        <w:tc>
          <w:tcPr>
            <w:tcW w:w="7480" w:type="dxa"/>
            <w:vAlign w:val="bottom"/>
          </w:tcPr>
          <w:p>
            <w:pPr>
              <w:ind w:left="1380"/>
              <w:spacing w:after="0"/>
              <w:rPr>
                <w:sz w:val="20"/>
                <w:szCs w:val="20"/>
                <w:color w:val="auto"/>
              </w:rPr>
            </w:pPr>
            <w:r>
              <w:rPr>
                <w:rFonts w:ascii="Arial" w:cs="Arial" w:eastAsia="Arial" w:hAnsi="Arial"/>
                <w:sz w:val="18"/>
                <w:szCs w:val="18"/>
                <w:color w:val="auto"/>
              </w:rPr>
              <w:t>Reno, NV 89521</w:t>
            </w:r>
          </w:p>
        </w:tc>
      </w:tr>
      <w:tr>
        <w:trPr>
          <w:trHeight w:val="216"/>
        </w:trPr>
        <w:tc>
          <w:tcPr>
            <w:tcW w:w="3760" w:type="dxa"/>
            <w:vAlign w:val="bottom"/>
          </w:tcPr>
          <w:p>
            <w:pPr>
              <w:spacing w:after="0"/>
              <w:rPr>
                <w:sz w:val="18"/>
                <w:szCs w:val="18"/>
                <w:color w:val="auto"/>
              </w:rPr>
            </w:pPr>
          </w:p>
        </w:tc>
        <w:tc>
          <w:tcPr>
            <w:tcW w:w="7480" w:type="dxa"/>
            <w:vAlign w:val="bottom"/>
          </w:tcPr>
          <w:p>
            <w:pPr>
              <w:ind w:left="1380"/>
              <w:spacing w:after="0"/>
              <w:rPr>
                <w:sz w:val="20"/>
                <w:szCs w:val="20"/>
                <w:color w:val="auto"/>
              </w:rPr>
            </w:pPr>
            <w:r>
              <w:rPr>
                <w:rFonts w:ascii="Arial" w:cs="Arial" w:eastAsia="Arial" w:hAnsi="Arial"/>
                <w:sz w:val="18"/>
                <w:szCs w:val="18"/>
                <w:color w:val="auto"/>
              </w:rPr>
              <w:t>Attention: John Marchetti</w:t>
            </w:r>
          </w:p>
        </w:tc>
      </w:tr>
      <w:tr>
        <w:trPr>
          <w:trHeight w:val="230"/>
        </w:trPr>
        <w:tc>
          <w:tcPr>
            <w:tcW w:w="3760" w:type="dxa"/>
            <w:vAlign w:val="bottom"/>
          </w:tcPr>
          <w:p>
            <w:pPr>
              <w:spacing w:after="0"/>
              <w:rPr>
                <w:sz w:val="20"/>
                <w:szCs w:val="20"/>
                <w:color w:val="auto"/>
              </w:rPr>
            </w:pPr>
          </w:p>
        </w:tc>
        <w:tc>
          <w:tcPr>
            <w:tcW w:w="7480" w:type="dxa"/>
            <w:vAlign w:val="bottom"/>
          </w:tcPr>
          <w:p>
            <w:pPr>
              <w:ind w:left="1380"/>
              <w:spacing w:after="0"/>
              <w:rPr>
                <w:sz w:val="20"/>
                <w:szCs w:val="20"/>
                <w:color w:val="auto"/>
              </w:rPr>
            </w:pPr>
            <w:r>
              <w:rPr>
                <w:rFonts w:ascii="Arial" w:cs="Arial" w:eastAsia="Arial" w:hAnsi="Arial"/>
                <w:sz w:val="18"/>
                <w:szCs w:val="18"/>
                <w:color w:val="auto"/>
              </w:rPr>
              <w:t>Email: jmarchetti@dragonflyenergy.com</w:t>
            </w:r>
          </w:p>
        </w:tc>
      </w:tr>
      <w:tr>
        <w:trPr>
          <w:trHeight w:val="418"/>
        </w:trPr>
        <w:tc>
          <w:tcPr>
            <w:tcW w:w="3760" w:type="dxa"/>
            <w:vAlign w:val="bottom"/>
          </w:tcPr>
          <w:p>
            <w:pPr>
              <w:ind w:left="660"/>
              <w:spacing w:after="0"/>
              <w:rPr>
                <w:sz w:val="20"/>
                <w:szCs w:val="20"/>
                <w:color w:val="auto"/>
              </w:rPr>
            </w:pPr>
            <w:r>
              <w:rPr>
                <w:rFonts w:ascii="Arial" w:cs="Arial" w:eastAsia="Arial" w:hAnsi="Arial"/>
                <w:sz w:val="18"/>
                <w:szCs w:val="18"/>
                <w:color w:val="auto"/>
              </w:rPr>
              <w:t>with a copy to:</w:t>
            </w:r>
          </w:p>
        </w:tc>
        <w:tc>
          <w:tcPr>
            <w:tcW w:w="7480" w:type="dxa"/>
            <w:vAlign w:val="bottom"/>
          </w:tcPr>
          <w:p>
            <w:pPr>
              <w:ind w:left="1380"/>
              <w:spacing w:after="0"/>
              <w:rPr>
                <w:sz w:val="20"/>
                <w:szCs w:val="20"/>
                <w:color w:val="auto"/>
              </w:rPr>
            </w:pPr>
            <w:r>
              <w:rPr>
                <w:rFonts w:ascii="Arial" w:cs="Arial" w:eastAsia="Arial" w:hAnsi="Arial"/>
                <w:sz w:val="18"/>
                <w:szCs w:val="18"/>
                <w:color w:val="auto"/>
              </w:rPr>
              <w:t>Lowenstein Sandler LLP</w:t>
            </w:r>
          </w:p>
        </w:tc>
      </w:tr>
      <w:tr>
        <w:trPr>
          <w:trHeight w:val="216"/>
        </w:trPr>
        <w:tc>
          <w:tcPr>
            <w:tcW w:w="3760" w:type="dxa"/>
            <w:vAlign w:val="bottom"/>
          </w:tcPr>
          <w:p>
            <w:pPr>
              <w:spacing w:after="0"/>
              <w:rPr>
                <w:sz w:val="18"/>
                <w:szCs w:val="18"/>
                <w:color w:val="auto"/>
              </w:rPr>
            </w:pPr>
          </w:p>
        </w:tc>
        <w:tc>
          <w:tcPr>
            <w:tcW w:w="7480" w:type="dxa"/>
            <w:vAlign w:val="bottom"/>
          </w:tcPr>
          <w:p>
            <w:pPr>
              <w:ind w:left="1380"/>
              <w:spacing w:after="0"/>
              <w:rPr>
                <w:sz w:val="20"/>
                <w:szCs w:val="20"/>
                <w:color w:val="auto"/>
              </w:rPr>
            </w:pPr>
            <w:r>
              <w:rPr>
                <w:rFonts w:ascii="Arial" w:cs="Arial" w:eastAsia="Arial" w:hAnsi="Arial"/>
                <w:sz w:val="18"/>
                <w:szCs w:val="18"/>
                <w:color w:val="auto"/>
              </w:rPr>
              <w:t>1251 Avenue of the Americas</w:t>
            </w:r>
          </w:p>
        </w:tc>
      </w:tr>
      <w:tr>
        <w:trPr>
          <w:trHeight w:val="216"/>
        </w:trPr>
        <w:tc>
          <w:tcPr>
            <w:tcW w:w="3760" w:type="dxa"/>
            <w:vAlign w:val="bottom"/>
          </w:tcPr>
          <w:p>
            <w:pPr>
              <w:spacing w:after="0"/>
              <w:rPr>
                <w:sz w:val="18"/>
                <w:szCs w:val="18"/>
                <w:color w:val="auto"/>
              </w:rPr>
            </w:pPr>
          </w:p>
        </w:tc>
        <w:tc>
          <w:tcPr>
            <w:tcW w:w="7480" w:type="dxa"/>
            <w:vAlign w:val="bottom"/>
          </w:tcPr>
          <w:p>
            <w:pPr>
              <w:ind w:left="1380"/>
              <w:spacing w:after="0"/>
              <w:rPr>
                <w:sz w:val="20"/>
                <w:szCs w:val="20"/>
                <w:color w:val="auto"/>
              </w:rPr>
            </w:pPr>
            <w:r>
              <w:rPr>
                <w:rFonts w:ascii="Arial" w:cs="Arial" w:eastAsia="Arial" w:hAnsi="Arial"/>
                <w:sz w:val="18"/>
                <w:szCs w:val="18"/>
                <w:color w:val="auto"/>
              </w:rPr>
              <w:t>New York, NY 10020</w:t>
            </w:r>
          </w:p>
        </w:tc>
      </w:tr>
      <w:tr>
        <w:trPr>
          <w:trHeight w:val="216"/>
        </w:trPr>
        <w:tc>
          <w:tcPr>
            <w:tcW w:w="3760" w:type="dxa"/>
            <w:vAlign w:val="bottom"/>
          </w:tcPr>
          <w:p>
            <w:pPr>
              <w:spacing w:after="0"/>
              <w:rPr>
                <w:sz w:val="18"/>
                <w:szCs w:val="18"/>
                <w:color w:val="auto"/>
              </w:rPr>
            </w:pPr>
          </w:p>
        </w:tc>
        <w:tc>
          <w:tcPr>
            <w:tcW w:w="7480" w:type="dxa"/>
            <w:vAlign w:val="bottom"/>
          </w:tcPr>
          <w:p>
            <w:pPr>
              <w:ind w:left="1380"/>
              <w:spacing w:after="0"/>
              <w:rPr>
                <w:sz w:val="20"/>
                <w:szCs w:val="20"/>
                <w:color w:val="auto"/>
              </w:rPr>
            </w:pPr>
            <w:r>
              <w:rPr>
                <w:rFonts w:ascii="Arial" w:cs="Arial" w:eastAsia="Arial" w:hAnsi="Arial"/>
                <w:sz w:val="18"/>
                <w:szCs w:val="18"/>
                <w:color w:val="auto"/>
              </w:rPr>
              <w:t>Attention: Steven M. Skolnick</w:t>
            </w:r>
          </w:p>
        </w:tc>
      </w:tr>
      <w:tr>
        <w:trPr>
          <w:trHeight w:val="230"/>
        </w:trPr>
        <w:tc>
          <w:tcPr>
            <w:tcW w:w="3760" w:type="dxa"/>
            <w:vAlign w:val="bottom"/>
          </w:tcPr>
          <w:p>
            <w:pPr>
              <w:spacing w:after="0"/>
              <w:rPr>
                <w:sz w:val="20"/>
                <w:szCs w:val="20"/>
                <w:color w:val="auto"/>
              </w:rPr>
            </w:pPr>
          </w:p>
        </w:tc>
        <w:tc>
          <w:tcPr>
            <w:tcW w:w="7480" w:type="dxa"/>
            <w:vAlign w:val="bottom"/>
          </w:tcPr>
          <w:p>
            <w:pPr>
              <w:ind w:left="1380"/>
              <w:spacing w:after="0"/>
              <w:rPr>
                <w:sz w:val="20"/>
                <w:szCs w:val="20"/>
                <w:color w:val="auto"/>
              </w:rPr>
            </w:pPr>
            <w:r>
              <w:rPr>
                <w:rFonts w:ascii="Arial" w:cs="Arial" w:eastAsia="Arial" w:hAnsi="Arial"/>
                <w:sz w:val="18"/>
                <w:szCs w:val="18"/>
                <w:color w:val="auto"/>
              </w:rPr>
              <w:t>Email: sskolnick@lowenstein.com</w:t>
            </w:r>
          </w:p>
        </w:tc>
      </w:tr>
      <w:tr>
        <w:trPr>
          <w:trHeight w:val="439"/>
        </w:trPr>
        <w:tc>
          <w:tcPr>
            <w:tcW w:w="376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240"/>
          </w:cols>
          <w:pgMar w:left="320" w:top="692" w:right="339" w:bottom="1440" w:gutter="0" w:footer="0" w:header="0"/>
        </w:sectPr>
      </w:pPr>
    </w:p>
    <w:bookmarkStart w:id="43" w:name="page44"/>
    <w:bookmarkEnd w:id="43"/>
    <w:p>
      <w:pPr>
        <w:jc w:val="both"/>
        <w:ind w:firstLine="648"/>
        <w:spacing w:after="0" w:line="275" w:lineRule="auto"/>
        <w:rPr>
          <w:sz w:val="20"/>
          <w:szCs w:val="20"/>
          <w:color w:val="auto"/>
        </w:rPr>
      </w:pPr>
      <w:r>
        <w:rPr>
          <w:rFonts w:ascii="Arial" w:cs="Arial" w:eastAsia="Arial" w:hAnsi="Arial"/>
          <w:sz w:val="17"/>
          <w:szCs w:val="17"/>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w:t>
      </w:r>
    </w:p>
    <w:p>
      <w:pPr>
        <w:spacing w:after="0" w:line="172" w:lineRule="exact"/>
        <w:rPr>
          <w:sz w:val="20"/>
          <w:szCs w:val="20"/>
          <w:color w:val="auto"/>
        </w:rPr>
      </w:pPr>
    </w:p>
    <w:p>
      <w:pPr>
        <w:jc w:val="both"/>
        <w:ind w:firstLine="656"/>
        <w:spacing w:after="0" w:line="258" w:lineRule="auto"/>
        <w:tabs>
          <w:tab w:leader="none" w:pos="919"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Electronic Notice</w:t>
      </w:r>
      <w:r>
        <w:rPr>
          <w:rFonts w:ascii="Arial" w:cs="Arial" w:eastAsia="Arial" w:hAnsi="Arial"/>
          <w:sz w:val="18"/>
          <w:szCs w:val="18"/>
          <w:color w:val="auto"/>
        </w:rPr>
        <w:t>. An electronic communication (“</w:t>
      </w:r>
      <w:r>
        <w:rPr>
          <w:rFonts w:ascii="Arial" w:cs="Arial" w:eastAsia="Arial" w:hAnsi="Arial"/>
          <w:sz w:val="18"/>
          <w:szCs w:val="18"/>
          <w:b w:val="1"/>
          <w:bCs w:val="1"/>
          <w:color w:val="auto"/>
        </w:rPr>
        <w:t>Electronic Notice</w:t>
      </w:r>
      <w:r>
        <w:rPr>
          <w:rFonts w:ascii="Arial" w:cs="Arial" w:eastAsia="Arial" w:hAnsi="Arial"/>
          <w:sz w:val="18"/>
          <w:szCs w:val="18"/>
          <w:color w:val="auto"/>
        </w:rPr>
        <w:t>”) shall be deemed written notice for purposes of this Section 16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Arial" w:cs="Arial" w:eastAsia="Arial" w:hAnsi="Arial"/>
          <w:sz w:val="18"/>
          <w:szCs w:val="18"/>
          <w:b w:val="1"/>
          <w:bCs w:val="1"/>
          <w:color w:val="auto"/>
        </w:rPr>
        <w:t>Nonelectronic Notice</w:t>
      </w:r>
      <w:r>
        <w:rPr>
          <w:rFonts w:ascii="Arial" w:cs="Arial" w:eastAsia="Arial" w:hAnsi="Arial"/>
          <w:sz w:val="18"/>
          <w:szCs w:val="18"/>
          <w:color w:val="auto"/>
        </w:rPr>
        <w:t>”) which shall be sent to the requesting party within ten (10) days of receipt of the written request for Nonelectronic Notice.</w:t>
      </w:r>
    </w:p>
    <w:p>
      <w:pPr>
        <w:spacing w:after="0" w:line="187" w:lineRule="exact"/>
        <w:rPr>
          <w:rFonts w:ascii="Arial" w:cs="Arial" w:eastAsia="Arial" w:hAnsi="Arial"/>
          <w:sz w:val="18"/>
          <w:szCs w:val="18"/>
          <w:color w:val="auto"/>
        </w:rPr>
      </w:pPr>
    </w:p>
    <w:p>
      <w:pPr>
        <w:jc w:val="both"/>
        <w:ind w:firstLine="656"/>
        <w:spacing w:after="0" w:line="254" w:lineRule="auto"/>
        <w:tabs>
          <w:tab w:leader="none" w:pos="94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inure to the benefit of and be binding upon the Company and the Underwriters and their respective successors and the parties referred to in Section 11.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Representative may assign its rights and obligations hereunder to an affiliate thereof without obtaining the Company’s consent.</w:t>
      </w:r>
    </w:p>
    <w:p>
      <w:pPr>
        <w:spacing w:after="0" w:line="194" w:lineRule="exact"/>
        <w:rPr>
          <w:rFonts w:ascii="Arial" w:cs="Arial" w:eastAsia="Arial" w:hAnsi="Arial"/>
          <w:sz w:val="18"/>
          <w:szCs w:val="18"/>
          <w:color w:val="auto"/>
        </w:rPr>
      </w:pPr>
    </w:p>
    <w:p>
      <w:pPr>
        <w:jc w:val="both"/>
        <w:ind w:firstLine="656"/>
        <w:spacing w:after="0" w:line="259" w:lineRule="auto"/>
        <w:tabs>
          <w:tab w:leader="none" w:pos="94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Partial Unenforceability</w:t>
      </w:r>
      <w:r>
        <w:rPr>
          <w:rFonts w:ascii="Arial" w:cs="Arial" w:eastAsia="Arial" w:hAnsi="Arial"/>
          <w:sz w:val="18"/>
          <w:szCs w:val="18"/>
          <w:color w:val="auto"/>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6" w:lineRule="exact"/>
        <w:rPr>
          <w:rFonts w:ascii="Arial" w:cs="Arial" w:eastAsia="Arial" w:hAnsi="Arial"/>
          <w:sz w:val="18"/>
          <w:szCs w:val="18"/>
          <w:color w:val="auto"/>
        </w:rPr>
      </w:pPr>
    </w:p>
    <w:p>
      <w:pPr>
        <w:jc w:val="both"/>
        <w:ind w:firstLine="656"/>
        <w:spacing w:after="0" w:line="269" w:lineRule="auto"/>
        <w:tabs>
          <w:tab w:leader="none" w:pos="936"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Entire Agreement; Amendment; Severability; Waiver</w:t>
      </w:r>
      <w:r>
        <w:rPr>
          <w:rFonts w:ascii="Arial" w:cs="Arial" w:eastAsia="Arial" w:hAnsi="Arial"/>
          <w:sz w:val="17"/>
          <w:szCs w:val="17"/>
          <w:color w:val="auto"/>
        </w:rPr>
        <w:t>. This Agreement (including all schedules and exhibits attached hereto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Representative.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jc w:val="both"/>
        <w:ind w:firstLine="656"/>
        <w:spacing w:after="0" w:line="258" w:lineRule="auto"/>
        <w:tabs>
          <w:tab w:leader="none" w:pos="990"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AND TIME; WAIVER OF JURY TRIAL</w:t>
      </w:r>
      <w:r>
        <w:rPr>
          <w:rFonts w:ascii="Arial" w:cs="Arial" w:eastAsia="Arial" w:hAnsi="Arial"/>
          <w:sz w:val="18"/>
          <w:szCs w:val="18"/>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83" w:lineRule="exact"/>
        <w:rPr>
          <w:rFonts w:ascii="Arial" w:cs="Arial" w:eastAsia="Arial" w:hAnsi="Arial"/>
          <w:sz w:val="18"/>
          <w:szCs w:val="18"/>
          <w:color w:val="auto"/>
        </w:rPr>
      </w:pPr>
    </w:p>
    <w:p>
      <w:pPr>
        <w:jc w:val="both"/>
        <w:ind w:firstLine="656"/>
        <w:spacing w:after="0" w:line="253" w:lineRule="auto"/>
        <w:tabs>
          <w:tab w:leader="none" w:pos="923"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CONSENT TO JURISDICTION</w:t>
      </w:r>
      <w:r>
        <w:rPr>
          <w:rFonts w:ascii="Arial" w:cs="Arial" w:eastAsia="Arial" w:hAnsi="Arial"/>
          <w:sz w:val="18"/>
          <w:szCs w:val="18"/>
          <w:b w:val="1"/>
          <w:bCs w:val="1"/>
          <w:color w:val="auto"/>
        </w:rPr>
        <w:t>.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93" w:lineRule="exact"/>
        <w:rPr>
          <w:rFonts w:ascii="Arial" w:cs="Arial" w:eastAsia="Arial" w:hAnsi="Arial"/>
          <w:sz w:val="18"/>
          <w:szCs w:val="18"/>
          <w:color w:val="auto"/>
        </w:rPr>
      </w:pPr>
    </w:p>
    <w:p>
      <w:pPr>
        <w:jc w:val="both"/>
        <w:ind w:firstLine="656"/>
        <w:spacing w:after="0" w:line="263" w:lineRule="auto"/>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48"/>
        </w:numPr>
        <w:rPr>
          <w:rFonts w:ascii="Arial" w:cs="Arial" w:eastAsia="Arial" w:hAnsi="Arial"/>
          <w:sz w:val="18"/>
          <w:szCs w:val="18"/>
          <w:b w:val="1"/>
          <w:bCs w:val="1"/>
          <w:color w:val="auto"/>
        </w:rPr>
      </w:pPr>
      <w:r>
        <w:rPr>
          <w:rFonts w:ascii="Arial" w:cs="Arial" w:eastAsia="Arial" w:hAnsi="Arial"/>
          <w:sz w:val="18"/>
          <w:szCs w:val="18"/>
          <w:color w:val="auto"/>
        </w:rPr>
        <w:t>The section and exhibit headings herein are for convenience only and shall not affect the construction hereof;</w:t>
      </w:r>
    </w:p>
    <w:p>
      <w:pPr>
        <w:spacing w:after="0" w:line="225" w:lineRule="exact"/>
        <w:rPr>
          <w:rFonts w:ascii="Arial" w:cs="Arial" w:eastAsia="Arial" w:hAnsi="Arial"/>
          <w:sz w:val="18"/>
          <w:szCs w:val="18"/>
          <w:b w:val="1"/>
          <w:bCs w:val="1"/>
          <w:color w:val="auto"/>
        </w:rPr>
      </w:pPr>
    </w:p>
    <w:p>
      <w:pPr>
        <w:ind w:left="1560" w:hanging="256"/>
        <w:spacing w:after="0"/>
        <w:tabs>
          <w:tab w:leader="none" w:pos="1560" w:val="left"/>
        </w:tabs>
        <w:numPr>
          <w:ilvl w:val="1"/>
          <w:numId w:val="48"/>
        </w:numPr>
        <w:rPr>
          <w:rFonts w:ascii="Arial" w:cs="Arial" w:eastAsia="Arial" w:hAnsi="Arial"/>
          <w:sz w:val="18"/>
          <w:szCs w:val="18"/>
          <w:b w:val="1"/>
          <w:bCs w:val="1"/>
          <w:color w:val="auto"/>
        </w:rPr>
      </w:pPr>
      <w:r>
        <w:rPr>
          <w:rFonts w:ascii="Arial" w:cs="Arial" w:eastAsia="Arial" w:hAnsi="Arial"/>
          <w:sz w:val="18"/>
          <w:szCs w:val="18"/>
          <w:color w:val="auto"/>
        </w:rPr>
        <w:t>words defined in the singular shall have a comparable meaning when used in the plural, and vice versa;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ind w:firstLine="1304"/>
        <w:spacing w:after="0" w:line="277" w:lineRule="auto"/>
        <w:tabs>
          <w:tab w:leader="none" w:pos="1548"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the words “hereof,” “hereto,” “herein” and “hereunder” and words of similar import, when used in this Agreement, shall refer to this Agreement as a whole and not to any particular provision of this Agreement;</w:t>
      </w:r>
    </w:p>
    <w:p>
      <w:pPr>
        <w:spacing w:after="0" w:line="170" w:lineRule="exact"/>
        <w:rPr>
          <w:rFonts w:ascii="Arial" w:cs="Arial" w:eastAsia="Arial" w:hAnsi="Arial"/>
          <w:sz w:val="18"/>
          <w:szCs w:val="18"/>
          <w:b w:val="1"/>
          <w:bCs w:val="1"/>
          <w:color w:val="auto"/>
        </w:rPr>
      </w:pPr>
    </w:p>
    <w:p>
      <w:pPr>
        <w:ind w:left="1580" w:hanging="276"/>
        <w:spacing w:after="0"/>
        <w:tabs>
          <w:tab w:leader="none" w:pos="1580" w:val="left"/>
        </w:tabs>
        <w:numPr>
          <w:ilvl w:val="1"/>
          <w:numId w:val="49"/>
        </w:numPr>
        <w:rPr>
          <w:rFonts w:ascii="Arial" w:cs="Arial" w:eastAsia="Arial" w:hAnsi="Arial"/>
          <w:sz w:val="17"/>
          <w:szCs w:val="17"/>
          <w:b w:val="1"/>
          <w:bCs w:val="1"/>
          <w:color w:val="auto"/>
        </w:rPr>
      </w:pPr>
      <w:r>
        <w:rPr>
          <w:rFonts w:ascii="Arial" w:cs="Arial" w:eastAsia="Arial" w:hAnsi="Arial"/>
          <w:sz w:val="17"/>
          <w:szCs w:val="17"/>
          <w:color w:val="auto"/>
        </w:rPr>
        <w:t>wherever the word “include,” “includes” or “including” is used in this Agreement, it shall be deemed to be followed by the words</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“without limitation”;</w:t>
      </w:r>
    </w:p>
    <w:p>
      <w:pPr>
        <w:spacing w:after="0" w:line="210" w:lineRule="exact"/>
        <w:rPr>
          <w:rFonts w:ascii="Arial" w:cs="Arial" w:eastAsia="Arial" w:hAnsi="Arial"/>
          <w:sz w:val="17"/>
          <w:szCs w:val="17"/>
          <w:b w:val="1"/>
          <w:bCs w:val="1"/>
          <w:color w:val="auto"/>
        </w:rPr>
      </w:pPr>
    </w:p>
    <w:p>
      <w:pPr>
        <w:ind w:left="1540" w:hanging="236"/>
        <w:spacing w:after="0"/>
        <w:tabs>
          <w:tab w:leader="none" w:pos="154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references herein to any gender shall include each other gender;</w:t>
      </w:r>
    </w:p>
    <w:p>
      <w:pPr>
        <w:spacing w:after="0" w:line="225" w:lineRule="exact"/>
        <w:rPr>
          <w:rFonts w:ascii="Arial" w:cs="Arial" w:eastAsia="Arial" w:hAnsi="Arial"/>
          <w:sz w:val="18"/>
          <w:szCs w:val="18"/>
          <w:b w:val="1"/>
          <w:bCs w:val="1"/>
          <w:color w:val="auto"/>
        </w:rPr>
      </w:pPr>
    </w:p>
    <w:p>
      <w:pPr>
        <w:jc w:val="both"/>
        <w:ind w:firstLine="1304"/>
        <w:spacing w:after="0" w:line="311" w:lineRule="auto"/>
        <w:tabs>
          <w:tab w:leader="none" w:pos="1536" w:val="left"/>
        </w:tabs>
        <w:numPr>
          <w:ilvl w:val="1"/>
          <w:numId w:val="49"/>
        </w:numPr>
        <w:rPr>
          <w:rFonts w:ascii="Arial" w:cs="Arial" w:eastAsia="Arial" w:hAnsi="Arial"/>
          <w:sz w:val="16"/>
          <w:szCs w:val="16"/>
          <w:b w:val="1"/>
          <w:bCs w:val="1"/>
          <w:color w:val="auto"/>
        </w:rPr>
      </w:pPr>
      <w:r>
        <w:rPr>
          <w:rFonts w:ascii="Arial" w:cs="Arial" w:eastAsia="Arial" w:hAnsi="Arial"/>
          <w:sz w:val="16"/>
          <w:szCs w:val="16"/>
          <w:color w:val="auto"/>
        </w:rPr>
        <w:t>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48" w:lineRule="exact"/>
        <w:rPr>
          <w:rFonts w:ascii="Arial" w:cs="Arial" w:eastAsia="Arial" w:hAnsi="Arial"/>
          <w:sz w:val="16"/>
          <w:szCs w:val="16"/>
          <w:b w:val="1"/>
          <w:bCs w:val="1"/>
          <w:color w:val="auto"/>
        </w:rPr>
      </w:pPr>
    </w:p>
    <w:p>
      <w:pPr>
        <w:ind w:firstLine="1304"/>
        <w:spacing w:after="0" w:line="342" w:lineRule="auto"/>
        <w:tabs>
          <w:tab w:leader="none" w:pos="1551" w:val="left"/>
        </w:tabs>
        <w:numPr>
          <w:ilvl w:val="1"/>
          <w:numId w:val="49"/>
        </w:numPr>
        <w:rPr>
          <w:rFonts w:ascii="Arial" w:cs="Arial" w:eastAsia="Arial" w:hAnsi="Arial"/>
          <w:sz w:val="16"/>
          <w:szCs w:val="16"/>
          <w:b w:val="1"/>
          <w:bCs w:val="1"/>
          <w:color w:val="auto"/>
        </w:rPr>
      </w:pPr>
      <w:r>
        <w:rPr>
          <w:rFonts w:ascii="Arial" w:cs="Arial" w:eastAsia="Arial" w:hAnsi="Arial"/>
          <w:sz w:val="16"/>
          <w:szCs w:val="16"/>
          <w:color w:val="auto"/>
        </w:rPr>
        <w:t>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spacing w:after="0" w:line="119" w:lineRule="exact"/>
        <w:rPr>
          <w:rFonts w:ascii="Arial" w:cs="Arial" w:eastAsia="Arial" w:hAnsi="Arial"/>
          <w:sz w:val="16"/>
          <w:szCs w:val="16"/>
          <w:b w:val="1"/>
          <w:bCs w:val="1"/>
          <w:color w:val="auto"/>
        </w:rPr>
      </w:pPr>
    </w:p>
    <w:p>
      <w:pPr>
        <w:ind w:left="1560" w:hanging="256"/>
        <w:spacing w:after="0"/>
        <w:tabs>
          <w:tab w:leader="none" w:pos="156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means, as it pertains to the Company, the actual knowledge of the officers and directors of the Company;</w:t>
      </w:r>
    </w:p>
    <w:p>
      <w:pPr>
        <w:spacing w:after="0" w:line="225" w:lineRule="exact"/>
        <w:rPr>
          <w:rFonts w:ascii="Arial" w:cs="Arial" w:eastAsia="Arial" w:hAnsi="Arial"/>
          <w:sz w:val="18"/>
          <w:szCs w:val="18"/>
          <w:b w:val="1"/>
          <w:bCs w:val="1"/>
          <w:color w:val="auto"/>
        </w:rPr>
      </w:pPr>
    </w:p>
    <w:p>
      <w:pPr>
        <w:jc w:val="both"/>
        <w:ind w:firstLine="1304"/>
        <w:spacing w:after="0" w:line="289" w:lineRule="auto"/>
        <w:tabs>
          <w:tab w:leader="none" w:pos="1556" w:val="left"/>
        </w:tabs>
        <w:numPr>
          <w:ilvl w:val="1"/>
          <w:numId w:val="4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spacing w:after="0" w:line="157" w:lineRule="exact"/>
        <w:rPr>
          <w:rFonts w:ascii="Arial" w:cs="Arial" w:eastAsia="Arial" w:hAnsi="Arial"/>
          <w:sz w:val="17"/>
          <w:szCs w:val="17"/>
          <w:b w:val="1"/>
          <w:bCs w:val="1"/>
          <w:color w:val="auto"/>
        </w:rPr>
      </w:pPr>
    </w:p>
    <w:p>
      <w:pPr>
        <w:jc w:val="both"/>
        <w:ind w:firstLine="1304"/>
        <w:spacing w:after="0" w:line="303" w:lineRule="auto"/>
        <w:tabs>
          <w:tab w:leader="none" w:pos="1523" w:val="left"/>
        </w:tabs>
        <w:numPr>
          <w:ilvl w:val="1"/>
          <w:numId w:val="4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Law</w:t>
      </w:r>
      <w:r>
        <w:rPr>
          <w:rFonts w:ascii="Arial" w:cs="Arial" w:eastAsia="Arial" w:hAnsi="Arial"/>
          <w:sz w:val="16"/>
          <w:szCs w:val="16"/>
          <w:color w:val="auto"/>
        </w:rPr>
        <w:t>” means any and all laws, including all federal, state, local, municipal, national or foreign statutes, codes, ordinances, guidelines, decrees, rules, regulations and by-laws and all judicial, arbitral, administrative, ministerial, departmental or regulatory judgments, orders, directives, decisions, rulings or awards or other requirements of any Governmental Authority, binding on or affecting the person referred to in the context in which the term is used and rules, regulations and policies of any stock exchange on which securities of the Company are listed for trading; and</w:t>
      </w:r>
    </w:p>
    <w:p>
      <w:pPr>
        <w:spacing w:after="0" w:line="150" w:lineRule="exact"/>
        <w:rPr>
          <w:rFonts w:ascii="Arial" w:cs="Arial" w:eastAsia="Arial" w:hAnsi="Arial"/>
          <w:sz w:val="16"/>
          <w:szCs w:val="16"/>
          <w:b w:val="1"/>
          <w:bCs w:val="1"/>
          <w:color w:val="auto"/>
        </w:rPr>
      </w:pPr>
    </w:p>
    <w:p>
      <w:pPr>
        <w:ind w:left="1560" w:hanging="256"/>
        <w:spacing w:after="0"/>
        <w:tabs>
          <w:tab w:leader="none" w:pos="1560" w:val="left"/>
        </w:tabs>
        <w:numPr>
          <w:ilvl w:val="1"/>
          <w:numId w:val="4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on which the Nasdaq and commercial banks in the City of New York are open for business.</w:t>
      </w:r>
    </w:p>
    <w:p>
      <w:pPr>
        <w:spacing w:after="0" w:line="240" w:lineRule="exact"/>
        <w:rPr>
          <w:rFonts w:ascii="Arial" w:cs="Arial" w:eastAsia="Arial" w:hAnsi="Arial"/>
          <w:sz w:val="17"/>
          <w:szCs w:val="17"/>
          <w:b w:val="1"/>
          <w:bCs w:val="1"/>
          <w:color w:val="auto"/>
        </w:rPr>
      </w:pPr>
    </w:p>
    <w:p>
      <w:pPr>
        <w:ind w:left="920" w:hanging="264"/>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Each of the parties hereto acknowledges that it is a sophisticated business person who was adequately represented by counsel during negotiations regarding the provisions hereof, including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 w:name="page47"/>
    <w:bookmarkEnd w:id="46"/>
    <w:p>
      <w:pPr>
        <w:ind w:firstLine="648"/>
        <w:spacing w:after="0" w:line="277" w:lineRule="auto"/>
        <w:rPr>
          <w:sz w:val="20"/>
          <w:szCs w:val="20"/>
          <w:color w:val="auto"/>
        </w:rPr>
      </w:pPr>
      <w:r>
        <w:rPr>
          <w:rFonts w:ascii="Arial" w:cs="Arial" w:eastAsia="Arial" w:hAnsi="Arial"/>
          <w:sz w:val="18"/>
          <w:szCs w:val="18"/>
          <w:color w:val="auto"/>
        </w:rPr>
        <w:t>If the foregoing correctly sets forth the understanding between the Company and the Underwriters, please so indicate in the space provided below for that purpose, whereupon this letter shall constitute a binding agreement between the Company and the Underwriters.</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DRAGONFLY ENERGY HOLDINGS CORP.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Denis Phares</w:t>
      </w:r>
    </w:p>
    <w:p>
      <w:pPr>
        <w:spacing w:after="0" w:line="36"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ACCEPTED as of the date first-above written:</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ROTH CAPITAL PARTNERS,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 xml:space="preserve">For itself and the other several Underwriters named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to this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DRAGONFLY ENERGY HOLDINGS CORP. –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7"/>
          <w:szCs w:val="17"/>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7"/>
          <w:szCs w:val="17"/>
          <w:b w:val="1"/>
          <w:bCs w:val="1"/>
          <w:color w:val="auto"/>
        </w:rPr>
        <w:t>SCHEDULE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SCHEDULE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Pricing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306070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7"/>
          <w:szCs w:val="17"/>
          <w:b w:val="1"/>
          <w:bCs w:val="1"/>
          <w:color w:val="auto"/>
        </w:rPr>
        <w:t>SCHEDULE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Form of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Parties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Form of Underwriter’s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54" w:name="page55"/>
    <w:bookmarkEnd w:id="54"/>
    <w:p>
      <w:pPr>
        <w:ind w:left="10400"/>
        <w:spacing w:after="0"/>
        <w:rPr>
          <w:sz w:val="20"/>
          <w:szCs w:val="20"/>
          <w:color w:val="auto"/>
        </w:rPr>
      </w:pPr>
      <w:r>
        <w:rPr>
          <w:rFonts w:ascii="Arial" w:cs="Arial" w:eastAsia="Arial" w:hAnsi="Arial"/>
          <w:sz w:val="16"/>
          <w:szCs w:val="16"/>
          <w:b w:val="1"/>
          <w:bCs w:val="1"/>
          <w:color w:val="auto"/>
        </w:rPr>
        <w:t>Exhibit 4.8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Underwriter’s Warrant Agreement</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REGISTERED HOLDER OF THIS PURCHASE WARRANT BY ITS ACCEPTANCE HEREOF, AGREES THAT IT WILL NOT SELL, TRANSFER OR ASSIGN THIS PURCHASE WARRANT EXCEPT AS HEREIN PROVIDED AND THE REGISTERED HOLDER OF THIS PURCHASE WARRANT AGREES THAT IT WILL NOT SELL, TRANSFER, ASSIGN, PLEDGE OR HYPOTHECATE THIS PURCHASE WARRANT FOR A PERIOD OF ONE HUNDRED EIGHTY DAYS FOLLOWING THE FIRST CLOSING DATE (DEFINED BELOW) TO ANYONE OTHER THAN (I) ROTH CAPITAL PARTNERS, LLC OR AN UNDERWRITER OR A SELECTED DEALER IN CONNECTION WITH THE OFFERING, OR</w:t>
      </w:r>
    </w:p>
    <w:p>
      <w:pPr>
        <w:spacing w:after="0" w:line="3" w:lineRule="exact"/>
        <w:rPr>
          <w:sz w:val="20"/>
          <w:szCs w:val="20"/>
          <w:color w:val="auto"/>
        </w:rPr>
      </w:pPr>
    </w:p>
    <w:p>
      <w:pPr>
        <w:ind w:right="80" w:firstLine="8"/>
        <w:spacing w:after="0" w:line="519" w:lineRule="auto"/>
        <w:tabs>
          <w:tab w:leader="none" w:pos="275"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BONA FIDE OFFICER OR PARTNER OF ROTH CAPITAL PARTNERS, LLC OR OF ANY SUCH UNDERWRITER OR SELECTED DEALER. THIS PURCHASE WARRANT IS EXERCISABLE ON [________], 2023. VOID AFTER 5:00 P.M., EASTERN TIME, [________], 2028.</w:t>
      </w:r>
    </w:p>
    <w:p>
      <w:pPr>
        <w:jc w:val="center"/>
        <w:spacing w:after="0"/>
        <w:rPr>
          <w:sz w:val="20"/>
          <w:szCs w:val="20"/>
          <w:color w:val="auto"/>
        </w:rPr>
      </w:pPr>
      <w:r>
        <w:rPr>
          <w:rFonts w:ascii="Arial" w:cs="Arial" w:eastAsia="Arial" w:hAnsi="Arial"/>
          <w:sz w:val="18"/>
          <w:szCs w:val="18"/>
          <w:b w:val="1"/>
          <w:bCs w:val="1"/>
          <w:color w:val="auto"/>
        </w:rPr>
        <w:t>COMMON STOCK PURCHASE WARRANT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Purchase of [_____] Shares of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DRAGONFLY ENERGY HOLDINGS CORP.</w:t>
      </w:r>
    </w:p>
    <w:p>
      <w:pPr>
        <w:spacing w:after="0" w:line="207" w:lineRule="exact"/>
        <w:rPr>
          <w:sz w:val="20"/>
          <w:szCs w:val="20"/>
          <w:color w:val="auto"/>
        </w:rPr>
      </w:pPr>
    </w:p>
    <w:p>
      <w:pPr>
        <w:jc w:val="both"/>
        <w:ind w:firstLine="8"/>
        <w:spacing w:after="0" w:line="284" w:lineRule="auto"/>
        <w:tabs>
          <w:tab w:leader="none" w:pos="183"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Purchase Warrant</w:t>
      </w:r>
      <w:r>
        <w:rPr>
          <w:rFonts w:ascii="Arial" w:cs="Arial" w:eastAsia="Arial" w:hAnsi="Arial"/>
          <w:sz w:val="16"/>
          <w:szCs w:val="16"/>
          <w:color w:val="auto"/>
        </w:rPr>
        <w:t>. THIS CERTIFIES THAT, in consideration of funds duly paid by or on behalf of Roth Capital Partners, LLC (“</w:t>
      </w:r>
      <w:r>
        <w:rPr>
          <w:rFonts w:ascii="Arial" w:cs="Arial" w:eastAsia="Arial" w:hAnsi="Arial"/>
          <w:sz w:val="16"/>
          <w:szCs w:val="16"/>
          <w:b w:val="1"/>
          <w:bCs w:val="1"/>
          <w:color w:val="auto"/>
        </w:rPr>
        <w:t>Holder</w:t>
      </w:r>
      <w:r>
        <w:rPr>
          <w:rFonts w:ascii="Arial" w:cs="Arial" w:eastAsia="Arial" w:hAnsi="Arial"/>
          <w:sz w:val="16"/>
          <w:szCs w:val="16"/>
          <w:color w:val="auto"/>
        </w:rPr>
        <w:t>”), as registered owner of this Purchase Warrant, to Dragonfly Energy Holdings Corp., a company incorporated in the State of Nevada (the “</w:t>
      </w:r>
      <w:r>
        <w:rPr>
          <w:rFonts w:ascii="Arial" w:cs="Arial" w:eastAsia="Arial" w:hAnsi="Arial"/>
          <w:sz w:val="16"/>
          <w:szCs w:val="16"/>
          <w:b w:val="1"/>
          <w:bCs w:val="1"/>
          <w:color w:val="auto"/>
        </w:rPr>
        <w:t>Company</w:t>
      </w:r>
      <w:r>
        <w:rPr>
          <w:rFonts w:ascii="Arial" w:cs="Arial" w:eastAsia="Arial" w:hAnsi="Arial"/>
          <w:sz w:val="16"/>
          <w:szCs w:val="16"/>
          <w:color w:val="auto"/>
        </w:rPr>
        <w:t>”), Holder is entitled, at any time or from time to time from [__], 2023, the First Closing Date (as defined in the Underwriting Agreement) (the “</w:t>
      </w:r>
      <w:r>
        <w:rPr>
          <w:rFonts w:ascii="Arial" w:cs="Arial" w:eastAsia="Arial" w:hAnsi="Arial"/>
          <w:sz w:val="16"/>
          <w:szCs w:val="16"/>
          <w:b w:val="1"/>
          <w:bCs w:val="1"/>
          <w:color w:val="auto"/>
        </w:rPr>
        <w:t>Commencement Date</w:t>
      </w:r>
      <w:r>
        <w:rPr>
          <w:rFonts w:ascii="Arial" w:cs="Arial" w:eastAsia="Arial" w:hAnsi="Arial"/>
          <w:sz w:val="16"/>
          <w:szCs w:val="16"/>
          <w:color w:val="auto"/>
        </w:rPr>
        <w:t>”), and at or before 5:00 p.m., Eastern time, [__], 2028 (the date that is five (5) years following the signing of the Underwriting Agreement, the “</w:t>
      </w:r>
      <w:r>
        <w:rPr>
          <w:rFonts w:ascii="Arial" w:cs="Arial" w:eastAsia="Arial" w:hAnsi="Arial"/>
          <w:sz w:val="16"/>
          <w:szCs w:val="16"/>
          <w:b w:val="1"/>
          <w:bCs w:val="1"/>
          <w:color w:val="auto"/>
        </w:rPr>
        <w:t>Expiration Date</w:t>
      </w:r>
      <w:r>
        <w:rPr>
          <w:rFonts w:ascii="Arial" w:cs="Arial" w:eastAsia="Arial" w:hAnsi="Arial"/>
          <w:sz w:val="16"/>
          <w:szCs w:val="16"/>
          <w:color w:val="auto"/>
        </w:rPr>
        <w:t>”), but not thereafter, to subscribe for, purchase and receive, in whole or in part, up to [__] shares (the “</w:t>
      </w:r>
      <w:r>
        <w:rPr>
          <w:rFonts w:ascii="Arial" w:cs="Arial" w:eastAsia="Arial" w:hAnsi="Arial"/>
          <w:sz w:val="16"/>
          <w:szCs w:val="16"/>
          <w:b w:val="1"/>
          <w:bCs w:val="1"/>
          <w:color w:val="auto"/>
        </w:rPr>
        <w:t>Shares</w:t>
      </w:r>
      <w:r>
        <w:rPr>
          <w:rFonts w:ascii="Arial" w:cs="Arial" w:eastAsia="Arial" w:hAnsi="Arial"/>
          <w:sz w:val="16"/>
          <w:szCs w:val="16"/>
          <w:color w:val="auto"/>
        </w:rPr>
        <w:t>”) of common stock of the Company, par value $0.0001 per share (the “</w:t>
      </w:r>
      <w:r>
        <w:rPr>
          <w:rFonts w:ascii="Arial" w:cs="Arial" w:eastAsia="Arial" w:hAnsi="Arial"/>
          <w:sz w:val="16"/>
          <w:szCs w:val="16"/>
          <w:b w:val="1"/>
          <w:bCs w:val="1"/>
          <w:color w:val="auto"/>
        </w:rPr>
        <w:t>Common Shares</w:t>
      </w:r>
      <w:r>
        <w:rPr>
          <w:rFonts w:ascii="Arial" w:cs="Arial" w:eastAsia="Arial" w:hAnsi="Arial"/>
          <w:sz w:val="16"/>
          <w:szCs w:val="16"/>
          <w:color w:val="auto"/>
        </w:rPr>
        <w:t>”), subject to adjustment as provided in Section 6 hereof. If the Expiration Date is a day on which banking institutions are authorized by law to close, then this Purchase Warrant may be exercised on the next succeeding day which is not such a day in accordance with the terms herein. During the period ending on the Expiration Date, the Company agrees not to take any action that would terminate this Purchase</w:t>
      </w:r>
    </w:p>
    <w:p>
      <w:pPr>
        <w:jc w:val="both"/>
        <w:spacing w:after="0" w:line="235" w:lineRule="auto"/>
        <w:rPr>
          <w:sz w:val="20"/>
          <w:szCs w:val="20"/>
          <w:color w:val="auto"/>
        </w:rPr>
      </w:pPr>
      <w:r>
        <w:rPr>
          <w:rFonts w:ascii="Arial" w:cs="Arial" w:eastAsia="Arial" w:hAnsi="Arial"/>
          <w:sz w:val="18"/>
          <w:szCs w:val="18"/>
          <w:color w:val="auto"/>
        </w:rPr>
        <w:t>Warrant. This Purchase Warrant is initially exercisable at $[___] per Share</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that upon the occurrence of any of the events specified in Section 6 hereof, the rights granted by this Purchase Warrant, including the exercise price per Share and the number of Shares to be received upon such exercise, shall be adjusted as therein specified. The term “</w:t>
      </w:r>
      <w:r>
        <w:rPr>
          <w:rFonts w:ascii="Arial" w:cs="Arial" w:eastAsia="Arial" w:hAnsi="Arial"/>
          <w:sz w:val="18"/>
          <w:szCs w:val="18"/>
          <w:b w:val="1"/>
          <w:bCs w:val="1"/>
          <w:color w:val="auto"/>
        </w:rPr>
        <w:t>Exercise Price</w:t>
      </w:r>
      <w:r>
        <w:rPr>
          <w:rFonts w:ascii="Arial" w:cs="Arial" w:eastAsia="Arial" w:hAnsi="Arial"/>
          <w:sz w:val="18"/>
          <w:szCs w:val="18"/>
          <w:color w:val="auto"/>
        </w:rPr>
        <w:t>” shall mean the initial exercise price or the adjusted exercise price, depending on the context. For the avoidance of doubt, this Purchase Warrant will be exercisable at any time, and from time to time, in whole or in part, from the Commencement Date, which period shall not extend further than five (5) years from the Commencement Date in compliance with FINRA Rule 5110(f)(2) (G)(i).</w:t>
      </w:r>
    </w:p>
    <w:p>
      <w:pPr>
        <w:spacing w:after="0" w:line="203"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Exercise Form</w:t>
      </w:r>
      <w:r>
        <w:rPr>
          <w:rFonts w:ascii="Arial" w:cs="Arial" w:eastAsia="Arial" w:hAnsi="Arial"/>
          <w:sz w:val="17"/>
          <w:szCs w:val="17"/>
          <w:color w:val="auto"/>
        </w:rPr>
        <w:t>. In order to exercise this Purchase Warrant, the exercise form attached hereto must be duly executed and completed and delivered to the Company, together with this Purchase Warrant and payment of the Exercise Price for the Shares being purchased payable in cash by wire transfer of immediately available funds to an account designated by the Company or by certified check or official bank check. If the subscription rights represented hereby shall not be exercised at or before 5:00 p.m., Eastern time, on the Expiration Date, this Purchase Warrant shall become and be void without further force or effect, and all rights represented hereby shall cease and expire.</w:t>
      </w:r>
    </w:p>
    <w:p>
      <w:pPr>
        <w:spacing w:after="0" w:line="176" w:lineRule="exact"/>
        <w:rPr>
          <w:sz w:val="20"/>
          <w:szCs w:val="20"/>
          <w:color w:val="auto"/>
        </w:rPr>
      </w:pPr>
    </w:p>
    <w:p>
      <w:pPr>
        <w:spacing w:after="0"/>
        <w:rPr>
          <w:sz w:val="20"/>
          <w:szCs w:val="20"/>
          <w:color w:val="auto"/>
        </w:rPr>
      </w:pPr>
      <w:r>
        <w:rPr>
          <w:rFonts w:ascii="Arial" w:cs="Arial" w:eastAsia="Arial" w:hAnsi="Arial"/>
          <w:sz w:val="35"/>
          <w:szCs w:val="35"/>
          <w:color w:val="auto"/>
          <w:vertAlign w:val="superscript"/>
        </w:rPr>
        <w:t>1</w:t>
      </w:r>
      <w:r>
        <w:rPr>
          <w:rFonts w:ascii="Arial" w:cs="Arial" w:eastAsia="Arial" w:hAnsi="Arial"/>
          <w:sz w:val="18"/>
          <w:szCs w:val="18"/>
          <w:color w:val="auto"/>
        </w:rPr>
        <w:t xml:space="preserve"> 125% of the public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jc w:val="both"/>
        <w:ind w:firstLine="648"/>
        <w:spacing w:after="0" w:line="275"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Cashless Exercise</w:t>
      </w:r>
      <w:r>
        <w:rPr>
          <w:rFonts w:ascii="Arial" w:cs="Arial" w:eastAsia="Arial" w:hAnsi="Arial"/>
          <w:sz w:val="17"/>
          <w:szCs w:val="17"/>
          <w:color w:val="auto"/>
        </w:rPr>
        <w:t>. If at any time after the Commencement Date there is no effective registration statement registering, or no current prospectus available for, the resale of the Shares by the Holder, then in lieu of exercising this Purchase Warrant at such time, by payment of cash or check payable to the order of the Company pursuant to Section 2.1 above, Holder may elect to receive the number of Shares equal to the value of this Purchase Warrant (or the portion thereof being exercised), by surrender of this Purchase Warrant to the Company, together with the exercise form attached hereto, in which event the Company shall issue Shares to Holder in accordance with the following formula:</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The number of Shares to be issued to Holder;</w:t>
      </w:r>
    </w:p>
    <w:p>
      <w:pPr>
        <w:spacing w:after="0" w:line="23" w:lineRule="exact"/>
        <w:rPr>
          <w:sz w:val="20"/>
          <w:szCs w:val="20"/>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The number of Shares for which the Purchase Warrant is being exercised;</w:t>
      </w:r>
    </w:p>
    <w:p>
      <w:pPr>
        <w:spacing w:after="0" w:line="9" w:lineRule="exact"/>
        <w:rPr>
          <w:sz w:val="20"/>
          <w:szCs w:val="20"/>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The fair market value of one Share; and</w:t>
      </w:r>
    </w:p>
    <w:p>
      <w:pPr>
        <w:spacing w:after="0" w:line="9" w:lineRule="exact"/>
        <w:rPr>
          <w:sz w:val="20"/>
          <w:szCs w:val="20"/>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The Exercise Price.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Section 2.2, the fair market value of a Share is defined as follows:</w:t>
      </w:r>
    </w:p>
    <w:p>
      <w:pPr>
        <w:spacing w:after="0" w:line="225" w:lineRule="exact"/>
        <w:rPr>
          <w:sz w:val="20"/>
          <w:szCs w:val="20"/>
          <w:color w:val="auto"/>
        </w:rPr>
      </w:pPr>
    </w:p>
    <w:p>
      <w:pPr>
        <w:ind w:left="1300" w:hanging="644"/>
        <w:spacing w:after="0" w:line="258"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Common Shares are traded on a securities exchange, the value shall be deemed to be the closing price on such exchange prior to the exercise form being submitted in connection with the exercise of the Purchase Warrant; or</w:t>
      </w:r>
    </w:p>
    <w:p>
      <w:pPr>
        <w:spacing w:after="0" w:line="1"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Common Shares are actively traded over-the-counter, the value shall be deemed to be the closing bid prior to the exercise form being submitted in connection with the exercise of the Purchase Warrant; if there is no active public market, the value shall be the fair market value thereof, as determined in good faith by the Company’s Board of Directors.</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the Warrant Shares shall take on the registered characteristics of the Warrants being exercised, and the holding period of the Warrants being exercised may be tacked on to the holding period of the Warrant Shares. Subject to applicable law at the time of exercise, the Company agrees not to take any position contrary to this Section 2.2.</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Legend</w:t>
      </w:r>
      <w:r>
        <w:rPr>
          <w:rFonts w:ascii="Arial" w:cs="Arial" w:eastAsia="Arial" w:hAnsi="Arial"/>
          <w:sz w:val="18"/>
          <w:szCs w:val="18"/>
          <w:color w:val="auto"/>
        </w:rPr>
        <w:t>. Each certificate for the securities purchased under this Purchase Warrant shall bear a legend as follows unless such securities have been registered under the Securities Act:</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or applicable state law. Neither the securities nor any interest therein may be offered for sale, sold or otherwise transferred except pursuant to an effective registration statement under the Securities Act, or pursuant to an exemption from registration under the Securities Act and applicable state law which, in the opinion of counsel to the Company, is available.”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Cash Payment</w:t>
      </w:r>
      <w:r>
        <w:rPr>
          <w:rFonts w:ascii="Arial" w:cs="Arial" w:eastAsia="Arial" w:hAnsi="Arial"/>
          <w:sz w:val="18"/>
          <w:szCs w:val="18"/>
          <w:color w:val="auto"/>
        </w:rPr>
        <w:t>. For the avoidance of doubt, the Company shall not be required to make any cash payments or net cash settlement to any registered holder in lieu of issuance of Shares.</w:t>
      </w:r>
    </w:p>
    <w:p>
      <w:pPr>
        <w:spacing w:after="0" w:line="170"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 Restrictions</w:t>
      </w:r>
      <w:r>
        <w:rPr>
          <w:rFonts w:ascii="Arial" w:cs="Arial" w:eastAsia="Arial" w:hAnsi="Arial"/>
          <w:sz w:val="16"/>
          <w:szCs w:val="16"/>
          <w:color w:val="auto"/>
        </w:rPr>
        <w:t>. The registered Holder of this Purchase Warrant agrees by his, her or its acceptance hereof, that this Purchase Warrant and the securities issuable hereunder shall not be sold during the Offering, or sold, transferred, assigned, pledged, or hypothecated, or be the subject of any hedging, short sale, derivative, put, or call transaction that would result in the effective economic disposition of this Purchase Warrant or the securities issuable hereunder by any person for a period of one hundred eighty (180) days immediately following the First Closing Date, except as provided for in FINRA Rule 5110(g)(2). On and after 180 days after the First Closing Date, transfers to others may be made subject to compliance with or exemptions from applicable securities laws. In order to make any permitted assignment, the Holder must deliver to the Company the assignment form attached hereto duly executed and completed, together with the Purchase Warrant and payment of all transfer taxes, if any, payable in connection therewith. The Company shall within five (5) Business Days transfer this Purchase Warrant on the books of the Company and shall execute and deliver a new Purchase Warrant or Purchase Warrants of like tenor to the appropriate assignee(s) expressly evidencing the right to purchase the aggregate number of Shares purchasable hereunder or such portion of such number as shall be contemplated by any such assignment.</w:t>
      </w:r>
    </w:p>
    <w:p>
      <w:pPr>
        <w:spacing w:after="0" w:line="1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Restrictions Imposed by the Securities Act</w:t>
      </w:r>
      <w:r>
        <w:rPr>
          <w:rFonts w:ascii="Arial" w:cs="Arial" w:eastAsia="Arial" w:hAnsi="Arial"/>
          <w:sz w:val="18"/>
          <w:szCs w:val="18"/>
          <w:color w:val="auto"/>
        </w:rPr>
        <w:t>. The securities evidenced by this Purchase Warrant shall not be transferred unless and until: (i) the Company has received the opinion of counsel for the Holder that the securities may be transferred pursuant to an exemption from registration under the Securities Act and applicable state securities laws, the availability of which is established to the reasonable satisfaction of the Company and its counsel (the Company hereby agreeing that the opinion of Duane Morris LLP shall be deemed satisfactory evidence of the availability of an exemption), or (ii) a registration statement or a post-effective amendment to the registration statement relating to the offer and sale of such securities has been filed by the Company and declared effective by the U.S.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and compliance with applicable state securities law has been established.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 w:name="page57"/>
    <w:bookmarkEnd w:id="56"/>
    <w:p>
      <w:pPr>
        <w:ind w:left="180" w:hanging="172"/>
        <w:spacing w:after="0"/>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Grant of Right</w:t>
      </w:r>
      <w:r>
        <w:rPr>
          <w:rFonts w:ascii="Arial" w:cs="Arial" w:eastAsia="Arial" w:hAnsi="Arial"/>
          <w:sz w:val="17"/>
          <w:szCs w:val="17"/>
          <w:color w:val="auto"/>
        </w:rPr>
        <w:t>. If at any time after the Commencement Date, there is no effective registration statement registering, or no current prospectus available for, the issuance of the Shares to the Holder, the Company, upon written demand (a “</w:t>
      </w:r>
      <w:r>
        <w:rPr>
          <w:rFonts w:ascii="Arial" w:cs="Arial" w:eastAsia="Arial" w:hAnsi="Arial"/>
          <w:sz w:val="17"/>
          <w:szCs w:val="17"/>
          <w:b w:val="1"/>
          <w:bCs w:val="1"/>
          <w:color w:val="auto"/>
        </w:rPr>
        <w:t>Demand Notice</w:t>
      </w:r>
      <w:r>
        <w:rPr>
          <w:rFonts w:ascii="Arial" w:cs="Arial" w:eastAsia="Arial" w:hAnsi="Arial"/>
          <w:sz w:val="17"/>
          <w:szCs w:val="17"/>
          <w:color w:val="auto"/>
        </w:rPr>
        <w:t>”) of the Holder(s) of at least 51% of the Purchase Warrants and/or the underlying Shares (“</w:t>
      </w:r>
      <w:r>
        <w:rPr>
          <w:rFonts w:ascii="Arial" w:cs="Arial" w:eastAsia="Arial" w:hAnsi="Arial"/>
          <w:sz w:val="17"/>
          <w:szCs w:val="17"/>
          <w:b w:val="1"/>
          <w:bCs w:val="1"/>
          <w:color w:val="auto"/>
        </w:rPr>
        <w:t>Majority Holders</w:t>
      </w:r>
      <w:r>
        <w:rPr>
          <w:rFonts w:ascii="Arial" w:cs="Arial" w:eastAsia="Arial" w:hAnsi="Arial"/>
          <w:sz w:val="17"/>
          <w:szCs w:val="17"/>
          <w:color w:val="auto"/>
        </w:rPr>
        <w:t>”), agrees to register, on one occasion, all or any portion of the Shares underlying the Purchase Warrants (collectively, the “</w:t>
      </w:r>
      <w:r>
        <w:rPr>
          <w:rFonts w:ascii="Arial" w:cs="Arial" w:eastAsia="Arial" w:hAnsi="Arial"/>
          <w:sz w:val="17"/>
          <w:szCs w:val="17"/>
          <w:b w:val="1"/>
          <w:bCs w:val="1"/>
          <w:color w:val="auto"/>
        </w:rPr>
        <w:t>Registrable Securities</w:t>
      </w:r>
      <w:r>
        <w:rPr>
          <w:rFonts w:ascii="Arial" w:cs="Arial" w:eastAsia="Arial" w:hAnsi="Arial"/>
          <w:sz w:val="17"/>
          <w:szCs w:val="17"/>
          <w:color w:val="auto"/>
        </w:rPr>
        <w:t xml:space="preserve">”). On such occasion, the Company will file a registration statement with the Commission covering the Registrable Securities within sixty (60) days after receipt of a Demand Notice and use its commercially reasonable efforts to have the registration statement declared effective as promptly as practicable thereafter, subject to compliance with review by the Commission;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 Demand Notice is issued within 50 days prior to the beginning of the Company’s fiscal year, the 60 day period shall be extended until 120 days after the last day of the prior fiscal year;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Company shall not be required to comply with a Demand Notice if the Company has filed a registration statement with respect to which the Holder is entitled to piggyback registration rights pursuant to Section 4.2 hereof and the Holder has elected to participate in the offering covered by such registration statement. The demand for registration may be made at any time during a period of five (5) years beginning on the Commencement Date. The Company covenants and agrees to give written notice of its receipt of any Demand Notice by any Holder(s) to all other registered Holders of the Purchase Warrants and/or the Registrable Securities within ten (10) days after the date of the receipt of any such Demand Notice.</w:t>
      </w:r>
    </w:p>
    <w:p>
      <w:pPr>
        <w:spacing w:after="0" w:line="186"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Terms</w:t>
      </w:r>
      <w:r>
        <w:rPr>
          <w:rFonts w:ascii="Arial" w:cs="Arial" w:eastAsia="Arial" w:hAnsi="Arial"/>
          <w:sz w:val="16"/>
          <w:szCs w:val="16"/>
          <w:color w:val="auto"/>
        </w:rPr>
        <w:t xml:space="preserve">. The Company shall bear all fees and expenses attendant to the registration of the Registrable Securities pursuant to Section 4.1.1, but the Holders shall pay any and all underwriting commissions and the expenses of any legal counsel selected by the Holders to represent them in connection with the sale of the Registrable Securities. The Company agrees to use its commercially reasonable efforts to cause the filing required herein to become effective as promptly as practicable and to qualify or register the Registrable Securities in such States as are reasonably requested by the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the Company be required to register the Registrable Securities in a State in which such registration would cause:</w:t>
      </w:r>
    </w:p>
    <w:p>
      <w:pPr>
        <w:spacing w:after="0" w:line="2" w:lineRule="exact"/>
        <w:rPr>
          <w:sz w:val="20"/>
          <w:szCs w:val="20"/>
          <w:color w:val="auto"/>
        </w:rPr>
      </w:pPr>
    </w:p>
    <w:p>
      <w:pPr>
        <w:jc w:val="both"/>
        <w:ind w:firstLine="8"/>
        <w:spacing w:after="0" w:line="285" w:lineRule="auto"/>
        <w:tabs>
          <w:tab w:leader="none" w:pos="2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Company to be obligated to register or license to do business in such State or submit to general service of process in such State, or (ii) the principal shareholders of the Company to be obligated to escrow their shares of capital stock of the Company. The Company shall use its commercially reasonable efforts to cause any registration statement filed pursuant to the demand right granted under Section 4.1.1 to remain effective for a period of at least twelve (12) consecutive months after the date that the Holders of the Registrable Securities covered by such registration statement are first given the opportunity to sell all of such securities. The Holders shall only use the prospectuses provided by the Company to sell the shares covered by such registration statement, and will immediately cease to use any prospectus furnished by the Company if the Company advises the Holder that such prospectus may no longer be used due to a material misstatement or omission, or if the Company determines in good faith that such suspension of use is necessary to delay the disclosure of material non-public information concerning the Company, the disclosure of which at the time is not, in the good faith opinion of the Company, in the best interests of the Company. Notwithstanding the provisions of this Section 4.1.2, the Holder shall be entitled to a demand registration under this Section 4.1.2 on only one (1) occasion and such demand registration right shall terminate on the fifth anniversary of the effectiveness of the registration statement in accordance with FINRA Rule 5110(f)(2)(H)(iv).</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4.2.1 </w:t>
      </w:r>
      <w:r>
        <w:rPr>
          <w:rFonts w:ascii="Arial" w:cs="Arial" w:eastAsia="Arial" w:hAnsi="Arial"/>
          <w:sz w:val="17"/>
          <w:szCs w:val="17"/>
          <w:u w:val="single" w:color="auto"/>
          <w:color w:val="auto"/>
        </w:rPr>
        <w:t>Grant of Right</w:t>
      </w:r>
      <w:r>
        <w:rPr>
          <w:rFonts w:ascii="Arial" w:cs="Arial" w:eastAsia="Arial" w:hAnsi="Arial"/>
          <w:sz w:val="17"/>
          <w:szCs w:val="17"/>
          <w:color w:val="auto"/>
        </w:rPr>
        <w:t>. In addition to the demand right of registration described in Section 4.1 hereof, if at any time after the Commencement Date, there is no effective registration statement registering, or no current prospectus available for, the issuance of the Shares to the Holder, the Holder shall have the right, for a period of no more than seven (7) years from the date of effectiveness of the registration statement in accordance with FINRA Rule 5110(f)(2)(G)(v), to include the Shares underlying the Purchase Warrant (collectively, the “</w:t>
      </w:r>
      <w:r>
        <w:rPr>
          <w:rFonts w:ascii="Arial" w:cs="Arial" w:eastAsia="Arial" w:hAnsi="Arial"/>
          <w:sz w:val="17"/>
          <w:szCs w:val="17"/>
          <w:b w:val="1"/>
          <w:bCs w:val="1"/>
          <w:color w:val="auto"/>
        </w:rPr>
        <w:t>Registrable Securities</w:t>
      </w:r>
      <w:r>
        <w:rPr>
          <w:rFonts w:ascii="Arial" w:cs="Arial" w:eastAsia="Arial" w:hAnsi="Arial"/>
          <w:sz w:val="17"/>
          <w:szCs w:val="17"/>
          <w:color w:val="auto"/>
        </w:rPr>
        <w:t xml:space="preserve">”) as part of any other registration of securities filed by the Company (other than in connection with a transaction contemplated by Rule 145(a) promulgated under the Securities Act or pursuant to Form S-8 or any equivalent form);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solely in connection with any primary underwritten public offering for the account of the Company, the managing underwriter(s) thereof shall, in its reasonable discretion, impose a limitation on the number of Common Shares which may be included in the registration statement because, in such underwriter(s)’ judgment, marketing or other factors dictate such limitation is necessary to facilitate public distribution, then the Company shall be obligated to include in such registration statement only such limited portion of the Registrable Securities with respect to which the Holder requested inclusion hereunder as the underwriter shall reasonably permit. Any exclusion of Registrable Securities shall be made pro rata among the Holders seeking to include Registrable Securities in proportion to the number of Registrable Securities sought to be included by such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exclude any Registrable Securities unless the Company has first excluded all outstanding securities, the holders of which are not entitled to inclusion of such securities in such registration statement or are not entitled to pro rata inclusion with the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 w:name="page58"/>
    <w:bookmarkEnd w:id="57"/>
    <w:p>
      <w:pPr>
        <w:jc w:val="both"/>
        <w:ind w:firstLine="1296"/>
        <w:spacing w:after="0" w:line="270" w:lineRule="auto"/>
        <w:rPr>
          <w:sz w:val="20"/>
          <w:szCs w:val="20"/>
          <w:color w:val="auto"/>
        </w:rPr>
      </w:pPr>
      <w:r>
        <w:rPr>
          <w:rFonts w:ascii="Arial" w:cs="Arial" w:eastAsia="Arial" w:hAnsi="Arial"/>
          <w:sz w:val="17"/>
          <w:szCs w:val="17"/>
          <w:color w:val="auto"/>
        </w:rPr>
        <w:t xml:space="preserve">4.2.2 </w:t>
      </w:r>
      <w:r>
        <w:rPr>
          <w:rFonts w:ascii="Arial" w:cs="Arial" w:eastAsia="Arial" w:hAnsi="Arial"/>
          <w:sz w:val="17"/>
          <w:szCs w:val="17"/>
          <w:u w:val="single" w:color="auto"/>
          <w:color w:val="auto"/>
        </w:rPr>
        <w:t>Terms</w:t>
      </w:r>
      <w:r>
        <w:rPr>
          <w:rFonts w:ascii="Arial" w:cs="Arial" w:eastAsia="Arial" w:hAnsi="Arial"/>
          <w:sz w:val="17"/>
          <w:szCs w:val="17"/>
          <w:color w:val="auto"/>
        </w:rPr>
        <w:t xml:space="preserve">. The Company shall bear all fees and expenses attendant to registering the Registrable Securities pursuant to Section 4.2.1 hereof, but the Holders shall pay any and all underwriting commissions and the expenses of any legal counsel selected by the Holders to represent them in connection with the sale of the Registrable Securities. In the event of such a proposed registration, the Company shall furnish the then Holders of outstanding Registrable Securities with not less than thirty (30) days written notice prior to the proposed date of filing of such registration statement. Such notice to the Holders shall continue to be given for each registration statement filed by the Company until such time as all of the Registrable Securities have been sold by the Holder. The holders of the Registrable Securities shall exercise the “piggy-back” rights provided for herein by giving written notice within ten (10) days of the receipt of the Company’s notice of its intention to file a registration statement. Except as otherwise provided in this Purchase Warrant, there shall be no limit on the number of times the Holder may request registration under this Section 4.2.2;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registration rights shall terminate on the sixth anniversary of the Commencement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General Terms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Indemnification</w:t>
      </w:r>
      <w:r>
        <w:rPr>
          <w:rFonts w:ascii="Arial" w:cs="Arial" w:eastAsia="Arial" w:hAnsi="Arial"/>
          <w:sz w:val="16"/>
          <w:szCs w:val="16"/>
          <w:color w:val="auto"/>
        </w:rPr>
        <w:t>. The Company shall indemnify the Holder(s) of the Registrable Securities to be sold pursuant to any registration statement hereunder and each person, if any, who controls such Holders within the meaning of Section 15 of the Securities Act or Section 20 (a) of the Securities Exchange Act of 1934, as amended (“</w:t>
      </w:r>
      <w:r>
        <w:rPr>
          <w:rFonts w:ascii="Arial" w:cs="Arial" w:eastAsia="Arial" w:hAnsi="Arial"/>
          <w:sz w:val="16"/>
          <w:szCs w:val="16"/>
          <w:b w:val="1"/>
          <w:bCs w:val="1"/>
          <w:color w:val="auto"/>
        </w:rPr>
        <w:t>Exchange Act</w:t>
      </w:r>
      <w:r>
        <w:rPr>
          <w:rFonts w:ascii="Arial" w:cs="Arial" w:eastAsia="Arial" w:hAnsi="Arial"/>
          <w:sz w:val="16"/>
          <w:szCs w:val="16"/>
          <w:color w:val="auto"/>
        </w:rPr>
        <w:t>”), against all loss, claim, damage, expense or liability (including all reasonable attorneys’ fees and other expenses reasonably incurred in investigating, preparing or defending against any claim whatsoever) to which any of them may become subject under the Securities Act, the Exchange Act or otherwise, arising from such registration statement but only to the same extent and with the same effect as the provisions pursuant to which the Company has agreed to indemnify the Underwriters contained in Section 5.1 of the Underwriting Agreement between the Underwriters and the Company, dated as of [_____], 2023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The Holder(s) of the Registrable Securities to be</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sold pursuant to such registration statement, and their successors and assigns, shall severally, and not jointly, indemnify the Company, against all loss, claim, damage, expense or liability (including all reasonable attorneys’ fees and other expenses reasonably incurred in investigating, preparing or defending against any claim whatsoever) to which they may become subject under the Securities Act, the Exchange Act or otherwise, arising from information furnished by or on behalf of such Holders, or their successors or assigns, in writing, for specific inclusion in such registration statement to the same extent and with the same effect as the provisions contained in Section 5.2 of the Underwriting Agreement pursuant to which the Underwriters have agreed to indemnify the Company.</w:t>
      </w:r>
    </w:p>
    <w:p>
      <w:pPr>
        <w:spacing w:after="0" w:line="19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4.3.2 </w:t>
      </w:r>
      <w:r>
        <w:rPr>
          <w:rFonts w:ascii="Arial" w:cs="Arial" w:eastAsia="Arial" w:hAnsi="Arial"/>
          <w:sz w:val="18"/>
          <w:szCs w:val="18"/>
          <w:u w:val="single" w:color="auto"/>
          <w:color w:val="auto"/>
        </w:rPr>
        <w:t>Exercise of Purchase Warrants</w:t>
      </w:r>
      <w:r>
        <w:rPr>
          <w:rFonts w:ascii="Arial" w:cs="Arial" w:eastAsia="Arial" w:hAnsi="Arial"/>
          <w:sz w:val="18"/>
          <w:szCs w:val="18"/>
          <w:color w:val="auto"/>
        </w:rPr>
        <w:t>. Nothing contained in this Purchase Warrant shall be construed as requiring the Holder(s) to exercise their Purchase Warrants prior to or after the initial filing of any registration statement or the effectiveness thereof.</w:t>
      </w:r>
    </w:p>
    <w:p>
      <w:pPr>
        <w:spacing w:after="0" w:line="170"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4.3.3 </w:t>
      </w:r>
      <w:r>
        <w:rPr>
          <w:rFonts w:ascii="Arial" w:cs="Arial" w:eastAsia="Arial" w:hAnsi="Arial"/>
          <w:sz w:val="17"/>
          <w:szCs w:val="17"/>
          <w:u w:val="single" w:color="auto"/>
          <w:color w:val="auto"/>
        </w:rPr>
        <w:t>Documents Delivered to Holders</w:t>
      </w:r>
      <w:r>
        <w:rPr>
          <w:rFonts w:ascii="Arial" w:cs="Arial" w:eastAsia="Arial" w:hAnsi="Arial"/>
          <w:sz w:val="17"/>
          <w:szCs w:val="17"/>
          <w:color w:val="auto"/>
        </w:rPr>
        <w:t>. The Company shall furnish upon written request to each Holder participating in any of the foregoing offerings and to each underwriter of any such offering, if any, a signed counterpart, addressed to such Holder or underwriter, of: (i) an opinion of counsel to the Company, dated the effective date of such registration statement (and, if such registration includes an underwritten public offering, an opinion dated the date of the closing under any underwriting agreement related thereto), and (ii) a “cold comfort” letter dated the effective date of such registration statement (and, if such registration includes an underwritten public offering, a letter dated the date of the closing under the underwriting agreement) signed by the independent registered public accounting firm which has issued a report on the Company’s financial statements included in such registration statement, in each case covering substantially the same matters with respect to such registration statement (and the prospectus included therein) and, in the case of such accountants’ letter, with respect to events subsequent to the date of such financial statements, as are customarily covered in opinions of issuer’s counsel and in accountants’ letters delivered to underwriters in underwritten public offerings of securities. The Company shall also deliver promptly to each Holder participating in the offering requesting the correspondence and memoranda described below and to the managing underwriter, if any, copies of all correspondence between the Commission and the Company, its counsel or auditors and all memoranda relating to discussions with the Commission or its staff with respect to the registration statement and permit each Holder and underwriter to do such investigation, upon reasonable advance notice, with respect to information contained in or omitted from the registration statement as it deems reasonably necessary to comply with applicable securities laws or rules of FINRA. Such investigation shall include access to books, records and properties and opportunities to discuss the business of the Company with its officers and independent auditors, all to such reasonable extent and at such reasonable times as any such Holder shall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8" w:name="page59"/>
    <w:bookmarkEnd w:id="58"/>
    <w:p>
      <w:pPr>
        <w:jc w:val="both"/>
        <w:ind w:firstLine="1296"/>
        <w:spacing w:after="0" w:line="253" w:lineRule="auto"/>
        <w:rPr>
          <w:sz w:val="20"/>
          <w:szCs w:val="20"/>
          <w:color w:val="auto"/>
        </w:rPr>
      </w:pPr>
      <w:r>
        <w:rPr>
          <w:rFonts w:ascii="Arial" w:cs="Arial" w:eastAsia="Arial" w:hAnsi="Arial"/>
          <w:sz w:val="18"/>
          <w:szCs w:val="18"/>
          <w:color w:val="auto"/>
        </w:rPr>
        <w:t xml:space="preserve">4.3.4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If applicable, the Company shall enter into an underwriting agreement with the managing underwriter(s), if any, selected by any Holders whose Registrable Securities are being registered pursuant to this Section 4, which managing underwriter shall be reasonably satisfactory to the Company. Such agreement shall be reasonably satisfactory in form and substance to the Company, each Holder and such managing underwriters, and shall contain such representations, warranties and covenants by the Company and such other terms as are customarily contained in agreements of that type used by the managing underwriter. The Holders shall be parties to any underwriting agreement relating to an underwritten sale of their Registrable Securities and may, at their option, require that any or all the representations, warranties and covenants of the Company to or for the benefit of such underwriters shall also be made to and for the benefit of such Holders. Such Holders shall not be required to make any representations or warranties to or agreements with the Company or the underwriters except as they may relate to such Holders, their Shares and their intended methods of distribution.</w:t>
      </w:r>
    </w:p>
    <w:p>
      <w:pPr>
        <w:spacing w:after="0" w:line="196"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 xml:space="preserve">4.3.5 </w:t>
      </w:r>
      <w:r>
        <w:rPr>
          <w:rFonts w:ascii="Arial" w:cs="Arial" w:eastAsia="Arial" w:hAnsi="Arial"/>
          <w:sz w:val="16"/>
          <w:szCs w:val="16"/>
          <w:u w:val="single" w:color="auto"/>
          <w:color w:val="auto"/>
        </w:rPr>
        <w:t>Documents to be Delivered by Holder(s)</w:t>
      </w:r>
      <w:r>
        <w:rPr>
          <w:rFonts w:ascii="Arial" w:cs="Arial" w:eastAsia="Arial" w:hAnsi="Arial"/>
          <w:sz w:val="16"/>
          <w:szCs w:val="16"/>
          <w:color w:val="auto"/>
        </w:rPr>
        <w:t>. Each of the Holder(s) participating in any of the foregoing offerings shall furnish to the Company a completed and executed questionnaire provided by the Company requesting information customarily sought of selling security holders.</w:t>
      </w:r>
    </w:p>
    <w:p>
      <w:pPr>
        <w:spacing w:after="0" w:line="12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4.3.6 </w:t>
      </w:r>
      <w:r>
        <w:rPr>
          <w:rFonts w:ascii="Arial" w:cs="Arial" w:eastAsia="Arial" w:hAnsi="Arial"/>
          <w:sz w:val="18"/>
          <w:szCs w:val="18"/>
          <w:u w:val="single" w:color="auto"/>
          <w:color w:val="auto"/>
        </w:rPr>
        <w:t>Damages</w:t>
      </w:r>
      <w:r>
        <w:rPr>
          <w:rFonts w:ascii="Arial" w:cs="Arial" w:eastAsia="Arial" w:hAnsi="Arial"/>
          <w:sz w:val="18"/>
          <w:szCs w:val="18"/>
          <w:color w:val="auto"/>
        </w:rPr>
        <w:t>. Should the registration or the effectiveness thereof required by Sections 4.1 and 4.2 hereof be delayed by the Company or the Company otherwise fails to comply in any material respect with such provisions (in either case, not promptly cured after notice to the Company from the Holder(s)), the Holder(s) shall, in addition to any other legal or other relief available to the Holder(s), be entitled to obtain specific performance or other equitable (including injunctive) relief against the threatened breach of such provisions or the continuation of any such breach, without the necessity of proving actual damages and without the necessity of posting bond or other security.</w:t>
      </w:r>
    </w:p>
    <w:p>
      <w:pPr>
        <w:spacing w:after="0" w:line="188" w:lineRule="exact"/>
        <w:rPr>
          <w:sz w:val="20"/>
          <w:szCs w:val="20"/>
          <w:color w:val="auto"/>
        </w:rPr>
      </w:pPr>
    </w:p>
    <w:p>
      <w:pPr>
        <w:ind w:left="180" w:hanging="172"/>
        <w:spacing w:after="0"/>
        <w:tabs>
          <w:tab w:leader="none" w:pos="1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New Purchase Warrants to be Issued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Partial Exercise or Transfer</w:t>
      </w:r>
      <w:r>
        <w:rPr>
          <w:rFonts w:ascii="Arial" w:cs="Arial" w:eastAsia="Arial" w:hAnsi="Arial"/>
          <w:sz w:val="18"/>
          <w:szCs w:val="18"/>
          <w:color w:val="auto"/>
        </w:rPr>
        <w:t>. Subject to the restrictions in Section 3 hereof, this Purchase Warrant may be exercised or assigned in whole or in part. In the event of the exercise or assignment hereof in part only, upon surrender of this Purchase Warrant for cancellation, together with the duly executed exercise or assignment form and funds sufficient to pay any Exercise Price and/or transfer tax if exercised pursuant to Section 2.1 hereto, the Company shall cause to be delivered to the Holder without charge a new Purchase Warrant of like tenor to this Purchase Warrant in the name of the Holder evidencing the right of the Holder to purchase the number of Shares purchasable hereunder as to which this Purchase Warrant has not been exercised or assigned.</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Lost Certificate</w:t>
      </w:r>
      <w:r>
        <w:rPr>
          <w:rFonts w:ascii="Arial" w:cs="Arial" w:eastAsia="Arial" w:hAnsi="Arial"/>
          <w:sz w:val="18"/>
          <w:szCs w:val="18"/>
          <w:color w:val="auto"/>
        </w:rPr>
        <w:t>. Upon receipt by the Company of evidence satisfactory to it of the loss, theft, destruction or mutilation of this Purchase Warrant and of reasonably satisfactory indemnification or the posting of a bond, the Company shall execute and deliver a new Purchase Warrant of like tenor and date. Any such new Purchase Warrant executed and delivered as a result of such loss, theft, mutilation or destruction shall constitute a substitute contractual obligation on the part of the Company.</w:t>
      </w:r>
    </w:p>
    <w:p>
      <w:pPr>
        <w:spacing w:after="0" w:line="187"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Adjustments to Exercise Price and Number of Securities</w:t>
      </w:r>
      <w:r>
        <w:rPr>
          <w:rFonts w:ascii="Arial" w:cs="Arial" w:eastAsia="Arial" w:hAnsi="Arial"/>
          <w:sz w:val="18"/>
          <w:szCs w:val="18"/>
          <w:color w:val="auto"/>
        </w:rPr>
        <w:t>. The Exercise Price and the number of Shares underlying the Purchase Warrant shall be subject to adjustment from time to time as hereinafter set forth:</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Share Dividends; Split Ups</w:t>
      </w:r>
      <w:r>
        <w:rPr>
          <w:rFonts w:ascii="Arial" w:cs="Arial" w:eastAsia="Arial" w:hAnsi="Arial"/>
          <w:sz w:val="18"/>
          <w:szCs w:val="18"/>
          <w:color w:val="auto"/>
        </w:rPr>
        <w:t>. If, after the date hereof, and subject to the provisions of Section 6.3 below, the number of outstanding Common Shares are increased by a stock dividend payable in Shares or by a split up of Common Shares or other similar event, then, on the effective day thereof, the number of Shares purchasable hereunder shall be increased in proportion to such increase in outstanding Common Shares, and the Exercise Price shall be proportionately decreased.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9" w:name="page60"/>
    <w:bookmarkEnd w:id="59"/>
    <w:p>
      <w:pPr>
        <w:jc w:val="both"/>
        <w:ind w:firstLine="1296"/>
        <w:spacing w:after="0" w:line="259"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If, after the date hereof, and subject to the provisions of Section 6.3 below, the number of outstanding Common Shares is decreased by a consolidation, combination or reclassification of Common Shares or other similar event, then, on the effective date thereof, the number of Shares purchasable hereunder shall be decreased in proportion to such decrease in outstanding Common Shares, and the Exercise Price shall be proportionately increased.</w:t>
      </w:r>
    </w:p>
    <w:p>
      <w:pPr>
        <w:spacing w:after="0" w:line="187"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u w:val="single" w:color="auto"/>
          <w:color w:val="auto"/>
        </w:rPr>
        <w:t>Replacement of Securities upon Reorganization, etc</w:t>
      </w:r>
      <w:r>
        <w:rPr>
          <w:rFonts w:ascii="Arial" w:cs="Arial" w:eastAsia="Arial" w:hAnsi="Arial"/>
          <w:sz w:val="17"/>
          <w:szCs w:val="17"/>
          <w:color w:val="auto"/>
        </w:rPr>
        <w:t>. In case of any reclassification or reorganization of the outstanding Common Shares other than a change covered by Section 6.1.1 or 6.1.2 hereof or that solely affects the par value of such Common Shares, or in the case of any share reconstruction or amalgamation or consolidation of the Company with or into another corporation (other than a consolidation or share reconstruction or amalgamation in which the Company is the continuing corporation and that does not result in any reclassification or reorganization of the outstanding Common Shares), or in the case of any sale or conveyance to another corporation or entity of the property of the Company as an entirety or substantially as an entirety in connection with which the Company is dissolved, the Holder of this Purchase Warrant shall have the right thereafter (until the expiration of the right of exercise of this Purchase Warrant) to receive upon the exercise hereof, for the same aggregate Exercise Price payable hereunder immediately prior to such event, the kind and amount of shares of stock or other securities or property (including cash) receivable upon such reclassification, reorganization, share reconstruction or amalgamation, or consolidation, or upon a dissolution following any such sale or transfer, by a Holder of the number of Shares of the Company obtainable upon exercise of this Purchase Warrant immediately prior to such event; and if any reclassification also results in a change in Shares covered by Section 6.1.1 or 6.1.2, then such adjustment shall be made pursuant to Sections 6.1.1, 6.1.2 and this Section 6.1.3. The provisions of this Section 6.1.3 shall similarly apply to successive reclassifications, reorganizations, share reconstructions or amalgamations, or consolidations, sales or other transfers.</w:t>
      </w:r>
    </w:p>
    <w:p>
      <w:pPr>
        <w:spacing w:after="0" w:line="186"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u w:val="single" w:color="auto"/>
          <w:color w:val="auto"/>
        </w:rPr>
        <w:t>Changes in Form of Purchase Warrant</w:t>
      </w:r>
      <w:r>
        <w:rPr>
          <w:rFonts w:ascii="Arial" w:cs="Arial" w:eastAsia="Arial" w:hAnsi="Arial"/>
          <w:sz w:val="16"/>
          <w:szCs w:val="16"/>
          <w:color w:val="auto"/>
        </w:rPr>
        <w:t>. This form of Purchase Warrant need not be changed because of any change pursuant to this Section 6.1, and Purchase Warrants issued after such change may state the same Exercise Price and the same number of Shares as are stated in the Purchase Warrants initially issued pursuant to this Agreement. The acceptance by any Holder of the issuance of new Purchase Warrants reflecting a required or permissive change shall not be deemed to waive any rights to an adjustment occurring after the Commencement Date or the computation thereof.</w:t>
      </w:r>
    </w:p>
    <w:p>
      <w:pPr>
        <w:spacing w:after="0" w:line="15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Substitute Purchase Warrant</w:t>
      </w:r>
      <w:r>
        <w:rPr>
          <w:rFonts w:ascii="Arial" w:cs="Arial" w:eastAsia="Arial" w:hAnsi="Arial"/>
          <w:sz w:val="16"/>
          <w:szCs w:val="16"/>
          <w:color w:val="auto"/>
        </w:rPr>
        <w:t>. In case of any consolidation of the Company with, or share reconstruction or amalgamation of the Company with or into, another corporation (other than a consolidation or share reconstruction or amalgamation which does not result in any reclassification or change of the outstanding Common Shares), the corporation formed by such consolidation or share reconstruction or amalgamation shall execute and deliver to the Holder a supplemental Purchase Warrant providing that the holder of each Purchase Warrant then outstanding or to be outstanding shall have the right thereafter (until the stated expiration of such Purchase Warrant) to receive, upon exercise of such Purchase Warrant, the kind and amount of shares of stock and other securities and property receivable upon such consolidation or share reconstruction or amalgamation, by a holder of the number of Shares of the Company for which such Purchase Warrant might have been exercised immediately prior to such consolidation, share reconstruction or amalgamation, sale or transfer. Such supplemental Purchase Warrant shall provide for adjustments which shall be identical to the adjustments provided for in this Section 6. The above provision of this Section shall similarly apply to successive consolidations or share reconstructions or amalgamations.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Elimination of Fractional Interests</w:t>
      </w:r>
      <w:r>
        <w:rPr>
          <w:rFonts w:ascii="Arial" w:cs="Arial" w:eastAsia="Arial" w:hAnsi="Arial"/>
          <w:sz w:val="18"/>
          <w:szCs w:val="18"/>
          <w:color w:val="auto"/>
        </w:rPr>
        <w:t>. The Company shall not be required to issue certificates representing fractions of Shares upon the exercise of the Purchase Warrant, nor shall it be required to issue scrip or pay cash in lieu of any fractional interests, it being the intent of the parties that all fractional interests shall be eliminated by rounding any fraction up or down, as the case may be, to the nearest whole number of Shares or other securities, properties or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0" w:name="page61"/>
    <w:bookmarkEnd w:id="60"/>
    <w:p>
      <w:pPr>
        <w:jc w:val="both"/>
        <w:ind w:firstLine="8"/>
        <w:spacing w:after="0" w:line="269" w:lineRule="auto"/>
        <w:tabs>
          <w:tab w:leader="none" w:pos="20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Reservation and Listing</w:t>
      </w:r>
      <w:r>
        <w:rPr>
          <w:rFonts w:ascii="Arial" w:cs="Arial" w:eastAsia="Arial" w:hAnsi="Arial"/>
          <w:sz w:val="17"/>
          <w:szCs w:val="17"/>
          <w:color w:val="auto"/>
        </w:rPr>
        <w:t>. The Company shall at all times reserve and keep available out of its authorized Common Shares, solely for the purpose of issuance upon exercise of the Purchase Warrants, such number of Shares or other securities, properties or rights as shall be issuable upon the exercise thereof. The Company covenants and agrees that, upon exercise of the Purchase Warrants and payment of the Exercise Price therefor, in accordance with the terms hereby, all Shares and other securities issuable upon such exercise shall be duly and validly issued, fully paid and non- assessable and not subject to preemptive rights of any shareholder. The Company further covenants and agrees that upon exercise of the Purchase Warrants and payment of the exercise price therefor, all Shares and other securities issuable upon such exercise shall be duly and validly issued, fully paid and non-assessable and not subject to preemptive rights of any shareholder. As long as the Purchase Warrants shall be outstanding, the Company shall use its commercially reasonable efforts to cause all Shares issuable upon exercise of the Purchase Warrants to be listed (subject to official notice of issuance) on all national securities exchanges (or, if applicable, on the OTC Bulletin Board or any successor trading market) on which the Shares issued to the public in the Offering may then be listed and/or quoted.</w:t>
      </w:r>
    </w:p>
    <w:p>
      <w:pPr>
        <w:spacing w:after="0" w:line="185" w:lineRule="exact"/>
        <w:rPr>
          <w:rFonts w:ascii="Arial" w:cs="Arial" w:eastAsia="Arial" w:hAnsi="Arial"/>
          <w:sz w:val="17"/>
          <w:szCs w:val="17"/>
          <w:color w:val="auto"/>
        </w:rPr>
      </w:pPr>
    </w:p>
    <w:p>
      <w:pPr>
        <w:ind w:left="180" w:hanging="172"/>
        <w:spacing w:after="0"/>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Certain Notice Requirements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Holder’s Right to Receive Notice</w:t>
      </w:r>
      <w:r>
        <w:rPr>
          <w:rFonts w:ascii="Arial" w:cs="Arial" w:eastAsia="Arial" w:hAnsi="Arial"/>
          <w:sz w:val="16"/>
          <w:szCs w:val="16"/>
          <w:color w:val="auto"/>
        </w:rPr>
        <w:t>. Nothing herein shall be construed as conferring upon the Holders the right to vote or consent or to receive notice as a shareholder for the election of directors or any other matter, or as having any rights whatsoever as a shareholder of the Company. If, however, at any time prior to the expiration of the Purchase Warrants and their exercise, any of the events described in Section 8.2 shall occur, then, in one or more of said events, the Company shall give written notice of such event at least seven days prior to the date fixed as a record date or the date of closing the transfer books for the determination of the shareholders entitled to such dividend, distribution, conversion or exchange of securities or subscription rights, or entitled to vote on such proposed dissolution, liquidation, winding up or sale. Such notice shall specify such record date or the date of the closing of the transfer books, as the case may be. Notwithstanding the foregoing, the Company shall deliver to each Holder a copy of each notice given to the other shareholders of the Company at the same time and in the same manner that such notice is given to the shareholders.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Events Requiring Notice</w:t>
      </w:r>
      <w:r>
        <w:rPr>
          <w:rFonts w:ascii="Arial" w:cs="Arial" w:eastAsia="Arial" w:hAnsi="Arial"/>
          <w:sz w:val="17"/>
          <w:szCs w:val="17"/>
          <w:color w:val="auto"/>
        </w:rPr>
        <w:t>. The Company shall be required to give the notice described in this Section 8 upon one or more of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events: (i) if the Company shall take a record of the holders of its Shares for the purpose of entitling them to receive a dividend or distribution payable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otherwise than in cash, or a cash dividend or distribution payable otherwise than out of retained earnings, as indicated by the accounting treatment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dividend or distribution on the books of the Company, (ii) the Company shall offer to all the holders of its Shares any additional shares of capital stock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or securities convertible into or exchangeable for shares of capital stock of the Company, or any option, right or warrant to subscribe therefor,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(iii) a dissolution, liquidation or winding up of the Company (other than in connection with a consolidation or share reconstruction or amalgamation)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sale of all or substantially all of its property, assets and business shall be proposed.</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Notice of Change in Exercise Price</w:t>
      </w:r>
      <w:r>
        <w:rPr>
          <w:rFonts w:ascii="Arial" w:cs="Arial" w:eastAsia="Arial" w:hAnsi="Arial"/>
          <w:sz w:val="17"/>
          <w:szCs w:val="17"/>
          <w:color w:val="auto"/>
        </w:rPr>
        <w:t>. The Company shall, promptly after an event requiring a change in the Exercise Price pursuant to Section 6 hereof, send notice to the Holders of such event and change (“</w:t>
      </w:r>
      <w:r>
        <w:rPr>
          <w:rFonts w:ascii="Arial" w:cs="Arial" w:eastAsia="Arial" w:hAnsi="Arial"/>
          <w:sz w:val="17"/>
          <w:szCs w:val="17"/>
          <w:b w:val="1"/>
          <w:bCs w:val="1"/>
          <w:color w:val="auto"/>
        </w:rPr>
        <w:t>Price Notice</w:t>
      </w:r>
      <w:r>
        <w:rPr>
          <w:rFonts w:ascii="Arial" w:cs="Arial" w:eastAsia="Arial" w:hAnsi="Arial"/>
          <w:sz w:val="17"/>
          <w:szCs w:val="17"/>
          <w:color w:val="auto"/>
        </w:rPr>
        <w:t>”). The Price Notice shall describe the event causing the change and the method of calculating same and shall be certified as being true and accurate by the Company’s Chief Financial Officer.</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Transmittal of Notices</w:t>
      </w:r>
      <w:r>
        <w:rPr>
          <w:rFonts w:ascii="Arial" w:cs="Arial" w:eastAsia="Arial" w:hAnsi="Arial"/>
          <w:sz w:val="18"/>
          <w:szCs w:val="18"/>
          <w:color w:val="auto"/>
        </w:rPr>
        <w:t>. All notices, requests, consents and other communications under this Purchase Warrant shall be in writing and shall be deemed to have been duly made when hand delivered, or mailed by express mail or private courier service: (i) if to the registered Holder of the Purchase Warrant, to the address of such Holder as shown on the books of the Company, or (ii) if to the Company, to following address or to such other address as the Company may designate by notice to the Holders: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Holder: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Roth Capital Partners, LLC (“</w:t>
      </w:r>
      <w:r>
        <w:rPr>
          <w:rFonts w:ascii="Arial" w:cs="Arial" w:eastAsia="Arial" w:hAnsi="Arial"/>
          <w:sz w:val="18"/>
          <w:szCs w:val="18"/>
          <w:b w:val="1"/>
          <w:bCs w:val="1"/>
          <w:color w:val="auto"/>
        </w:rPr>
        <w:t>Roth Capital Partners</w:t>
      </w: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590 Madison Avenue, 28th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Mr. David Bocchi, Managing Director of Investment Banking</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No.: (203) 662-9771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Duane Morris LLP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1540 Broadway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James T. Seery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jtseery@duanemorris.com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color w:val="auto"/>
        </w:rPr>
        <w:t>If to the Company: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Dragonfly Energy Holdings Corp.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1190 Trademark Dr. #108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Reno, NV 89521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John Marchetti</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jmarchetti@dragonflyenergy.com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Lowenstein Sandler LLP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1251 Avenue of the Americas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Steven M. Skolnick</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sskolnick@lowenstein.com</w:t>
      </w:r>
    </w:p>
    <w:p>
      <w:pPr>
        <w:spacing w:after="0" w:line="211" w:lineRule="exact"/>
        <w:rPr>
          <w:sz w:val="20"/>
          <w:szCs w:val="20"/>
          <w:color w:val="auto"/>
        </w:rPr>
      </w:pPr>
    </w:p>
    <w:p>
      <w:pPr>
        <w:ind w:left="180" w:hanging="172"/>
        <w:spacing w:after="0"/>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Amendments</w:t>
      </w:r>
      <w:r>
        <w:rPr>
          <w:rFonts w:ascii="Arial" w:cs="Arial" w:eastAsia="Arial" w:hAnsi="Arial"/>
          <w:sz w:val="18"/>
          <w:szCs w:val="18"/>
          <w:color w:val="auto"/>
        </w:rPr>
        <w:t>. The Company and Roth Capital Partners may from time to time supplement or amend this Purchase Warrant without the approval of any of the Holders in order to cure any ambiguity, to correct or supplement any provision contained herein that may be defective or inconsistent with any other provisions herein, or to make any other provisions in regard to matters or questions arising hereunder that the Company and Roth Capital Partners may deem necessary or desirable and that the Company and Roth Capital Partners deem shall not adversely affect the interest of the Holders. All other modifications or amendments shall require the written consent of and be signed by the party against whom enforcement of the modification or amendment is sought.</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the sole purpose of convenience of reference, and shall not in any way limit or affect the meaning or interpretation of any of the terms or provisions of this Purchase Warrant.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Purchase Warrant (together with the other agreements and documents being delivered pursuant to or in connection with this Purchase Warrant) constitutes the entire agreement of the parties hereto with respect to the subject matter hereof, and supersedes all prior agreements and understandings of the parties, oral and written, with respect to the subject matter hereof.</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Binding Effect</w:t>
      </w:r>
      <w:r>
        <w:rPr>
          <w:rFonts w:ascii="Arial" w:cs="Arial" w:eastAsia="Arial" w:hAnsi="Arial"/>
          <w:sz w:val="17"/>
          <w:szCs w:val="17"/>
          <w:color w:val="auto"/>
        </w:rPr>
        <w:t>. This Purchase Warrant shall inure solely to the benefit of and shall be binding upon, the Holder and the Company and their permitted assignees, respective successors, legal representative and assigns, and no other person shall have or be construed to have any legal or equitable right, remedy or claim under or in respect of or by virtue of this Purchase Warrant or any provisions herein contained.</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Governing Law; Submission to Jurisdiction; Trial by Jury</w:t>
      </w:r>
      <w:r>
        <w:rPr>
          <w:rFonts w:ascii="Arial" w:cs="Arial" w:eastAsia="Arial" w:hAnsi="Arial"/>
          <w:sz w:val="16"/>
          <w:szCs w:val="16"/>
          <w:color w:val="auto"/>
        </w:rPr>
        <w:t>. This Purchase Warrant shall be governed by and construed and enforced in accordance with the laws of the State of New York, without giving effect to conflict of laws principles thereof. The Company hereby agrees that any action, proceeding or claim against it arising out of, or relating in any way to this Purchase Warrant shall be brought and enforced in the New York Supreme Court, County of New York, or in the United States District Court for the Southern District of New York, and irrevocably submits to such jurisdiction, which jurisdiction shall be exclusive. The Company hereby waives any objection to such exclusive jurisdiction and that such courts represent an inconvenient forum. Any process or summons to be served upon the Company may be served by transmitting a copy thereof by registered or certified mail, return receipt requested, postage prepaid, addressed to it at the address set forth in Section 8 hereof. Such mailing shall be deemed personal service and shall be legal and binding upon the Company in any action, proceeding or claim. The Company and the Holder agree that the prevailing party(ies) in any such action shall be entitled to recover from the other party(ies) all of its reasonable attorneys’ fees and expenses relating to such action or proceeding and/or incurred in connection with the preparation therefor. The Company (on its behalf and, to the extent permitted by applicable law, on behalf of its stockholders and affiliates) and the Holder hereby irrevocably waive, to the fullest extent permitted by applicable law, any and all right to trial by jury in any legal proceeding arising out of or relating to this Agreement or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2" w:name="page63"/>
    <w:bookmarkEnd w:id="62"/>
    <w:p>
      <w:pPr>
        <w:jc w:val="both"/>
        <w:ind w:firstLine="648"/>
        <w:spacing w:after="0" w:line="273"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Waiver, etc</w:t>
      </w:r>
      <w:r>
        <w:rPr>
          <w:rFonts w:ascii="Arial" w:cs="Arial" w:eastAsia="Arial" w:hAnsi="Arial"/>
          <w:sz w:val="17"/>
          <w:szCs w:val="17"/>
          <w:color w:val="auto"/>
        </w:rPr>
        <w:t>. The failure of the Company or the Holder to at any time enforce any of the provisions of this Purchase Warrant shall not be deemed or construed to be a waiver of any such provision, nor to in any way affect the validity of this Purchase Warrant or any provision hereof or the right of the Company or any Holder to thereafter enforce each and every provision of this Purchase Warrant. No waiver of any breach, non-compliance or non-fulfillment of any of the provisions of this Purchase Warrant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 fulfillment.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Purchase Warrant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Such counterparts may be delivered by facsimile transmission or other electronic transmission.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3" w:name="page64"/>
    <w:bookmarkEnd w:id="63"/>
    <w:p>
      <w:pPr>
        <w:ind w:left="660"/>
        <w:spacing w:after="0"/>
        <w:rPr>
          <w:sz w:val="20"/>
          <w:szCs w:val="20"/>
          <w:color w:val="auto"/>
        </w:rPr>
      </w:pPr>
      <w:r>
        <w:rPr>
          <w:rFonts w:ascii="Arial" w:cs="Arial" w:eastAsia="Arial" w:hAnsi="Arial"/>
          <w:sz w:val="16"/>
          <w:szCs w:val="16"/>
          <w:color w:val="auto"/>
        </w:rPr>
        <w:t>IN WITNESS WHEREOF, the Company has caused this Purchase Warrant to be signed by its duly authorized officer as of the ________ day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DRAGONFLY ENERGY HOLDINGS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i w:val="1"/>
          <w:iCs w:val="1"/>
          <w:color w:val="auto"/>
        </w:rPr>
        <w:t>[Form to be used to exercise Purchase Warrant]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 20__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hereby elects irrevocably to exercise the Purchase Warrant for_____ shares of common stock, par value $0.0001 per share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“Shares”), of Dragonfly Energy Holdings Corp., a company incorporated in the State of Nevada (the “</w:t>
      </w:r>
      <w:r>
        <w:rPr>
          <w:rFonts w:ascii="Arial" w:cs="Arial" w:eastAsia="Arial" w:hAnsi="Arial"/>
          <w:sz w:val="16"/>
          <w:szCs w:val="16"/>
          <w:b w:val="1"/>
          <w:bCs w:val="1"/>
          <w:color w:val="auto"/>
        </w:rPr>
        <w:t>Company</w:t>
      </w:r>
      <w:r>
        <w:rPr>
          <w:rFonts w:ascii="Arial" w:cs="Arial" w:eastAsia="Arial" w:hAnsi="Arial"/>
          <w:sz w:val="16"/>
          <w:szCs w:val="16"/>
          <w:color w:val="auto"/>
        </w:rPr>
        <w:t>”), and hereby makes payment of $____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rate of $____ per Share) in payment of the Exercise Price pursuant thereto. Please issue the Shares as to which this Purchase Warrant is exercised in</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accordance with the instructions given below and, if applicable, a new Purchase Warrant representing the number of Shares for which this Purchase Warrant has not been exercised.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hereby elects irrevocably to convert its right to purchase Shares of the Company under the Purchase Warrant for ___ Shares, as determined in accordance with the following formula:</w:t>
      </w:r>
    </w:p>
    <w:p>
      <w:pPr>
        <w:spacing w:after="0" w:line="153"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620" w:type="dxa"/>
            <w:vAlign w:val="bottom"/>
            <w:vMerge w:val="restart"/>
          </w:tcPr>
          <w:p>
            <w:pPr>
              <w:spacing w:after="0"/>
              <w:rPr>
                <w:sz w:val="20"/>
                <w:szCs w:val="20"/>
                <w:color w:val="auto"/>
              </w:rPr>
            </w:pPr>
            <w:r>
              <w:rPr>
                <w:rFonts w:ascii="Arial" w:cs="Arial" w:eastAsia="Arial" w:hAnsi="Arial"/>
                <w:sz w:val="18"/>
                <w:szCs w:val="18"/>
                <w:color w:val="auto"/>
              </w:rPr>
              <w:t>X =</w:t>
            </w:r>
          </w:p>
        </w:tc>
        <w:tc>
          <w:tcPr>
            <w:tcW w:w="940" w:type="dxa"/>
            <w:vAlign w:val="bottom"/>
            <w:gridSpan w:val="2"/>
          </w:tcPr>
          <w:p>
            <w:pPr>
              <w:jc w:val="center"/>
              <w:ind w:left="250"/>
              <w:spacing w:after="0"/>
              <w:rPr>
                <w:sz w:val="20"/>
                <w:szCs w:val="20"/>
                <w:color w:val="auto"/>
              </w:rPr>
            </w:pPr>
            <w:r>
              <w:rPr>
                <w:rFonts w:ascii="Arial" w:cs="Arial" w:eastAsia="Arial" w:hAnsi="Arial"/>
                <w:sz w:val="18"/>
                <w:szCs w:val="18"/>
                <w:color w:val="auto"/>
              </w:rPr>
              <w:t>Y (A-B)</w:t>
            </w:r>
          </w:p>
        </w:tc>
        <w:tc>
          <w:tcPr>
            <w:tcW w:w="0" w:type="dxa"/>
            <w:vAlign w:val="bottom"/>
          </w:tcPr>
          <w:p>
            <w:pPr>
              <w:spacing w:after="0"/>
              <w:rPr>
                <w:sz w:val="1"/>
                <w:szCs w:val="1"/>
                <w:color w:val="auto"/>
              </w:rPr>
            </w:pPr>
          </w:p>
        </w:tc>
      </w:tr>
      <w:tr>
        <w:trPr>
          <w:trHeight w:val="128"/>
        </w:trPr>
        <w:tc>
          <w:tcPr>
            <w:tcW w:w="6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The number of Shares to be issued to Holder;</w:t>
      </w:r>
    </w:p>
    <w:p>
      <w:pPr>
        <w:spacing w:after="0" w:line="23" w:lineRule="exact"/>
        <w:rPr>
          <w:sz w:val="20"/>
          <w:szCs w:val="20"/>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The number of Shares for which the Purchase Warrant is being exercised;</w:t>
      </w:r>
    </w:p>
    <w:p>
      <w:pPr>
        <w:spacing w:after="0" w:line="9" w:lineRule="exact"/>
        <w:rPr>
          <w:sz w:val="20"/>
          <w:szCs w:val="20"/>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The fair market value of one Share which is equal to $___; and</w:t>
      </w:r>
    </w:p>
    <w:p>
      <w:pPr>
        <w:spacing w:after="0" w:line="9" w:lineRule="exact"/>
        <w:rPr>
          <w:sz w:val="20"/>
          <w:szCs w:val="20"/>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The Exercise Price which is equal to $___ per share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agrees and acknowledges that the calculation set forth above is subject to confirmation by the Company and any disagreement with respect to the calculation shall be resolved by the Company in its sole discretion.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Please issue the Shares as to which this Purchase Warrant is exercised in accordance with the instructions given below and, if applicable, a new Purchase Warrant representing the number of Shares for which this Purchase Warrant has not been converted.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Signature____________________________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Signature Guaranteed___________________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INSTRUCTIONS FOR REGISTRATION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14605</wp:posOffset>
            </wp:positionV>
            <wp:extent cx="28543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(Print in Block Letters)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14605</wp:posOffset>
            </wp:positionV>
            <wp:extent cx="28543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NOTICE: The signature to this form must correspond with the name as written upon the face of the Purchase Warrant without alteration or enlargement or any change whatsoever, and must be guaranteed by a bank, other than a savings bank, or by a trust company or by a firm having membership on a registered national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i w:val="1"/>
          <w:iCs w:val="1"/>
          <w:color w:val="auto"/>
        </w:rPr>
        <w:t>[Form to be used to assign Purchase Warrant]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ASSIGNMENT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be executed by the registered Holder to effect a transfer of the within Purchase Warrant):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___________________ does hereby sell, assign and transfer unto the right to purchase shares of common stock, par value</w:t>
      </w: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$0.0001 per share, of Dragonfly Energy Holdings Corp., a company incorporated in the State of Nevada (the “</w:t>
      </w:r>
      <w:r>
        <w:rPr>
          <w:rFonts w:ascii="Arial" w:cs="Arial" w:eastAsia="Arial" w:hAnsi="Arial"/>
          <w:sz w:val="18"/>
          <w:szCs w:val="18"/>
          <w:b w:val="1"/>
          <w:bCs w:val="1"/>
          <w:color w:val="auto"/>
        </w:rPr>
        <w:t>Company</w:t>
      </w:r>
      <w:r>
        <w:rPr>
          <w:rFonts w:ascii="Arial" w:cs="Arial" w:eastAsia="Arial" w:hAnsi="Arial"/>
          <w:sz w:val="18"/>
          <w:szCs w:val="18"/>
          <w:color w:val="auto"/>
        </w:rPr>
        <w:t>”), evidenced by the Purchase Warrant and does hereby authorize the Company to transfer such right on the books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 20__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 ___________________</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NOTICE: The signature to this form must correspond with the name as written upon the face of the within Purchase Warrant without alteration or enlargement or any change whatsoever, and must be guaranteed by a bank, other than a savings bank, or by a trust company or by a firm having membership on a registered national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6" w:name="page67"/>
    <w:bookmarkEnd w:id="66"/>
    <w:p>
      <w:pPr>
        <w:ind w:left="10400"/>
        <w:spacing w:after="0"/>
        <w:rPr>
          <w:sz w:val="20"/>
          <w:szCs w:val="20"/>
          <w:color w:val="auto"/>
        </w:rPr>
      </w:pPr>
      <w:r>
        <w:rPr>
          <w:rFonts w:ascii="Arial" w:cs="Arial" w:eastAsia="Arial" w:hAnsi="Arial"/>
          <w:sz w:val="16"/>
          <w:szCs w:val="16"/>
          <w:b w:val="1"/>
          <w:bCs w:val="1"/>
          <w:color w:val="auto"/>
        </w:rPr>
        <w:t>Exhibit 4.9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COMMON STOCK PURCHASE WARRANT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DRAGONFLY ENERGY HOLDINGS CORP.</w:t>
      </w:r>
    </w:p>
    <w:p>
      <w:pPr>
        <w:sectPr>
          <w:pgSz w:w="11900" w:h="16838" w:orient="portrait"/>
          <w:cols w:equalWidth="0" w:num="1">
            <w:col w:w="11240"/>
          </w:cols>
          <w:pgMar w:left="320" w:top="337" w:right="3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Warrant Shares: _________</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Initial Exercise Date: _________, 2023</w:t>
      </w:r>
    </w:p>
    <w:p>
      <w:pPr>
        <w:spacing w:after="0" w:line="200" w:lineRule="exact"/>
        <w:rPr>
          <w:sz w:val="20"/>
          <w:szCs w:val="20"/>
          <w:color w:val="auto"/>
        </w:rPr>
      </w:pPr>
    </w:p>
    <w:p>
      <w:pPr>
        <w:sectPr>
          <w:pgSz w:w="11900" w:h="16838" w:orient="portrait"/>
          <w:cols w:equalWidth="0" w:num="2">
            <w:col w:w="4900" w:space="720"/>
            <w:col w:w="5620"/>
          </w:cols>
          <w:pgMar w:left="320" w:top="337" w:right="339" w:bottom="1440" w:gutter="0" w:footer="0" w:header="0"/>
          <w:type w:val="continuous"/>
        </w:sectPr>
      </w:pPr>
    </w:p>
    <w:p>
      <w:pPr>
        <w:spacing w:after="0" w:line="4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COMMON STOCK PURCHASE WARRANT (the “</w:t>
      </w:r>
      <w:r>
        <w:rPr>
          <w:rFonts w:ascii="Arial" w:cs="Arial" w:eastAsia="Arial" w:hAnsi="Arial"/>
          <w:sz w:val="16"/>
          <w:szCs w:val="16"/>
          <w:u w:val="single" w:color="auto"/>
          <w:color w:val="auto"/>
        </w:rPr>
        <w:t>Warrant</w:t>
      </w:r>
      <w:r>
        <w:rPr>
          <w:rFonts w:ascii="Arial" w:cs="Arial" w:eastAsia="Arial" w:hAnsi="Arial"/>
          <w:sz w:val="16"/>
          <w:szCs w:val="16"/>
          <w:color w:val="auto"/>
        </w:rPr>
        <w:t>”) certifies that, for value received, _____________ or its assigns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Holder</w:t>
      </w:r>
      <w:r>
        <w:rPr>
          <w:rFonts w:ascii="Arial" w:cs="Arial" w:eastAsia="Arial" w:hAnsi="Arial"/>
          <w:sz w:val="17"/>
          <w:szCs w:val="17"/>
          <w:color w:val="auto"/>
        </w:rPr>
        <w:t>”) is entitled, upon the terms and subject to the limitations on exercise and the conditions hereinafter set forth, at any time on or after the date</w:t>
      </w:r>
    </w:p>
    <w:p>
      <w:pPr>
        <w:spacing w:after="0" w:line="223" w:lineRule="auto"/>
        <w:rPr>
          <w:sz w:val="20"/>
          <w:szCs w:val="20"/>
          <w:color w:val="auto"/>
        </w:rPr>
      </w:pPr>
      <w:r>
        <w:rPr>
          <w:rFonts w:ascii="Arial" w:cs="Arial" w:eastAsia="Arial" w:hAnsi="Arial"/>
          <w:sz w:val="16"/>
          <w:szCs w:val="16"/>
          <w:color w:val="auto"/>
        </w:rPr>
        <w:t>hereof (the “</w:t>
      </w:r>
      <w:r>
        <w:rPr>
          <w:rFonts w:ascii="Arial" w:cs="Arial" w:eastAsia="Arial" w:hAnsi="Arial"/>
          <w:sz w:val="16"/>
          <w:szCs w:val="16"/>
          <w:u w:val="single" w:color="auto"/>
          <w:color w:val="auto"/>
        </w:rPr>
        <w:t>Initial Exercise Date</w:t>
      </w:r>
      <w:r>
        <w:rPr>
          <w:rFonts w:ascii="Arial" w:cs="Arial" w:eastAsia="Arial" w:hAnsi="Arial"/>
          <w:sz w:val="16"/>
          <w:szCs w:val="16"/>
          <w:color w:val="auto"/>
        </w:rPr>
        <w:t>”) and on or prior to 5:00 p.m. (New York City time) on _____</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but not thereafter, to subscribe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and purchase from Dragonfly Energy Holdings Corp., a Nevada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up to ______ shares (as subject to adjustment hereunder,</w:t>
      </w:r>
    </w:p>
    <w:p>
      <w:pPr>
        <w:spacing w:after="0" w:line="3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Warrant Shares</w:t>
      </w:r>
      <w:r>
        <w:rPr>
          <w:rFonts w:ascii="Arial" w:cs="Arial" w:eastAsia="Arial" w:hAnsi="Arial"/>
          <w:sz w:val="18"/>
          <w:szCs w:val="18"/>
          <w:color w:val="auto"/>
        </w:rPr>
        <w:t>”) of Common Stock (as defined below). The purchase price of one share of Common Stock under this Warrant shall be equal to the Exercise Price, as defined in Section 2(b).</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Definitions</w:t>
      </w:r>
      <w:r>
        <w:rPr>
          <w:rFonts w:ascii="Arial" w:cs="Arial" w:eastAsia="Arial" w:hAnsi="Arial"/>
          <w:sz w:val="16"/>
          <w:szCs w:val="16"/>
          <w:color w:val="auto"/>
        </w:rPr>
        <w:t>. In addition to the terms defined elsewhere in this Warrant, the following terms have the meanings indicated in this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11"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Bid Price</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w:t>
      </w:r>
      <w:r>
        <w:rPr>
          <w:rFonts w:ascii="Arial" w:cs="Arial" w:eastAsia="Arial" w:hAnsi="Arial"/>
          <w:sz w:val="17"/>
          <w:szCs w:val="17"/>
          <w:u w:val="single" w:color="auto"/>
          <w:color w:val="auto"/>
        </w:rPr>
        <w:t>Bloomberg</w:t>
      </w:r>
      <w:r>
        <w:rPr>
          <w:rFonts w:ascii="Arial" w:cs="Arial" w:eastAsia="Arial" w:hAnsi="Arial"/>
          <w:sz w:val="17"/>
          <w:szCs w:val="17"/>
          <w:color w:val="auto"/>
        </w:rPr>
        <w:t>”) (based on a Trading Day from 9:30 a.m. (New York City time) to 4:02 p.m. (New York City time)), (b) if OTCQB or OTCQX is not a Trading Market, the VWAP (as defined below)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99707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6">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300" w:lineRule="exact"/>
        <w:rPr>
          <w:sz w:val="20"/>
          <w:szCs w:val="20"/>
          <w:color w:val="auto"/>
        </w:rPr>
      </w:pPr>
    </w:p>
    <w:p>
      <w:pPr>
        <w:ind w:right="640" w:firstLine="8"/>
        <w:spacing w:after="0" w:line="207" w:lineRule="auto"/>
        <w:tabs>
          <w:tab w:leader="none" w:pos="113" w:val="left"/>
        </w:tabs>
        <w:numPr>
          <w:ilvl w:val="0"/>
          <w:numId w:val="70"/>
        </w:numPr>
        <w:rPr>
          <w:rFonts w:ascii="Arial" w:cs="Arial" w:eastAsia="Arial" w:hAnsi="Arial"/>
          <w:sz w:val="28"/>
          <w:szCs w:val="28"/>
          <w:color w:val="auto"/>
          <w:vertAlign w:val="superscript"/>
        </w:rPr>
      </w:pPr>
      <w:r>
        <w:rPr>
          <w:rFonts w:ascii="Arial" w:cs="Arial" w:eastAsia="Arial" w:hAnsi="Arial"/>
          <w:sz w:val="17"/>
          <w:szCs w:val="17"/>
          <w:color w:val="auto"/>
        </w:rPr>
        <w:t>Insert the date that is the five year anniversary of the Initial Exercise Date, provided that, if such date is not a Trading Day, insert the immediately following Trading Day.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7" w:name="page68"/>
    <w:bookmarkEnd w:id="67"/>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day other than Saturday, Sunday or other day on which commercial banks in The City of New York are authorized or required by law to remain closed;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for clarification, that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$0.0001 per share, and any other class of securities into which such securities may hereafter be reclassified or changed.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Company’s registration statement on Form S-1 (File No. 333- 272401).</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 and shall, where applicable, also include any direct or indirect subsidiary of the Company formed or acquired after the date hereof.</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Common Stock is traded on a Trading Market.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68" w:name="page69"/>
    <w:bookmarkEnd w:id="68"/>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American Stock Transfer &amp; Trust Company, LLC , the current transfer agent of the Company, with a mailing address of 6201 15th Avenue, Brooklyn, NY 11219 and an email address of john.lundberg@equiniti.com, and any successor transfer agent of the Company.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means the underwriting agreement, dated as of June __, 2023, among the Company and Roth Capital Partners, LLC as representative of the underwriters named therein, as amended, modified or supplemented from time to time in accordance with its terms.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means this Warrant and other Common Stock purchase warrants issued by the Company pursuant to the Underwriting Agreement and the Registration Statement.</w:t>
      </w:r>
    </w:p>
    <w:p>
      <w:pPr>
        <w:spacing w:after="0" w:line="17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85" w:lineRule="auto"/>
        <w:tabs>
          <w:tab w:leader="none" w:pos="835"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Exercise of the purchase rights represented by this Warrant may be made, in whole or in part, at any time or times on or after the Initial Exercise Date and on or before the Termination Date by delivery to the Company (with a PDF copy to the Transfer Agent delivered via email at the email address set forth in the definition of Transfer Agent above (or such other office or agency as the Company may designate by notice in writing to the registered Holder at the address of the Holder appearing on the books of the Company)) of a duly executed PDF copy submitted by e-mail (or e-mail attachment) of the Notice of Exercise in the form annexed hereto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Arial" w:cs="Arial" w:eastAsia="Arial" w:hAnsi="Arial"/>
          <w:sz w:val="16"/>
          <w:szCs w:val="16"/>
          <w:b w:val="1"/>
          <w:bCs w:val="1"/>
          <w:color w:val="auto"/>
        </w:rPr>
        <w:t>The Holder and any assignee, by</w:t>
      </w:r>
      <w:r>
        <w:rPr>
          <w:rFonts w:ascii="Arial" w:cs="Arial" w:eastAsia="Arial" w:hAnsi="Arial"/>
          <w:sz w:val="16"/>
          <w:szCs w:val="16"/>
          <w:color w:val="auto"/>
        </w:rPr>
        <w:t xml:space="preserve"> </w:t>
      </w:r>
      <w:r>
        <w:rPr>
          <w:rFonts w:ascii="Arial" w:cs="Arial" w:eastAsia="Arial" w:hAnsi="Arial"/>
          <w:sz w:val="16"/>
          <w:szCs w:val="16"/>
          <w:b w:val="1"/>
          <w:bCs w:val="1"/>
          <w:color w:val="auto"/>
        </w:rPr>
        <w:t>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384" w:lineRule="exact"/>
        <w:rPr>
          <w:rFonts w:ascii="Arial" w:cs="Arial" w:eastAsia="Arial" w:hAnsi="Arial"/>
          <w:sz w:val="16"/>
          <w:szCs w:val="16"/>
          <w:color w:val="auto"/>
        </w:rPr>
      </w:pPr>
    </w:p>
    <w:p>
      <w:pPr>
        <w:ind w:left="840" w:hanging="196"/>
        <w:spacing w:after="0"/>
        <w:tabs>
          <w:tab w:leader="none" w:pos="840"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per Warrant Share shall be $_____, subject to adjustment hereunder (the “</w:t>
      </w:r>
      <w:r>
        <w:rPr>
          <w:rFonts w:ascii="Arial" w:cs="Arial" w:eastAsia="Arial" w:hAnsi="Arial"/>
          <w:sz w:val="17"/>
          <w:szCs w:val="17"/>
          <w:u w:val="single" w:color="auto"/>
          <w:color w:val="auto"/>
        </w:rPr>
        <w:t>Exercise Price</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jc w:val="both"/>
        <w:ind w:firstLine="644"/>
        <w:spacing w:after="0" w:line="259" w:lineRule="auto"/>
        <w:tabs>
          <w:tab w:leader="none" w:pos="84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7" w:lineRule="exact"/>
        <w:rPr>
          <w:sz w:val="20"/>
          <w:szCs w:val="20"/>
          <w:color w:val="auto"/>
        </w:rPr>
      </w:pPr>
    </w:p>
    <w:p>
      <w:pPr>
        <w:ind w:left="1140" w:hanging="496"/>
        <w:spacing w:after="0" w:line="269" w:lineRule="auto"/>
        <w:tabs>
          <w:tab w:leader="none" w:pos="951" w:val="left"/>
        </w:tabs>
        <w:numPr>
          <w:ilvl w:val="0"/>
          <w:numId w:val="72"/>
        </w:numPr>
        <w:rPr>
          <w:rFonts w:ascii="Arial" w:cs="Arial" w:eastAsia="Arial" w:hAnsi="Arial"/>
          <w:sz w:val="17"/>
          <w:szCs w:val="17"/>
          <w:color w:val="auto"/>
        </w:rPr>
      </w:pPr>
      <w:r>
        <w:rPr>
          <w:rFonts w:ascii="Arial" w:cs="Arial" w:eastAsia="Arial" w:hAnsi="Arial"/>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70" w:name="page71"/>
    <w:bookmarkEnd w:id="70"/>
    <w:p>
      <w:pPr>
        <w:ind w:left="968"/>
        <w:spacing w:after="0"/>
        <w:rPr>
          <w:sz w:val="20"/>
          <w:szCs w:val="20"/>
          <w:color w:val="auto"/>
        </w:rPr>
      </w:pPr>
      <w:r>
        <w:rPr>
          <w:rFonts w:ascii="Arial" w:cs="Arial" w:eastAsia="Arial" w:hAnsi="Arial"/>
          <w:sz w:val="18"/>
          <w:szCs w:val="18"/>
          <w:color w:val="auto"/>
        </w:rPr>
        <w:t>(B) = the Exercise Price of this Warrant, as adjusted hereunder; and</w:t>
      </w:r>
    </w:p>
    <w:p>
      <w:pPr>
        <w:spacing w:after="0" w:line="225" w:lineRule="exact"/>
        <w:rPr>
          <w:sz w:val="20"/>
          <w:szCs w:val="20"/>
          <w:color w:val="auto"/>
        </w:rPr>
      </w:pPr>
    </w:p>
    <w:p>
      <w:pPr>
        <w:ind w:left="1468" w:hanging="496"/>
        <w:spacing w:after="0" w:line="277" w:lineRule="auto"/>
        <w:tabs>
          <w:tab w:leader="none" w:pos="1283" w:val="left"/>
        </w:tabs>
        <w:numPr>
          <w:ilvl w:val="0"/>
          <w:numId w:val="73"/>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70" w:lineRule="exact"/>
        <w:rPr>
          <w:sz w:val="20"/>
          <w:szCs w:val="20"/>
          <w:color w:val="auto"/>
        </w:rPr>
      </w:pPr>
    </w:p>
    <w:p>
      <w:pPr>
        <w:jc w:val="both"/>
        <w:ind w:left="328" w:firstLine="648"/>
        <w:spacing w:after="0" w:line="263"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84" w:lineRule="exact"/>
        <w:rPr>
          <w:sz w:val="20"/>
          <w:szCs w:val="20"/>
          <w:color w:val="auto"/>
        </w:rPr>
      </w:pPr>
    </w:p>
    <w:p>
      <w:pPr>
        <w:ind w:left="328" w:hanging="328"/>
        <w:spacing w:after="0"/>
        <w:tabs>
          <w:tab w:leader="none" w:pos="328"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688" w:hanging="198"/>
        <w:spacing w:after="0" w:line="284" w:lineRule="auto"/>
        <w:tabs>
          <w:tab w:leader="none" w:pos="1688"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The Company shall cause the Warrant Shares purchased hereunder to be transmitted by the Transfer Agent to the Holder by crediting the account of the Holder’s or its designee’s balance account with DTC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w:t>
      </w:r>
    </w:p>
    <w:p>
      <w:pPr>
        <w:jc w:val="both"/>
        <w:ind w:left="1688"/>
        <w:spacing w:after="0" w:line="266" w:lineRule="auto"/>
        <w:rPr>
          <w:rFonts w:ascii="Arial" w:cs="Arial" w:eastAsia="Arial" w:hAnsi="Arial"/>
          <w:sz w:val="16"/>
          <w:szCs w:val="16"/>
          <w:color w:val="auto"/>
        </w:rPr>
      </w:pPr>
      <w:r>
        <w:rPr>
          <w:rFonts w:ascii="Arial" w:cs="Arial" w:eastAsia="Arial" w:hAnsi="Arial"/>
          <w:sz w:val="17"/>
          <w:szCs w:val="17"/>
          <w:color w:val="auto"/>
        </w:rPr>
        <w:t>(1) Trading Day after delivery of the aggregate Exercise Price to the Company and (iii) the number of Trading Days comprising the Standard Settlement Period (as defined below) after the delivery to the Company of the Notice of Exercise (such date, the “</w:t>
      </w:r>
      <w:r>
        <w:rPr>
          <w:rFonts w:ascii="Arial" w:cs="Arial" w:eastAsia="Arial" w:hAnsi="Arial"/>
          <w:sz w:val="17"/>
          <w:szCs w:val="17"/>
          <w:u w:val="single" w:color="auto"/>
          <w:color w:val="auto"/>
        </w:rPr>
        <w:t>Warrant Share Delivery Date</w:t>
      </w:r>
      <w:r>
        <w:rPr>
          <w:rFonts w:ascii="Arial" w:cs="Arial" w:eastAsia="Arial" w:hAnsi="Arial"/>
          <w:sz w:val="17"/>
          <w:szCs w:val="17"/>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Arial" w:cs="Arial" w:eastAsia="Arial" w:hAnsi="Arial"/>
          <w:sz w:val="17"/>
          <w:szCs w:val="17"/>
          <w:u w:val="single" w:color="auto"/>
          <w:color w:val="auto"/>
        </w:rPr>
        <w:t>Standard Settlement Period</w:t>
      </w:r>
      <w:r>
        <w:rPr>
          <w:rFonts w:ascii="Arial" w:cs="Arial" w:eastAsia="Arial" w:hAnsi="Arial"/>
          <w:sz w:val="17"/>
          <w:szCs w:val="17"/>
          <w:color w:val="auto"/>
        </w:rPr>
        <w:t>” means the standard settlement period, expressed in a number of Trading Days, on the Company’s primary Trading Market with respect to the Common Stock as in effect on the date of delivery of the Notice of Exercise.</w:t>
      </w:r>
    </w:p>
    <w:p>
      <w:pPr>
        <w:spacing w:after="0" w:line="19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92" w:right="339" w:bottom="1440" w:gutter="0" w:footer="0" w:header="0"/>
        </w:sectPr>
      </w:pPr>
    </w:p>
    <w:bookmarkStart w:id="71" w:name="page72"/>
    <w:bookmarkEnd w:id="71"/>
    <w:p>
      <w:pPr>
        <w:jc w:val="both"/>
        <w:ind w:left="840" w:firstLine="640"/>
        <w:spacing w:after="0" w:line="279" w:lineRule="auto"/>
        <w:tabs>
          <w:tab w:leader="none" w:pos="1678"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Delivery of New Warrants Upon Exercise</w:t>
      </w:r>
      <w:r>
        <w:rPr>
          <w:rFonts w:ascii="Arial" w:cs="Arial" w:eastAsia="Arial" w:hAnsi="Arial"/>
          <w:sz w:val="17"/>
          <w:szCs w:val="17"/>
          <w:color w:val="auto"/>
        </w:rPr>
        <w:t>. If this Warrant shall have been exercised in part, the Company shall, at the request of the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1" w:lineRule="exact"/>
        <w:rPr>
          <w:rFonts w:ascii="Arial" w:cs="Arial" w:eastAsia="Arial" w:hAnsi="Arial"/>
          <w:sz w:val="17"/>
          <w:szCs w:val="17"/>
          <w:color w:val="auto"/>
        </w:rPr>
      </w:pPr>
    </w:p>
    <w:p>
      <w:pPr>
        <w:ind w:left="840" w:firstLine="640"/>
        <w:spacing w:after="0" w:line="342" w:lineRule="auto"/>
        <w:tabs>
          <w:tab w:leader="none" w:pos="1744"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Rescission Rights</w:t>
      </w:r>
      <w:r>
        <w:rPr>
          <w:rFonts w:ascii="Arial" w:cs="Arial" w:eastAsia="Arial" w:hAnsi="Arial"/>
          <w:sz w:val="16"/>
          <w:szCs w:val="16"/>
          <w:color w:val="auto"/>
        </w:rPr>
        <w:t>. If the Company fails to cause the Transfer Agent to transmit to the Holder the Warrant Shares pursuant to Section 2(d)(i) by the Warrant Share Delivery Date, then the Holder will have the right to rescind such exercise.</w:t>
      </w:r>
    </w:p>
    <w:p>
      <w:pPr>
        <w:spacing w:after="0" w:line="123" w:lineRule="exact"/>
        <w:rPr>
          <w:rFonts w:ascii="Arial" w:cs="Arial" w:eastAsia="Arial" w:hAnsi="Arial"/>
          <w:sz w:val="16"/>
          <w:szCs w:val="16"/>
          <w:color w:val="auto"/>
        </w:rPr>
      </w:pPr>
    </w:p>
    <w:p>
      <w:pPr>
        <w:jc w:val="both"/>
        <w:ind w:left="840" w:firstLine="640"/>
        <w:spacing w:after="0" w:line="283" w:lineRule="auto"/>
        <w:tabs>
          <w:tab w:leader="none" w:pos="1732"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 (x) the Holder’s total purchase price (including reasonable and customary brokerage commissions, if any) for the shares of Common Stock so purchased exceeds (y) the amount obtained by multiplying (1) the number of Warrant Shares that the Company was required to deliver to the Holder in connection with the exercise at issue times</w:t>
      </w:r>
    </w:p>
    <w:p>
      <w:pPr>
        <w:spacing w:after="0" w:line="5" w:lineRule="exact"/>
        <w:rPr>
          <w:rFonts w:ascii="Arial" w:cs="Arial" w:eastAsia="Arial" w:hAnsi="Arial"/>
          <w:sz w:val="16"/>
          <w:szCs w:val="16"/>
          <w:color w:val="auto"/>
        </w:rPr>
      </w:pPr>
    </w:p>
    <w:p>
      <w:pPr>
        <w:jc w:val="both"/>
        <w:ind w:left="840" w:hanging="8"/>
        <w:spacing w:after="0" w:line="267" w:lineRule="auto"/>
        <w:tabs>
          <w:tab w:leader="none" w:pos="1108"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72" w:name="page73"/>
    <w:bookmarkEnd w:id="72"/>
    <w:p>
      <w:pPr>
        <w:jc w:val="both"/>
        <w:ind w:left="1300" w:firstLine="648"/>
        <w:spacing w:after="0" w:line="279" w:lineRule="auto"/>
        <w:rPr>
          <w:sz w:val="20"/>
          <w:szCs w:val="20"/>
          <w:color w:val="auto"/>
        </w:rPr>
      </w:pPr>
      <w:r>
        <w:rPr>
          <w:rFonts w:ascii="Arial" w:cs="Arial" w:eastAsia="Arial" w:hAnsi="Arial"/>
          <w:sz w:val="17"/>
          <w:szCs w:val="17"/>
          <w:color w:val="auto"/>
        </w:rPr>
        <w:t xml:space="preserve">v. </w:t>
      </w:r>
      <w:r>
        <w:rPr>
          <w:rFonts w:ascii="Arial" w:cs="Arial" w:eastAsia="Arial" w:hAnsi="Arial"/>
          <w:sz w:val="17"/>
          <w:szCs w:val="17"/>
          <w:u w:val="single" w:color="auto"/>
          <w:color w:val="auto"/>
        </w:rPr>
        <w:t>No Fractional Shares or Scrip</w:t>
      </w:r>
      <w:r>
        <w:rPr>
          <w:rFonts w:ascii="Arial" w:cs="Arial" w:eastAsia="Arial" w:hAnsi="Arial"/>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1" w:lineRule="exact"/>
        <w:rPr>
          <w:sz w:val="20"/>
          <w:szCs w:val="20"/>
          <w:color w:val="auto"/>
        </w:rPr>
      </w:pPr>
    </w:p>
    <w:p>
      <w:pPr>
        <w:jc w:val="both"/>
        <w:ind w:left="1300" w:firstLine="640"/>
        <w:spacing w:after="0" w:line="289" w:lineRule="auto"/>
        <w:tabs>
          <w:tab w:leader="none" w:pos="2185"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Charges, Taxes and Expenses</w:t>
      </w:r>
      <w:r>
        <w:rPr>
          <w:rFonts w:ascii="Arial" w:cs="Arial" w:eastAsia="Arial" w:hAnsi="Arial"/>
          <w:sz w:val="16"/>
          <w:szCs w:val="16"/>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66" w:lineRule="exact"/>
        <w:rPr>
          <w:rFonts w:ascii="Arial" w:cs="Arial" w:eastAsia="Arial" w:hAnsi="Arial"/>
          <w:sz w:val="16"/>
          <w:szCs w:val="16"/>
          <w:color w:val="auto"/>
        </w:rPr>
      </w:pPr>
    </w:p>
    <w:p>
      <w:pPr>
        <w:ind w:left="1300" w:firstLine="640"/>
        <w:spacing w:after="0" w:line="277" w:lineRule="auto"/>
        <w:tabs>
          <w:tab w:leader="none" w:pos="2236"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170" w:lineRule="exact"/>
        <w:rPr>
          <w:rFonts w:ascii="Arial" w:cs="Arial" w:eastAsia="Arial" w:hAnsi="Arial"/>
          <w:sz w:val="18"/>
          <w:szCs w:val="18"/>
          <w:color w:val="auto"/>
        </w:rPr>
      </w:pPr>
    </w:p>
    <w:p>
      <w:pPr>
        <w:jc w:val="both"/>
        <w:ind w:firstLine="644"/>
        <w:spacing w:after="0" w:line="282" w:lineRule="auto"/>
        <w:tabs>
          <w:tab w:leader="none" w:pos="852"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of its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of its Affiliates and Attribution Parties) and of which portion of this Warrant is exercisable, in each case subject to the Beneficial Ownership Limitation. To ensure compliance with this restriction, each Holder will be deemed to represent to the Company each time it delivers a Notice of Exercise that such Notice of Exercise has not violated the restrictions set forth in this paragraph, and the Company shall have no obligation to verify or confirm the accuracy of such determination, provided that in making such representation, the Holder is relying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In addition, a determination as to any group status as contemplated above shall be determined in accordance with Section 13(d) of the Exchange Act.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 Ownership</w:t>
      </w:r>
      <w:r>
        <w:rPr>
          <w:rFonts w:ascii="Arial" w:cs="Arial" w:eastAsia="Arial" w:hAnsi="Arial"/>
          <w:sz w:val="16"/>
          <w:szCs w:val="16"/>
          <w:color w:val="auto"/>
        </w:rPr>
        <w:t xml:space="preserve"> </w:t>
      </w:r>
      <w:r>
        <w:rPr>
          <w:rFonts w:ascii="Arial" w:cs="Arial" w:eastAsia="Arial" w:hAnsi="Arial"/>
          <w:sz w:val="16"/>
          <w:szCs w:val="16"/>
          <w:u w:val="single" w:color="auto"/>
          <w:color w:val="auto"/>
        </w:rPr>
        <w:t>Limitation</w:t>
      </w:r>
      <w:r>
        <w:rPr>
          <w:rFonts w:ascii="Arial" w:cs="Arial" w:eastAsia="Arial" w:hAnsi="Arial"/>
          <w:sz w:val="16"/>
          <w:szCs w:val="16"/>
          <w:color w:val="auto"/>
        </w:rPr>
        <w:t>” shall be 4.99% (or, upon election by a Holder prior to the issuance of any Warrants, 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w:t>
      </w:r>
    </w:p>
    <w:p>
      <w:pPr>
        <w:spacing w:after="0" w:line="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continue to apply. Any increase in the Beneficial Ownership Limitation will not be effective until the 61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69" w:lineRule="auto"/>
        <w:tabs>
          <w:tab w:leader="none" w:pos="855"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Stock Dividends and Splits</w:t>
      </w:r>
      <w:r>
        <w:rPr>
          <w:rFonts w:ascii="Arial" w:cs="Arial" w:eastAsia="Arial" w:hAnsi="Arial"/>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8" w:lineRule="exact"/>
        <w:rPr>
          <w:rFonts w:ascii="Arial" w:cs="Arial" w:eastAsia="Arial" w:hAnsi="Arial"/>
          <w:sz w:val="17"/>
          <w:szCs w:val="17"/>
          <w:color w:val="auto"/>
        </w:rPr>
      </w:pPr>
    </w:p>
    <w:p>
      <w:pPr>
        <w:ind w:left="840" w:hanging="196"/>
        <w:spacing w:after="0"/>
        <w:tabs>
          <w:tab w:leader="none" w:pos="84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p>
    <w:p>
      <w:pPr>
        <w:spacing w:after="0" w:line="225" w:lineRule="exact"/>
        <w:rPr>
          <w:rFonts w:ascii="Arial" w:cs="Arial" w:eastAsia="Arial" w:hAnsi="Arial"/>
          <w:sz w:val="18"/>
          <w:szCs w:val="18"/>
          <w:color w:val="auto"/>
        </w:rPr>
      </w:pPr>
    </w:p>
    <w:p>
      <w:pPr>
        <w:jc w:val="both"/>
        <w:ind w:firstLine="644"/>
        <w:spacing w:after="0" w:line="268" w:lineRule="auto"/>
        <w:tabs>
          <w:tab w:leader="none" w:pos="861"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In addition to any adjustments pursuant to Section 3(a) above, if at any time while this Warrant is outstanding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provided, that such Purchase Right shall terminate on, and shall not be held in abeyance for any period subsequent to the Termination Date.</w:t>
      </w:r>
    </w:p>
    <w:p>
      <w:pPr>
        <w:spacing w:after="0" w:line="186" w:lineRule="exact"/>
        <w:rPr>
          <w:rFonts w:ascii="Arial" w:cs="Arial" w:eastAsia="Arial" w:hAnsi="Arial"/>
          <w:sz w:val="17"/>
          <w:szCs w:val="17"/>
          <w:color w:val="auto"/>
        </w:rPr>
      </w:pPr>
    </w:p>
    <w:p>
      <w:pPr>
        <w:jc w:val="both"/>
        <w:ind w:firstLine="644"/>
        <w:spacing w:after="0" w:line="268" w:lineRule="auto"/>
        <w:tabs>
          <w:tab w:leader="none" w:pos="854"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u w:val="single" w:color="auto"/>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74" w:name="page75"/>
    <w:bookmarkEnd w:id="74"/>
    <w:p>
      <w:pPr>
        <w:jc w:val="both"/>
        <w:ind w:left="-460" w:firstLine="644"/>
        <w:spacing w:after="0" w:line="283" w:lineRule="auto"/>
        <w:tabs>
          <w:tab w:leader="none" w:pos="395"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Company’s consolidated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occurrence or consummation of such Fundamental Transaction, each and every provision of this Warrant referring to the “Company” shall refer instead to the Successor Entity or Successor Entities, jointly and severally) and may exercise every right and power of the Company and shall assume all of the obligations of the Company under this Warrant with the same effect as if such Successor Entity or Successor Entities, jointly and severally, had been named as the Company herein. For the avoidance of doubt, the Holder shall be entitled to the benefits of the provisions of this Section 3(e) regardless of (i) whether the Company has sufficient authorized shares of Common Stock for the issuance of Warrant Shares and/or (ii) whether a Fundamental Transaction occurs prior to the Initial Exercise Date.</w:t>
      </w:r>
    </w:p>
    <w:p>
      <w:pPr>
        <w:spacing w:after="0" w:line="1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75" w:name="page76"/>
    <w:bookmarkEnd w:id="75"/>
    <w:p>
      <w:pPr>
        <w:jc w:val="both"/>
        <w:ind w:firstLine="644"/>
        <w:spacing w:after="0" w:line="286" w:lineRule="auto"/>
        <w:tabs>
          <w:tab w:leader="none" w:pos="822"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Calculations</w:t>
      </w:r>
      <w:r>
        <w:rPr>
          <w:rFonts w:ascii="Arial" w:cs="Arial" w:eastAsia="Arial" w:hAnsi="Arial"/>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65" w:lineRule="exact"/>
        <w:rPr>
          <w:rFonts w:ascii="Arial" w:cs="Arial" w:eastAsia="Arial" w:hAnsi="Arial"/>
          <w:sz w:val="17"/>
          <w:szCs w:val="17"/>
          <w:color w:val="auto"/>
        </w:rPr>
      </w:pPr>
    </w:p>
    <w:p>
      <w:pPr>
        <w:ind w:left="840" w:hanging="196"/>
        <w:spacing w:after="0"/>
        <w:tabs>
          <w:tab w:leader="none" w:pos="84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640"/>
        <w:spacing w:after="0" w:line="311" w:lineRule="auto"/>
        <w:tabs>
          <w:tab w:leader="none" w:pos="2079"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Adjustment to Exercise Price</w:t>
      </w:r>
      <w:r>
        <w:rPr>
          <w:rFonts w:ascii="Arial" w:cs="Arial" w:eastAsia="Arial" w:hAnsi="Arial"/>
          <w:sz w:val="16"/>
          <w:szCs w:val="16"/>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48" w:lineRule="exact"/>
        <w:rPr>
          <w:rFonts w:ascii="Arial" w:cs="Arial" w:eastAsia="Arial" w:hAnsi="Arial"/>
          <w:sz w:val="16"/>
          <w:szCs w:val="16"/>
          <w:color w:val="auto"/>
        </w:rPr>
      </w:pPr>
    </w:p>
    <w:p>
      <w:pPr>
        <w:jc w:val="both"/>
        <w:ind w:left="1300" w:firstLine="640"/>
        <w:spacing w:after="0" w:line="284" w:lineRule="auto"/>
        <w:tabs>
          <w:tab w:leader="none" w:pos="2169"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395" w:lineRule="exact"/>
        <w:rPr>
          <w:rFonts w:ascii="Arial" w:cs="Arial" w:eastAsia="Arial" w:hAnsi="Arial"/>
          <w:sz w:val="16"/>
          <w:szCs w:val="16"/>
          <w:color w:val="auto"/>
        </w:rPr>
      </w:pPr>
    </w:p>
    <w:p>
      <w:pPr>
        <w:jc w:val="both"/>
        <w:ind w:firstLine="644"/>
        <w:spacing w:after="0" w:line="263" w:lineRule="auto"/>
        <w:tabs>
          <w:tab w:leader="none" w:pos="847"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Warrant</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69" w:lineRule="auto"/>
        <w:tabs>
          <w:tab w:leader="none" w:pos="839"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76" w:name="page77"/>
    <w:bookmarkEnd w:id="76"/>
    <w:p>
      <w:pPr>
        <w:jc w:val="both"/>
        <w:ind w:firstLine="644"/>
        <w:spacing w:after="0" w:line="254" w:lineRule="auto"/>
        <w:tabs>
          <w:tab w:leader="none" w:pos="853"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New Warrants</w:t>
      </w:r>
      <w:r>
        <w:rPr>
          <w:rFonts w:ascii="Arial" w:cs="Arial" w:eastAsia="Arial" w:hAnsi="Arial"/>
          <w:sz w:val="18"/>
          <w:szCs w:val="18"/>
          <w:color w:val="auto"/>
        </w:rPr>
        <w:t>. If this Warrant is not held in global form through DTC (or any successor depositary),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94" w:lineRule="exact"/>
        <w:rPr>
          <w:rFonts w:ascii="Arial" w:cs="Arial" w:eastAsia="Arial" w:hAnsi="Arial"/>
          <w:sz w:val="18"/>
          <w:szCs w:val="18"/>
          <w:color w:val="auto"/>
        </w:rPr>
      </w:pPr>
    </w:p>
    <w:p>
      <w:pPr>
        <w:jc w:val="both"/>
        <w:ind w:firstLine="644"/>
        <w:spacing w:after="0" w:line="259" w:lineRule="auto"/>
        <w:tabs>
          <w:tab w:leader="none" w:pos="856"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57" w:lineRule="auto"/>
        <w:tabs>
          <w:tab w:leader="none" w:pos="863"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 No Settlement in Cash</w:t>
      </w:r>
      <w:r>
        <w:rPr>
          <w:rFonts w:ascii="Arial" w:cs="Arial" w:eastAsia="Arial" w:hAnsi="Arial"/>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87" w:lineRule="exact"/>
        <w:rPr>
          <w:rFonts w:ascii="Arial" w:cs="Arial" w:eastAsia="Arial" w:hAnsi="Arial"/>
          <w:sz w:val="18"/>
          <w:szCs w:val="18"/>
          <w:color w:val="auto"/>
        </w:rPr>
      </w:pPr>
    </w:p>
    <w:p>
      <w:pPr>
        <w:jc w:val="both"/>
        <w:ind w:firstLine="644"/>
        <w:spacing w:after="0" w:line="296" w:lineRule="auto"/>
        <w:tabs>
          <w:tab w:leader="none" w:pos="849"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Loss, Theft, Destruction or Mutilation of Warrant</w:t>
      </w:r>
      <w:r>
        <w:rPr>
          <w:rFonts w:ascii="Arial" w:cs="Arial" w:eastAsia="Arial" w:hAnsi="Arial"/>
          <w:sz w:val="16"/>
          <w:szCs w:val="16"/>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61" w:lineRule="exact"/>
        <w:rPr>
          <w:rFonts w:ascii="Arial" w:cs="Arial" w:eastAsia="Arial" w:hAnsi="Arial"/>
          <w:sz w:val="16"/>
          <w:szCs w:val="16"/>
          <w:color w:val="auto"/>
        </w:rPr>
      </w:pPr>
    </w:p>
    <w:p>
      <w:pPr>
        <w:ind w:firstLine="644"/>
        <w:spacing w:after="0" w:line="342" w:lineRule="auto"/>
        <w:tabs>
          <w:tab w:leader="none" w:pos="846"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2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77" w:name="page78"/>
    <w:bookmarkEnd w:id="77"/>
    <w:p>
      <w:pPr>
        <w:ind w:left="360" w:hanging="176"/>
        <w:spacing w:after="0"/>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sz w:val="20"/>
          <w:szCs w:val="20"/>
          <w:color w:val="auto"/>
        </w:rPr>
      </w:pPr>
    </w:p>
    <w:p>
      <w:pPr>
        <w:jc w:val="both"/>
        <w:ind w:left="180" w:firstLine="1296"/>
        <w:spacing w:after="0" w:line="269" w:lineRule="auto"/>
        <w:rPr>
          <w:sz w:val="20"/>
          <w:szCs w:val="20"/>
          <w:color w:val="auto"/>
        </w:rPr>
      </w:pPr>
      <w:r>
        <w:rPr>
          <w:rFonts w:ascii="Arial" w:cs="Arial" w:eastAsia="Arial" w:hAnsi="Arial"/>
          <w:sz w:val="17"/>
          <w:szCs w:val="17"/>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82" w:lineRule="exact"/>
        <w:rPr>
          <w:sz w:val="20"/>
          <w:szCs w:val="20"/>
          <w:color w:val="auto"/>
        </w:rPr>
      </w:pPr>
    </w:p>
    <w:p>
      <w:pPr>
        <w:jc w:val="both"/>
        <w:ind w:left="180" w:firstLine="648"/>
        <w:spacing w:after="0" w:line="288" w:lineRule="auto"/>
        <w:rPr>
          <w:sz w:val="20"/>
          <w:szCs w:val="20"/>
          <w:color w:val="auto"/>
        </w:rPr>
      </w:pPr>
      <w:r>
        <w:rPr>
          <w:rFonts w:ascii="Arial" w:cs="Arial" w:eastAsia="Arial" w:hAnsi="Arial"/>
          <w:sz w:val="16"/>
          <w:szCs w:val="16"/>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68" w:lineRule="exact"/>
        <w:rPr>
          <w:sz w:val="20"/>
          <w:szCs w:val="20"/>
          <w:color w:val="auto"/>
        </w:rPr>
      </w:pPr>
    </w:p>
    <w:p>
      <w:pPr>
        <w:jc w:val="both"/>
        <w:ind w:left="180" w:firstLine="648"/>
        <w:spacing w:after="0" w:line="263"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78" w:name="page79"/>
    <w:bookmarkEnd w:id="78"/>
    <w:p>
      <w:pPr>
        <w:jc w:val="both"/>
        <w:ind w:left="-460" w:firstLine="644"/>
        <w:spacing w:after="0" w:line="286" w:lineRule="auto"/>
        <w:tabs>
          <w:tab w:leader="none" w:pos="384"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67" w:lineRule="exact"/>
        <w:rPr>
          <w:rFonts w:ascii="Arial" w:cs="Arial" w:eastAsia="Arial" w:hAnsi="Arial"/>
          <w:sz w:val="16"/>
          <w:szCs w:val="16"/>
          <w:color w:val="auto"/>
        </w:rPr>
      </w:pPr>
    </w:p>
    <w:p>
      <w:pPr>
        <w:ind w:left="-460" w:firstLine="644"/>
        <w:spacing w:after="0" w:line="308" w:lineRule="auto"/>
        <w:tabs>
          <w:tab w:leader="none" w:pos="367"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46" w:lineRule="exact"/>
        <w:rPr>
          <w:rFonts w:ascii="Arial" w:cs="Arial" w:eastAsia="Arial" w:hAnsi="Arial"/>
          <w:sz w:val="17"/>
          <w:szCs w:val="17"/>
          <w:color w:val="auto"/>
        </w:rPr>
      </w:pPr>
    </w:p>
    <w:p>
      <w:pPr>
        <w:jc w:val="both"/>
        <w:ind w:left="-460" w:firstLine="644"/>
        <w:spacing w:after="0" w:line="255" w:lineRule="auto"/>
        <w:tabs>
          <w:tab w:leader="none" w:pos="403"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Nonwaiver and Expenses</w:t>
      </w:r>
      <w:r>
        <w:rPr>
          <w:rFonts w:ascii="Arial" w:cs="Arial" w:eastAsia="Arial" w:hAnsi="Arial"/>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79" w:name="page80"/>
    <w:bookmarkEnd w:id="79"/>
    <w:p>
      <w:pPr>
        <w:jc w:val="both"/>
        <w:ind w:firstLine="644"/>
        <w:spacing w:after="0" w:line="268" w:lineRule="auto"/>
        <w:tabs>
          <w:tab w:leader="none" w:pos="875"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Dragonfly Energy Holdings Corp., Attention: , email address: jmarchetti@dragonflyenergy.com,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184" w:lineRule="exact"/>
        <w:rPr>
          <w:rFonts w:ascii="Arial" w:cs="Arial" w:eastAsia="Arial" w:hAnsi="Arial"/>
          <w:sz w:val="17"/>
          <w:szCs w:val="17"/>
          <w:color w:val="auto"/>
        </w:rPr>
      </w:pPr>
    </w:p>
    <w:p>
      <w:pPr>
        <w:jc w:val="both"/>
        <w:ind w:firstLine="644"/>
        <w:spacing w:after="0" w:line="259" w:lineRule="auto"/>
        <w:tabs>
          <w:tab w:leader="none" w:pos="806"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6" w:lineRule="exact"/>
        <w:rPr>
          <w:rFonts w:ascii="Arial" w:cs="Arial" w:eastAsia="Arial" w:hAnsi="Arial"/>
          <w:sz w:val="18"/>
          <w:szCs w:val="18"/>
          <w:color w:val="auto"/>
        </w:rPr>
      </w:pPr>
    </w:p>
    <w:p>
      <w:pPr>
        <w:jc w:val="both"/>
        <w:ind w:firstLine="644"/>
        <w:spacing w:after="0" w:line="259" w:lineRule="auto"/>
        <w:tabs>
          <w:tab w:leader="none" w:pos="803"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6" w:lineRule="exact"/>
        <w:rPr>
          <w:rFonts w:ascii="Arial" w:cs="Arial" w:eastAsia="Arial" w:hAnsi="Arial"/>
          <w:sz w:val="18"/>
          <w:szCs w:val="18"/>
          <w:color w:val="auto"/>
        </w:rPr>
      </w:pPr>
    </w:p>
    <w:p>
      <w:pPr>
        <w:jc w:val="both"/>
        <w:ind w:firstLine="644"/>
        <w:spacing w:after="0" w:line="259" w:lineRule="auto"/>
        <w:tabs>
          <w:tab w:leader="none" w:pos="84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6" w:lineRule="exact"/>
        <w:rPr>
          <w:rFonts w:ascii="Arial" w:cs="Arial" w:eastAsia="Arial" w:hAnsi="Arial"/>
          <w:sz w:val="18"/>
          <w:szCs w:val="18"/>
          <w:color w:val="auto"/>
        </w:rPr>
      </w:pPr>
    </w:p>
    <w:p>
      <w:pPr>
        <w:jc w:val="both"/>
        <w:ind w:firstLine="644"/>
        <w:spacing w:after="0" w:line="311" w:lineRule="auto"/>
        <w:tabs>
          <w:tab w:leader="none" w:pos="798"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Warrant may be modified or amended or the provisions hereof waived with the written consent of the Company and the holders of at least a majority of the Common Stock issuable upon the exercise of the then outstanding Warrants (determined without giving effect to Section 2(e) of the Warrants); provided such modification, amendment or waiver applies to all of the then outstanding Warrants.</w:t>
      </w:r>
    </w:p>
    <w:p>
      <w:pPr>
        <w:spacing w:after="0" w:line="148" w:lineRule="exact"/>
        <w:rPr>
          <w:rFonts w:ascii="Arial" w:cs="Arial" w:eastAsia="Arial" w:hAnsi="Arial"/>
          <w:sz w:val="16"/>
          <w:szCs w:val="16"/>
          <w:color w:val="auto"/>
        </w:rPr>
      </w:pPr>
    </w:p>
    <w:p>
      <w:pPr>
        <w:jc w:val="both"/>
        <w:ind w:firstLine="644"/>
        <w:spacing w:after="0" w:line="311"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48" w:lineRule="exact"/>
        <w:rPr>
          <w:rFonts w:ascii="Arial" w:cs="Arial" w:eastAsia="Arial" w:hAnsi="Arial"/>
          <w:sz w:val="16"/>
          <w:szCs w:val="16"/>
          <w:color w:val="auto"/>
        </w:rPr>
      </w:pPr>
    </w:p>
    <w:p>
      <w:pPr>
        <w:ind w:firstLine="644"/>
        <w:spacing w:after="0" w:line="277" w:lineRule="auto"/>
        <w:tabs>
          <w:tab w:leader="none" w:pos="844"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Warrant are for the convenience of reference only and shall not, for any purpose, be deemed a part of this Warrant.</w:t>
      </w:r>
    </w:p>
    <w:p>
      <w:pPr>
        <w:spacing w:after="0" w:line="170" w:lineRule="exact"/>
        <w:rPr>
          <w:rFonts w:ascii="Arial" w:cs="Arial" w:eastAsia="Arial" w:hAnsi="Arial"/>
          <w:sz w:val="18"/>
          <w:szCs w:val="18"/>
          <w:color w:val="auto"/>
        </w:rPr>
      </w:pPr>
    </w:p>
    <w:p>
      <w:pPr>
        <w:ind w:firstLine="644"/>
        <w:spacing w:after="0" w:line="277" w:lineRule="auto"/>
        <w:tabs>
          <w:tab w:leader="none" w:pos="84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Electronic Signatures</w:t>
      </w:r>
      <w:r>
        <w:rPr>
          <w:rFonts w:ascii="Arial" w:cs="Arial" w:eastAsia="Arial" w:hAnsi="Arial"/>
          <w:sz w:val="18"/>
          <w:szCs w:val="18"/>
          <w:color w:val="auto"/>
        </w:rPr>
        <w:t>. Electronically scanned and transmitted signatures, including by email attachment, shall be deemed originals for all purposes of this Warrant.</w:t>
      </w:r>
    </w:p>
    <w:p>
      <w:pPr>
        <w:spacing w:after="0" w:line="17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80" w:name="page81"/>
    <w:bookmarkEnd w:id="80"/>
    <w:p>
      <w:pPr>
        <w:ind w:firstLine="1296"/>
        <w:spacing w:after="0" w:line="277" w:lineRule="auto"/>
        <w:rPr>
          <w:sz w:val="20"/>
          <w:szCs w:val="20"/>
          <w:color w:val="auto"/>
        </w:rPr>
      </w:pPr>
      <w:r>
        <w:rPr>
          <w:rFonts w:ascii="Arial" w:cs="Arial" w:eastAsia="Arial" w:hAnsi="Arial"/>
          <w:sz w:val="18"/>
          <w:szCs w:val="18"/>
          <w:color w:val="auto"/>
        </w:rPr>
        <w:t>IN WITNESS WHEREOF, the Company has caused this Warrant to be executed by its officer thereunto duly authorized as of the date first above indicated.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DRAGONFLY ENERGY HOLDINGS CORP.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DRAGONFLY ENERGY HOLDINGS CORP.</w:t>
      </w:r>
    </w:p>
    <w:p>
      <w:pPr>
        <w:spacing w:after="0" w:line="225" w:lineRule="exact"/>
        <w:rPr>
          <w:sz w:val="20"/>
          <w:szCs w:val="20"/>
          <w:color w:val="auto"/>
        </w:rPr>
      </w:pPr>
    </w:p>
    <w:p>
      <w:pPr>
        <w:ind w:firstLine="1304"/>
        <w:spacing w:after="0" w:line="308" w:lineRule="auto"/>
        <w:tabs>
          <w:tab w:leader="none" w:pos="1559"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46" w:lineRule="exact"/>
        <w:rPr>
          <w:rFonts w:ascii="Arial" w:cs="Arial" w:eastAsia="Arial" w:hAnsi="Arial"/>
          <w:sz w:val="17"/>
          <w:szCs w:val="17"/>
          <w:color w:val="auto"/>
        </w:rPr>
      </w:pPr>
    </w:p>
    <w:p>
      <w:pPr>
        <w:ind w:left="1560" w:hanging="256"/>
        <w:spacing w:after="0"/>
        <w:tabs>
          <w:tab w:leader="none" w:pos="15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 in lawful money of the United States; or</w:t>
      </w:r>
    </w:p>
    <w:p>
      <w:pPr>
        <w:spacing w:after="0" w:line="225" w:lineRule="exact"/>
        <w:rPr>
          <w:sz w:val="20"/>
          <w:szCs w:val="20"/>
          <w:color w:val="auto"/>
        </w:rPr>
      </w:pPr>
    </w:p>
    <w:p>
      <w:pPr>
        <w:jc w:val="both"/>
        <w:ind w:left="1960" w:hanging="8"/>
        <w:spacing w:after="0" w:line="263" w:lineRule="auto"/>
        <w:tabs>
          <w:tab w:leader="none" w:pos="2182" w:val="left"/>
        </w:tabs>
        <w:numPr>
          <w:ilvl w:val="1"/>
          <w:numId w:val="89"/>
        </w:numPr>
        <w:rPr>
          <w:rFonts w:ascii="Arial" w:cs="Arial" w:eastAsia="Arial" w:hAnsi="Arial"/>
          <w:sz w:val="18"/>
          <w:szCs w:val="18"/>
          <w:color w:val="auto"/>
        </w:rPr>
      </w:pPr>
      <w:r>
        <w:rPr>
          <w:rFonts w:ascii="Arial" w:cs="Arial" w:eastAsia="Arial" w:hAnsi="Arial"/>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297815</wp:posOffset>
            </wp:positionV>
            <wp:extent cx="23577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3">
                      <a:extLst>
                        <a:ext uri="{28A0092B-C50C-407E-A947-70E740481C1C}"/>
                      </a:extLst>
                    </a:blip>
                    <a:srcRect/>
                    <a:stretch>
                      <a:fillRect/>
                    </a:stretch>
                  </pic:blipFill>
                  <pic:spPr bwMode="auto">
                    <a:xfrm>
                      <a:off x="0" y="0"/>
                      <a:ext cx="2357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297815</wp:posOffset>
            </wp:positionV>
            <wp:extent cx="23577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4">
                      <a:extLst>
                        <a:ext uri="{28A0092B-C50C-407E-A947-70E740481C1C}"/>
                      </a:extLst>
                    </a:blip>
                    <a:srcRect/>
                    <a:stretch>
                      <a:fillRect/>
                    </a:stretch>
                  </pic:blipFill>
                  <pic:spPr bwMode="auto">
                    <a:xfrm>
                      <a:off x="0" y="0"/>
                      <a:ext cx="2357755" cy="1714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614680</wp:posOffset>
            </wp:positionV>
            <wp:extent cx="23577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5">
                      <a:extLst>
                        <a:ext uri="{28A0092B-C50C-407E-A947-70E740481C1C}"/>
                      </a:extLst>
                    </a:blip>
                    <a:srcRect/>
                    <a:stretch>
                      <a:fillRect/>
                    </a:stretch>
                  </pic:blipFill>
                  <pic:spPr bwMode="auto">
                    <a:xfrm>
                      <a:off x="0" y="0"/>
                      <a:ext cx="2357755" cy="1714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932180</wp:posOffset>
            </wp:positionV>
            <wp:extent cx="23577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6">
                      <a:extLst>
                        <a:ext uri="{28A0092B-C50C-407E-A947-70E740481C1C}"/>
                      </a:extLst>
                    </a:blip>
                    <a:srcRect/>
                    <a:stretch>
                      <a:fillRect/>
                    </a:stretch>
                  </pic:blipFill>
                  <pic:spPr bwMode="auto">
                    <a:xfrm>
                      <a:off x="0" y="0"/>
                      <a:ext cx="2357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 ___________________________________________________________________________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 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ind w:left="4720"/>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200" w:right="819"/>
        <w:spacing w:after="0" w:line="530" w:lineRule="auto"/>
        <w:rPr>
          <w:sz w:val="20"/>
          <w:szCs w:val="20"/>
          <w:color w:val="auto"/>
        </w:rPr>
      </w:pPr>
      <w:r>
        <w:rPr>
          <w:rFonts w:ascii="Arial" w:cs="Arial" w:eastAsia="Arial" w:hAnsi="Arial"/>
          <w:sz w:val="17"/>
          <w:szCs w:val="17"/>
          <w:i w:val="1"/>
          <w:iCs w:val="1"/>
          <w:color w:val="auto"/>
        </w:rPr>
        <w:t xml:space="preserve">(To assign the foregoing Warrant, execute this form and supply required information. Do not use this form to purchase shares.) </w:t>
      </w:r>
      <w:r>
        <w:rPr>
          <w:rFonts w:ascii="Arial" w:cs="Arial" w:eastAsia="Arial" w:hAnsi="Arial"/>
          <w:sz w:val="17"/>
          <w:szCs w:val="17"/>
          <w:color w:val="auto"/>
        </w:rPr>
        <w:t>FOR VALUE RECEIVED, the foregoing Warrant and all rights evidenced thereby are hereby assigned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(Please Print)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(Please Print)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23495</wp:posOffset>
            </wp:positionV>
            <wp:extent cx="242570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2">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23495</wp:posOffset>
            </wp:positionV>
            <wp:extent cx="242570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3">
                      <a:extLst>
                        <a:ext uri="{28A0092B-C50C-407E-A947-70E740481C1C}"/>
                      </a:extLst>
                    </a:blip>
                    <a:srcRect/>
                    <a:stretch>
                      <a:fillRect/>
                    </a:stretch>
                  </pic:blipFill>
                  <pic:spPr bwMode="auto">
                    <a:xfrm>
                      <a:off x="0" y="0"/>
                      <a:ext cx="24257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14,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Dragonfly Energy Holdings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1190 Trademark Drive #108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Reno, NV 89521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Dragonfly Energy Holdings Corp. – 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We have acted as special Nevada counsel to Dragonfly Energy Holdings Corp.,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Registration Statement on Form S-1, as amended (File No. 333-272401) (as amended,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initially filed on June 5, 2023, by the Company with the Securities and Exchange Commission.</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We are rendering this opinion in connection with the Registration Statement relating to the offer and sale (the “</w:t>
      </w:r>
      <w:r>
        <w:rPr>
          <w:rFonts w:ascii="Arial" w:cs="Arial" w:eastAsia="Arial" w:hAnsi="Arial"/>
          <w:sz w:val="17"/>
          <w:szCs w:val="17"/>
          <w:b w:val="1"/>
          <w:bCs w:val="1"/>
          <w:color w:val="auto"/>
        </w:rPr>
        <w:t>Offering</w:t>
      </w:r>
      <w:r>
        <w:rPr>
          <w:rFonts w:ascii="Arial" w:cs="Arial" w:eastAsia="Arial" w:hAnsi="Arial"/>
          <w:sz w:val="17"/>
          <w:szCs w:val="17"/>
          <w:color w:val="auto"/>
        </w:rPr>
        <w:t>”) by the Company of up to $28.75 million of (i) shares (the “</w:t>
      </w:r>
      <w:r>
        <w:rPr>
          <w:rFonts w:ascii="Arial" w:cs="Arial" w:eastAsia="Arial" w:hAnsi="Arial"/>
          <w:sz w:val="17"/>
          <w:szCs w:val="17"/>
          <w:b w:val="1"/>
          <w:bCs w:val="1"/>
          <w:color w:val="auto"/>
        </w:rPr>
        <w:t>Shares</w:t>
      </w:r>
      <w:r>
        <w:rPr>
          <w:rFonts w:ascii="Arial" w:cs="Arial" w:eastAsia="Arial" w:hAnsi="Arial"/>
          <w:sz w:val="17"/>
          <w:szCs w:val="17"/>
          <w:color w:val="auto"/>
        </w:rPr>
        <w:t>”) of common stock, par value $0.0001 per share, of the Company (the “Common Stock”) and (ii) warrants (the “</w:t>
      </w:r>
      <w:r>
        <w:rPr>
          <w:rFonts w:ascii="Arial" w:cs="Arial" w:eastAsia="Arial" w:hAnsi="Arial"/>
          <w:sz w:val="17"/>
          <w:szCs w:val="17"/>
          <w:b w:val="1"/>
          <w:bCs w:val="1"/>
          <w:color w:val="auto"/>
        </w:rPr>
        <w:t>Warrants</w:t>
      </w:r>
      <w:r>
        <w:rPr>
          <w:rFonts w:ascii="Arial" w:cs="Arial" w:eastAsia="Arial" w:hAnsi="Arial"/>
          <w:sz w:val="17"/>
          <w:szCs w:val="17"/>
          <w:color w:val="auto"/>
        </w:rPr>
        <w:t>”) to purchase up to an equal number of Shares of the Common Stock (the “</w:t>
      </w:r>
      <w:r>
        <w:rPr>
          <w:rFonts w:ascii="Arial" w:cs="Arial" w:eastAsia="Arial" w:hAnsi="Arial"/>
          <w:sz w:val="17"/>
          <w:szCs w:val="17"/>
          <w:b w:val="1"/>
          <w:bCs w:val="1"/>
          <w:color w:val="auto"/>
        </w:rPr>
        <w:t>Warrant Shares</w:t>
      </w:r>
      <w:r>
        <w:rPr>
          <w:rFonts w:ascii="Arial" w:cs="Arial" w:eastAsia="Arial" w:hAnsi="Arial"/>
          <w:sz w:val="17"/>
          <w:szCs w:val="17"/>
          <w:color w:val="auto"/>
        </w:rPr>
        <w:t>”) by Roth Capital Partners, LLC (“Roth”), as representative of the underwriters, pursuant to the underwriting agreement between the Company and Roth (collectively, the “</w:t>
      </w:r>
      <w:r>
        <w:rPr>
          <w:rFonts w:ascii="Arial" w:cs="Arial" w:eastAsia="Arial" w:hAnsi="Arial"/>
          <w:sz w:val="17"/>
          <w:szCs w:val="17"/>
          <w:b w:val="1"/>
          <w:bCs w:val="1"/>
          <w:color w:val="auto"/>
        </w:rPr>
        <w:t>Offering</w:t>
      </w:r>
      <w:r>
        <w:rPr>
          <w:rFonts w:ascii="Arial" w:cs="Arial" w:eastAsia="Arial" w:hAnsi="Arial"/>
          <w:sz w:val="17"/>
          <w:szCs w:val="17"/>
          <w:color w:val="auto"/>
        </w:rPr>
        <w:t>”). The Shares, the Warrants and the Warrant Shares are being issued and sold by the Company pursuant to the Registration Statement.</w:t>
      </w:r>
    </w:p>
    <w:p>
      <w:pPr>
        <w:spacing w:after="0" w:line="17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Registration Statement further relates to an agreement to issue to the underwriters, or their permitted designees, warrants to purchase (the “</w:t>
      </w:r>
      <w:r>
        <w:rPr>
          <w:rFonts w:ascii="Arial" w:cs="Arial" w:eastAsia="Arial" w:hAnsi="Arial"/>
          <w:sz w:val="17"/>
          <w:szCs w:val="17"/>
          <w:b w:val="1"/>
          <w:bCs w:val="1"/>
          <w:color w:val="auto"/>
        </w:rPr>
        <w:t>Underwriters’ Warrants</w:t>
      </w:r>
      <w:r>
        <w:rPr>
          <w:rFonts w:ascii="Arial" w:cs="Arial" w:eastAsia="Arial" w:hAnsi="Arial"/>
          <w:sz w:val="17"/>
          <w:szCs w:val="17"/>
          <w:color w:val="auto"/>
        </w:rPr>
        <w:t>”) up to an aggregate amount of shares of common stock representing five percent (5%) of the common stock sold in the Offering (including any shares of common stock issued if the underwriters option to purchase additional shares of common stock is exercised) (the “</w:t>
      </w:r>
      <w:r>
        <w:rPr>
          <w:rFonts w:ascii="Arial" w:cs="Arial" w:eastAsia="Arial" w:hAnsi="Arial"/>
          <w:sz w:val="17"/>
          <w:szCs w:val="17"/>
          <w:b w:val="1"/>
          <w:bCs w:val="1"/>
          <w:color w:val="auto"/>
        </w:rPr>
        <w:t>Underwriters’ Shares</w:t>
      </w:r>
      <w:r>
        <w:rPr>
          <w:rFonts w:ascii="Arial" w:cs="Arial" w:eastAsia="Arial" w:hAnsi="Arial"/>
          <w:sz w:val="17"/>
          <w:szCs w:val="17"/>
          <w:color w:val="auto"/>
        </w:rPr>
        <w:t>” and together with the Shares, the Warrants and the Warrant Shares, the “</w:t>
      </w:r>
      <w:r>
        <w:rPr>
          <w:rFonts w:ascii="Arial" w:cs="Arial" w:eastAsia="Arial" w:hAnsi="Arial"/>
          <w:sz w:val="17"/>
          <w:szCs w:val="17"/>
          <w:b w:val="1"/>
          <w:bCs w:val="1"/>
          <w:color w:val="auto"/>
        </w:rPr>
        <w:t>Securities</w:t>
      </w:r>
      <w:r>
        <w:rPr>
          <w:rFonts w:ascii="Arial" w:cs="Arial" w:eastAsia="Arial" w:hAnsi="Arial"/>
          <w:sz w:val="17"/>
          <w:szCs w:val="17"/>
          <w:color w:val="auto"/>
        </w:rPr>
        <w:t>”).</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counsel to the Company, we have examined such matters of fact and questions of law as we have considered appropriate for purposes of rendering this opinion. With your consent, we have relied upon certificates and other assurances of officers of the Company and others as to factual matters without having independently verified such factual matters. In rendering the opinion below, we have assumed that the issuance of the Securities will not exceed the number of authorized shares. We are opining herein as to the Nevada Revised Statutes, and we express no opinion with respect to the applicability thereto, or the effect thereon, of the laws of any other jurisdiction or, in the case of Nevada, any other laws, or as to any matters of municipal law or the laws of any local agencies within any state.</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Based upon such examination, it is our opinion that (i) the Shares, Warrant Shares and Underwriters’ Shares have been duly authorized by all requisite corporate action on the part of the Company and, upon their issuance, delivery and payment therefor in the manner contemplated by the Registration Statement and the terms of each of the Warrants and Underwriters’ Warrants, as applicable, will be validly issued, fully paid and non-assessable , and (ii) the Warrants and Underwriters’ Warrants have been duly authorized by all requisite corporate action on behalf of the Company and, upon their issuance, delivery and payment therefor in the manner contemplated by the Registration Statement, will be validly issued .</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Any additional Securities registered in reliance on Rule 462(b)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in connection with the Offering are hereby expressly covered by this opinion. As used in this opinion, the term “Registration Statement” shall include any additional registration statement filed pursuant to Rule 462(b) under the Securities Act in connection with the Offering and the term “Prospectus” shall include any prospectus deemed to be included in any such additional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Dragonfly Energy Holdings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14,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opinion is expressed herein as to any matter pertaining to the contents of the Registration Statement. In connection with this opinion, we have relied on oral or written statements and representations of officers or other representatives of the Company and others. 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matters and issues without the assistance of independent counsel.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opinion is given as of the date hereof. We assume no obligation to advise you of changes that may hereafter be brought to our attention.</w:t>
      </w:r>
    </w:p>
    <w:p>
      <w:pPr>
        <w:spacing w:after="0" w:line="24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consent to the inclusion of this opinion as an exhibit to the Registration Statement and further consent to all references to us under the caption “Legal Matters” in the Prospectus constituting a part of the Registration Statement. In giving this consent, we do not admit that we are in the category of persons whose consent is required under Section 7 of the Securities Act, or the rules and regulations of the Securities and Exchange Commission.</w:t>
      </w:r>
    </w:p>
    <w:p>
      <w:pPr>
        <w:spacing w:after="0" w:line="14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PARSONS BEHLE &amp; LATIMER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Dragonfly Energy Holdings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1190 Trademark Drive #108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Reno, Nevada 89521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acted as counsel to Dragonfly Energy Holdings Corp., a Nevada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proposed sale and issuance of up to $28,750,000 of (i) shares (the “</w:t>
      </w:r>
      <w:r>
        <w:rPr>
          <w:rFonts w:ascii="Arial" w:cs="Arial" w:eastAsia="Arial" w:hAnsi="Arial"/>
          <w:sz w:val="17"/>
          <w:szCs w:val="17"/>
          <w:b w:val="1"/>
          <w:bCs w:val="1"/>
          <w:color w:val="auto"/>
        </w:rPr>
        <w:t>Shares</w:t>
      </w:r>
      <w:r>
        <w:rPr>
          <w:rFonts w:ascii="Arial" w:cs="Arial" w:eastAsia="Arial" w:hAnsi="Arial"/>
          <w:sz w:val="17"/>
          <w:szCs w:val="17"/>
          <w:color w:val="auto"/>
        </w:rPr>
        <w:t>”) of the Company’s common stock, par value $0.0001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xml:space="preserve"> ”), (ii) warrants to purchase the Company’s Common Stock (the “</w:t>
      </w:r>
      <w:r>
        <w:rPr>
          <w:rFonts w:ascii="Arial" w:cs="Arial" w:eastAsia="Arial" w:hAnsi="Arial"/>
          <w:sz w:val="17"/>
          <w:szCs w:val="17"/>
          <w:b w:val="1"/>
          <w:bCs w:val="1"/>
          <w:color w:val="auto"/>
        </w:rPr>
        <w:t>Warrants</w:t>
      </w:r>
      <w:r>
        <w:rPr>
          <w:rFonts w:ascii="Arial" w:cs="Arial" w:eastAsia="Arial" w:hAnsi="Arial"/>
          <w:sz w:val="17"/>
          <w:szCs w:val="17"/>
          <w:color w:val="auto"/>
        </w:rPr>
        <w:t>” and the shares underlying such Warrants the “</w:t>
      </w:r>
      <w:r>
        <w:rPr>
          <w:rFonts w:ascii="Arial" w:cs="Arial" w:eastAsia="Arial" w:hAnsi="Arial"/>
          <w:sz w:val="17"/>
          <w:szCs w:val="17"/>
          <w:b w:val="1"/>
          <w:bCs w:val="1"/>
          <w:color w:val="auto"/>
        </w:rPr>
        <w:t>Warrant Shares</w:t>
      </w:r>
      <w:r>
        <w:rPr>
          <w:rFonts w:ascii="Arial" w:cs="Arial" w:eastAsia="Arial" w:hAnsi="Arial"/>
          <w:sz w:val="17"/>
          <w:szCs w:val="17"/>
          <w:color w:val="auto"/>
        </w:rPr>
        <w:t xml:space="preserve"> ”) and (iii) warrants (the “</w:t>
      </w:r>
      <w:r>
        <w:rPr>
          <w:rFonts w:ascii="Arial" w:cs="Arial" w:eastAsia="Arial" w:hAnsi="Arial"/>
          <w:sz w:val="17"/>
          <w:szCs w:val="17"/>
          <w:b w:val="1"/>
          <w:bCs w:val="1"/>
          <w:color w:val="auto"/>
        </w:rPr>
        <w:t>Underwriter Warrants</w:t>
      </w:r>
      <w:r>
        <w:rPr>
          <w:rFonts w:ascii="Arial" w:cs="Arial" w:eastAsia="Arial" w:hAnsi="Arial"/>
          <w:sz w:val="17"/>
          <w:szCs w:val="17"/>
          <w:color w:val="auto"/>
        </w:rPr>
        <w:t>”) to purchase up to an amount of shares of Common Stock equal to 5% of the shares of Common Stock sold in this Offering as contemplated pursuant to the Registration Statement (the “</w:t>
      </w:r>
      <w:r>
        <w:rPr>
          <w:rFonts w:ascii="Arial" w:cs="Arial" w:eastAsia="Arial" w:hAnsi="Arial"/>
          <w:sz w:val="17"/>
          <w:szCs w:val="17"/>
          <w:b w:val="1"/>
          <w:bCs w:val="1"/>
          <w:color w:val="auto"/>
        </w:rPr>
        <w:t>Underwriter Warrant Shares</w:t>
      </w:r>
      <w:r>
        <w:rPr>
          <w:rFonts w:ascii="Arial" w:cs="Arial" w:eastAsia="Arial" w:hAnsi="Arial"/>
          <w:sz w:val="17"/>
          <w:szCs w:val="17"/>
          <w:color w:val="auto"/>
        </w:rPr>
        <w:t>”, and, together with the Shares, the Warrants, the Warrant Shares, and the Underwriter Warrants, the “</w:t>
      </w:r>
      <w:r>
        <w:rPr>
          <w:rFonts w:ascii="Arial" w:cs="Arial" w:eastAsia="Arial" w:hAnsi="Arial"/>
          <w:sz w:val="17"/>
          <w:szCs w:val="17"/>
          <w:b w:val="1"/>
          <w:bCs w:val="1"/>
          <w:color w:val="auto"/>
        </w:rPr>
        <w:t>Securities</w:t>
      </w:r>
      <w:r>
        <w:rPr>
          <w:rFonts w:ascii="Arial" w:cs="Arial" w:eastAsia="Arial" w:hAnsi="Arial"/>
          <w:sz w:val="17"/>
          <w:szCs w:val="17"/>
          <w:color w:val="auto"/>
        </w:rPr>
        <w:t>”) pursuant to the Registration Statement on Form S-1 (File No. 333-272401) (the “</w:t>
      </w:r>
      <w:r>
        <w:rPr>
          <w:rFonts w:ascii="Arial" w:cs="Arial" w:eastAsia="Arial" w:hAnsi="Arial"/>
          <w:sz w:val="17"/>
          <w:szCs w:val="17"/>
          <w:b w:val="1"/>
          <w:b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w:t>
      </w:r>
      <w:r>
        <w:rPr>
          <w:rFonts w:ascii="Arial" w:cs="Arial" w:eastAsia="Arial" w:hAnsi="Arial"/>
          <w:sz w:val="17"/>
          <w:szCs w:val="17"/>
          <w:color w:val="auto"/>
        </w:rPr>
        <w:t>”) filed by the Company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under the Securities Act of 1933, as amended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Securities Act</w:t>
      </w:r>
      <w:r>
        <w:rPr>
          <w:rFonts w:ascii="Arial" w:cs="Arial" w:eastAsia="Arial" w:hAnsi="Arial"/>
          <w:sz w:val="17"/>
          <w:szCs w:val="17"/>
          <w:color w:val="auto"/>
        </w:rPr>
        <w:t>”), and the rules and regulations promulgated thereunder, together with the prospectus contained therein (the “</w:t>
      </w:r>
      <w:r>
        <w:rPr>
          <w:rFonts w:ascii="Arial" w:cs="Arial" w:eastAsia="Arial" w:hAnsi="Arial"/>
          <w:sz w:val="17"/>
          <w:szCs w:val="17"/>
          <w:b w:val="1"/>
          <w:bCs w:val="1"/>
          <w:color w:val="auto"/>
        </w:rPr>
        <w:t>Prospectus</w:t>
      </w:r>
      <w:r>
        <w:rPr>
          <w:rFonts w:ascii="Arial" w:cs="Arial" w:eastAsia="Arial" w:hAnsi="Arial"/>
          <w:sz w:val="17"/>
          <w:szCs w:val="17"/>
          <w:color w:val="auto"/>
        </w:rPr>
        <w:t>”). The Securities are to be sold pursuant to an Underwriting Agreement (the “</w:t>
      </w:r>
      <w:r>
        <w:rPr>
          <w:rFonts w:ascii="Arial" w:cs="Arial" w:eastAsia="Arial" w:hAnsi="Arial"/>
          <w:sz w:val="17"/>
          <w:szCs w:val="17"/>
          <w:b w:val="1"/>
          <w:bCs w:val="1"/>
          <w:color w:val="auto"/>
        </w:rPr>
        <w:t>Agreement</w:t>
      </w:r>
      <w:r>
        <w:rPr>
          <w:rFonts w:ascii="Arial" w:cs="Arial" w:eastAsia="Arial" w:hAnsi="Arial"/>
          <w:sz w:val="17"/>
          <w:szCs w:val="17"/>
          <w:color w:val="auto"/>
        </w:rPr>
        <w:t>”) between the Company and Roth Capital Partners, LLC (“</w:t>
      </w:r>
      <w:r>
        <w:rPr>
          <w:rFonts w:ascii="Arial" w:cs="Arial" w:eastAsia="Arial" w:hAnsi="Arial"/>
          <w:sz w:val="17"/>
          <w:szCs w:val="17"/>
          <w:b w:val="1"/>
          <w:bCs w:val="1"/>
          <w:color w:val="auto"/>
        </w:rPr>
        <w:t>Roth</w:t>
      </w:r>
      <w:r>
        <w:rPr>
          <w:rFonts w:ascii="Arial" w:cs="Arial" w:eastAsia="Arial" w:hAnsi="Arial"/>
          <w:sz w:val="17"/>
          <w:szCs w:val="17"/>
          <w:color w:val="auto"/>
        </w:rPr>
        <w:t>”), acting as the representative of the several underwriters as listed on Schedule A of the Underwriting Agreement by and between the Company and Roth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As counsel to the Company in connection with the proposed sale and issuance of the above-referenced Warrants and Underwriter Warrants, we have reviewed the Registration Statement, Prospectus and the respective exhibits thereto (including the form of Underwriting Agreement, the form of Warrant and the form of Underwriter Warrant). We have also reviewed such corporate documents and records of the Company, such certificates of public officials and officers of the Company and such other matters as we have deemed necessary or appropriate for purposes of this opinion. In our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that, as set forth in a separate opinion delivered to the Company on the date hereof by Parsons Behle and Latimer, special Nevada counsel to the Company, the Warrants and the Underwriter Warrants have been duly authorized; and (v) the legal capacity for all purposes relevant hereto of all natural persons and, with respect to all parties to agreements or instruments relevant hereto other than the Company, that such parties had the requisite power and authority (corporate or otherwise) to execute, deliver and perform such agreements or instruments, that such agreements or instruments have been duly authorized by all requisite action (corporate or otherwise), executed and delivered by such parties and that such agreements or instruments are the valid, binding and enforceable obligations of such parties. As to any facts material to the opinions expressed herein that were not independently established or verified, we have relied upon oral or written statements and representations of officers and other representatives of the Company.</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Based on the foregoing, and subject to the assumptions, limitations and qualifications set forth herein, we are of the opinion that when the Warrants and the Underwriter Warrants are duly executed and delivered by the Company pursuant to the Agreement, such Warrants and Underwriter Warrants will constitute the legal, valid and binding obligation of the Company, enforceable against the Company in accordance with their terms, subject to bankruptcy, insolvency or other similar laws affecting creditors’ rights and to general equitable principles.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additional Securities registered in reliance on Rule 462(b) under the Securities Act in connection with the Offering are hereby expressly covered by this opinion. As used in this opinion, the term “Registration Statement” shall include any additional registration statement filed pursuant to Rule 462(b) under the Securities Act in connection with the Offering and the term “Prospectus” shall include any prospectus deemed to be included in any such additional registration statement.</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opinion set forth above is subject to the following exceptions, limitations and qualifications: (i) the effect of bankruptcy, insolvency, reorganization, fraudulent conveyance, moratorium or other similar laws now or hereafter in effect relating to or affecting the rights and remedies of creditors; (ii) the effect of general principles of equity, including without limitation, concepts of materiality, reasonableness, good faith and fair dealing and the possible unavailability of specific performance or injunctive relief, regardless of whether enforcement is considered in a proceeding in equity or at law, and the discretion of the court before which any proceeding therefor may be brought; and (iii) the unenforceability under certain circumstances under law or court decisions of provisions providing for the indemnification of, or contribution to, a party with respect to liability where such indemnification or contribution is contrary to public policy. We express no opinion concerning the enforceability of any waiver of rights or defenses with respect to stay, extension or usury laws.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opinion is limited to the laws of New York. We express no opinion as to the effect of the law of any other jurisdiction. Our opinion is rendered as of the date hereof, and we assume no obligation to advise you of changes in law or fact (or the effect thereof on the opinions expressed herein) that hereafter may come to our attention. We advise you that matters of Nevada law are covered in the opinion of Parsons Behle and Latimer, special Nevada counsel for the Company, in Exhibit 5.1 to the Registration Statement.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hereby consent to the inclusion of this opinion as Exhibit 5.2 to the Registration Statement and to the references to our firm therein and in the Prospectus under the caption “Legal Matters.” In giving our consent, we do not admit that we are in the category of persons whose consent is required under Section 7 of the Securities Act or the rules and regulations thereunder.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Lowenstein Sandler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Lowenstein Sandler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997" w:gutter="0" w:footer="0" w:header="0"/>
        </w:sectPr>
      </w:pPr>
    </w:p>
    <w:bookmarkStart w:id="86" w:name="page87"/>
    <w:bookmarkEnd w:id="86"/>
    <w:p>
      <w:pPr>
        <w:ind w:left="10360"/>
        <w:spacing w:after="0"/>
        <w:rPr>
          <w:sz w:val="20"/>
          <w:szCs w:val="20"/>
          <w:color w:val="auto"/>
        </w:rPr>
      </w:pPr>
      <w:r>
        <w:rPr>
          <w:rFonts w:ascii="Arial" w:cs="Arial" w:eastAsia="Arial" w:hAnsi="Arial"/>
          <w:sz w:val="16"/>
          <w:szCs w:val="16"/>
          <w:b w:val="1"/>
          <w:bCs w:val="1"/>
          <w:color w:val="auto"/>
        </w:rPr>
        <w:t>Exhibit 107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1: Newly Registered and Carry Forward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Fee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4"/>
              </w:rPr>
              <w:t>Calculation</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Proposed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restart"/>
          </w:tcPr>
          <w:p>
            <w:pPr>
              <w:jc w:val="center"/>
              <w:ind w:right="12"/>
              <w:spacing w:after="0"/>
              <w:rPr>
                <w:sz w:val="20"/>
                <w:szCs w:val="20"/>
                <w:color w:val="auto"/>
              </w:rPr>
            </w:pPr>
            <w:r>
              <w:rPr>
                <w:rFonts w:ascii="Arial" w:cs="Arial" w:eastAsia="Arial" w:hAnsi="Arial"/>
                <w:sz w:val="18"/>
                <w:szCs w:val="18"/>
                <w:color w:val="auto"/>
                <w:w w:val="94"/>
              </w:rPr>
              <w:t>Maximum</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9"/>
              </w:rPr>
              <w:t>or</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4"/>
              </w:rPr>
              <w:t>Maximum</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Carry</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Offering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2"/>
              <w:spacing w:after="0"/>
              <w:rPr>
                <w:sz w:val="20"/>
                <w:szCs w:val="20"/>
                <w:color w:val="auto"/>
              </w:rPr>
            </w:pPr>
            <w:r>
              <w:rPr>
                <w:rFonts w:ascii="Arial" w:cs="Arial" w:eastAsia="Arial" w:hAnsi="Arial"/>
                <w:sz w:val="18"/>
                <w:szCs w:val="18"/>
                <w:color w:val="auto"/>
                <w:w w:val="89"/>
              </w:rPr>
              <w:t>Aggregate</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Amount of</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Security</w:t>
            </w:r>
          </w:p>
        </w:tc>
        <w:tc>
          <w:tcPr>
            <w:tcW w:w="200" w:type="dxa"/>
            <w:vAlign w:val="bottom"/>
          </w:tcPr>
          <w:p>
            <w:pPr>
              <w:spacing w:after="0"/>
              <w:rPr>
                <w:sz w:val="18"/>
                <w:szCs w:val="18"/>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rPr>
              <w:t>Security</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Forward</w:t>
            </w:r>
          </w:p>
        </w:tc>
        <w:tc>
          <w:tcPr>
            <w:tcW w:w="32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Amount</w:t>
            </w:r>
          </w:p>
        </w:tc>
        <w:tc>
          <w:tcPr>
            <w:tcW w:w="32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Price Per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2"/>
              <w:spacing w:after="0"/>
              <w:rPr>
                <w:sz w:val="20"/>
                <w:szCs w:val="20"/>
                <w:color w:val="auto"/>
              </w:rPr>
            </w:pPr>
            <w:r>
              <w:rPr>
                <w:rFonts w:ascii="Arial" w:cs="Arial" w:eastAsia="Arial" w:hAnsi="Arial"/>
                <w:sz w:val="18"/>
                <w:szCs w:val="18"/>
                <w:color w:val="auto"/>
                <w:w w:val="96"/>
              </w:rPr>
              <w:t>Offering</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auto"/>
                <w:w w:val="99"/>
              </w:rPr>
              <w:t>Registration</w:t>
            </w:r>
          </w:p>
        </w:tc>
        <w:tc>
          <w:tcPr>
            <w:tcW w:w="0" w:type="dxa"/>
            <w:vAlign w:val="bottom"/>
          </w:tcPr>
          <w:p>
            <w:pPr>
              <w:spacing w:after="0"/>
              <w:rPr>
                <w:sz w:val="1"/>
                <w:szCs w:val="1"/>
                <w:color w:val="auto"/>
              </w:rPr>
            </w:pPr>
          </w:p>
        </w:tc>
      </w:tr>
      <w:tr>
        <w:trPr>
          <w:trHeight w:val="277"/>
        </w:trPr>
        <w:tc>
          <w:tcPr>
            <w:tcW w:w="18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Type</w:t>
            </w:r>
          </w:p>
        </w:tc>
        <w:tc>
          <w:tcPr>
            <w:tcW w:w="200" w:type="dxa"/>
            <w:vAlign w:val="bottom"/>
          </w:tcPr>
          <w:p>
            <w:pPr>
              <w:spacing w:after="0"/>
              <w:rPr>
                <w:sz w:val="24"/>
                <w:szCs w:val="24"/>
                <w:color w:val="auto"/>
              </w:rPr>
            </w:pPr>
          </w:p>
        </w:tc>
        <w:tc>
          <w:tcPr>
            <w:tcW w:w="1020" w:type="dxa"/>
            <w:vAlign w:val="bottom"/>
          </w:tcPr>
          <w:p>
            <w:pPr>
              <w:ind w:left="20"/>
              <w:spacing w:after="0" w:line="270" w:lineRule="exact"/>
              <w:rPr>
                <w:sz w:val="20"/>
                <w:szCs w:val="20"/>
                <w:color w:val="auto"/>
              </w:rPr>
            </w:pPr>
            <w:r>
              <w:rPr>
                <w:rFonts w:ascii="Arial" w:cs="Arial" w:eastAsia="Arial" w:hAnsi="Arial"/>
                <w:sz w:val="18"/>
                <w:szCs w:val="18"/>
                <w:color w:val="auto"/>
                <w:w w:val="86"/>
              </w:rPr>
              <w:t xml:space="preserve">Class Title </w:t>
            </w:r>
            <w:r>
              <w:rPr>
                <w:rFonts w:ascii="Arial" w:cs="Arial" w:eastAsia="Arial" w:hAnsi="Arial"/>
                <w:sz w:val="29"/>
                <w:szCs w:val="29"/>
                <w:color w:val="auto"/>
                <w:w w:val="86"/>
                <w:vertAlign w:val="superscript"/>
              </w:rPr>
              <w:t>(3)</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Rule</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7"/>
              </w:rPr>
              <w:t>Registered</w:t>
            </w:r>
          </w:p>
        </w:tc>
        <w:tc>
          <w:tcPr>
            <w:tcW w:w="320" w:type="dxa"/>
            <w:vAlign w:val="bottom"/>
          </w:tcPr>
          <w:p>
            <w:pPr>
              <w:spacing w:after="0"/>
              <w:rPr>
                <w:sz w:val="24"/>
                <w:szCs w:val="2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Unit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line="269" w:lineRule="exact"/>
              <w:rPr>
                <w:sz w:val="20"/>
                <w:szCs w:val="20"/>
                <w:color w:val="auto"/>
              </w:rPr>
            </w:pPr>
            <w:r>
              <w:rPr>
                <w:rFonts w:ascii="Arial" w:cs="Arial" w:eastAsia="Arial" w:hAnsi="Arial"/>
                <w:sz w:val="31"/>
                <w:szCs w:val="31"/>
                <w:color w:val="auto"/>
                <w:w w:val="88"/>
                <w:vertAlign w:val="subscript"/>
              </w:rPr>
              <w:t>Price</w:t>
            </w:r>
            <w:r>
              <w:rPr>
                <w:rFonts w:ascii="Arial" w:cs="Arial" w:eastAsia="Arial" w:hAnsi="Arial"/>
                <w:sz w:val="14"/>
                <w:szCs w:val="14"/>
                <w:color w:val="auto"/>
                <w:w w:val="88"/>
              </w:rPr>
              <w:t>(1)(2)</w:t>
            </w:r>
          </w:p>
        </w:tc>
        <w:tc>
          <w:tcPr>
            <w:tcW w:w="32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Fee Rate</w:t>
            </w:r>
          </w:p>
        </w:tc>
        <w:tc>
          <w:tcPr>
            <w:tcW w:w="160" w:type="dxa"/>
            <w:vAlign w:val="bottom"/>
          </w:tcPr>
          <w:p>
            <w:pPr>
              <w:spacing w:after="0"/>
              <w:rPr>
                <w:sz w:val="24"/>
                <w:szCs w:val="2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8"/>
                <w:szCs w:val="18"/>
                <w:color w:val="auto"/>
                <w:w w:val="83"/>
              </w:rPr>
              <w:t>Fee</w:t>
            </w:r>
          </w:p>
        </w:tc>
        <w:tc>
          <w:tcPr>
            <w:tcW w:w="0" w:type="dxa"/>
            <w:vAlign w:val="bottom"/>
          </w:tcPr>
          <w:p>
            <w:pPr>
              <w:spacing w:after="0"/>
              <w:rPr>
                <w:sz w:val="1"/>
                <w:szCs w:val="1"/>
                <w:color w:val="auto"/>
              </w:rPr>
            </w:pPr>
          </w:p>
        </w:tc>
      </w:tr>
      <w:tr>
        <w:trPr>
          <w:trHeight w:val="202"/>
        </w:trPr>
        <w:tc>
          <w:tcPr>
            <w:tcW w:w="18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Shares of</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stock, par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800" w:type="dxa"/>
            <w:vAlign w:val="bottom"/>
            <w:shd w:val="clear" w:color="auto" w:fill="CCEEFF"/>
          </w:tcPr>
          <w:p>
            <w:pPr>
              <w:jc w:val="center"/>
              <w:ind w:right="110"/>
              <w:spacing w:after="0"/>
              <w:rPr>
                <w:sz w:val="20"/>
                <w:szCs w:val="20"/>
                <w:color w:val="auto"/>
              </w:rPr>
            </w:pPr>
            <w:r>
              <w:rPr>
                <w:rFonts w:ascii="Arial" w:cs="Arial" w:eastAsia="Arial" w:hAnsi="Arial"/>
                <w:sz w:val="18"/>
                <w:szCs w:val="18"/>
                <w:b w:val="1"/>
                <w:bCs w:val="1"/>
                <w:color w:val="auto"/>
                <w:w w:val="87"/>
              </w:rPr>
              <w:t>Fees Previously</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$0.0001 per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800" w:type="dxa"/>
            <w:vAlign w:val="bottom"/>
            <w:shd w:val="clear" w:color="auto" w:fill="CCEEFF"/>
          </w:tcPr>
          <w:p>
            <w:pPr>
              <w:jc w:val="center"/>
              <w:ind w:right="110"/>
              <w:spacing w:after="0"/>
              <w:rPr>
                <w:sz w:val="20"/>
                <w:szCs w:val="20"/>
                <w:color w:val="auto"/>
              </w:rPr>
            </w:pPr>
            <w:r>
              <w:rPr>
                <w:rFonts w:ascii="Arial" w:cs="Arial" w:eastAsia="Arial" w:hAnsi="Arial"/>
                <w:sz w:val="18"/>
                <w:szCs w:val="18"/>
                <w:b w:val="1"/>
                <w:bCs w:val="1"/>
                <w:color w:val="auto"/>
                <w:w w:val="94"/>
              </w:rPr>
              <w:t>Paid</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 xml:space="preserve">share </w:t>
            </w:r>
            <w:r>
              <w:rPr>
                <w:rFonts w:ascii="Arial" w:cs="Arial" w:eastAsia="Arial" w:hAnsi="Arial"/>
                <w:sz w:val="29"/>
                <w:szCs w:val="29"/>
                <w:color w:val="auto"/>
                <w:vertAlign w:val="superscript"/>
              </w:rPr>
              <w:t>(2)</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457(o)</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28,750,000</w:t>
            </w:r>
          </w:p>
        </w:tc>
        <w:tc>
          <w:tcPr>
            <w:tcW w:w="1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0.00011020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3,168.25</w:t>
            </w:r>
          </w:p>
        </w:tc>
        <w:tc>
          <w:tcPr>
            <w:tcW w:w="0" w:type="dxa"/>
            <w:vAlign w:val="bottom"/>
          </w:tcPr>
          <w:p>
            <w:pPr>
              <w:spacing w:after="0"/>
              <w:rPr>
                <w:sz w:val="1"/>
                <w:szCs w:val="1"/>
                <w:color w:val="auto"/>
              </w:rPr>
            </w:pPr>
          </w:p>
        </w:tc>
      </w:tr>
      <w:tr>
        <w:trPr>
          <w:trHeight w:val="202"/>
        </w:trPr>
        <w:tc>
          <w:tcPr>
            <w:tcW w:w="1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line="201" w:lineRule="exact"/>
              <w:rPr>
                <w:sz w:val="20"/>
                <w:szCs w:val="20"/>
                <w:color w:val="auto"/>
              </w:rPr>
            </w:pPr>
            <w:r>
              <w:rPr>
                <w:rFonts w:ascii="Arial" w:cs="Arial" w:eastAsia="Arial" w:hAnsi="Arial"/>
                <w:sz w:val="18"/>
                <w:szCs w:val="18"/>
                <w:color w:val="auto"/>
              </w:rPr>
              <w:t>Warrants to</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purchase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Fees Previously</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Common</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Paid</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Other</w:t>
            </w:r>
          </w:p>
        </w:tc>
        <w:tc>
          <w:tcPr>
            <w:tcW w:w="200" w:type="dxa"/>
            <w:vAlign w:val="bottom"/>
          </w:tcPr>
          <w:p>
            <w:pPr>
              <w:spacing w:after="0"/>
              <w:rPr>
                <w:sz w:val="23"/>
                <w:szCs w:val="23"/>
                <w:color w:val="auto"/>
              </w:rPr>
            </w:pPr>
          </w:p>
        </w:tc>
        <w:tc>
          <w:tcPr>
            <w:tcW w:w="1020" w:type="dxa"/>
            <w:vAlign w:val="bottom"/>
          </w:tcPr>
          <w:p>
            <w:pPr>
              <w:spacing w:after="0" w:line="270" w:lineRule="exact"/>
              <w:rPr>
                <w:sz w:val="20"/>
                <w:szCs w:val="20"/>
                <w:color w:val="auto"/>
              </w:rPr>
            </w:pPr>
            <w:r>
              <w:rPr>
                <w:rFonts w:ascii="Arial" w:cs="Arial" w:eastAsia="Arial" w:hAnsi="Arial"/>
                <w:sz w:val="18"/>
                <w:szCs w:val="18"/>
                <w:color w:val="auto"/>
              </w:rPr>
              <w:t xml:space="preserve">Stock </w:t>
            </w:r>
            <w:r>
              <w:rPr>
                <w:rFonts w:ascii="Arial" w:cs="Arial" w:eastAsia="Arial" w:hAnsi="Arial"/>
                <w:sz w:val="29"/>
                <w:szCs w:val="29"/>
                <w:color w:val="auto"/>
                <w:vertAlign w:val="superscript"/>
              </w:rPr>
              <w:t>(4)</w:t>
            </w:r>
          </w:p>
        </w:tc>
        <w:tc>
          <w:tcPr>
            <w:tcW w:w="100" w:type="dxa"/>
            <w:vAlign w:val="bottom"/>
          </w:tcPr>
          <w:p>
            <w:pPr>
              <w:spacing w:after="0"/>
              <w:rPr>
                <w:sz w:val="23"/>
                <w:szCs w:val="23"/>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457(g)</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Stock par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$0.0001 per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underlying</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1800" w:type="dxa"/>
            <w:vAlign w:val="bottom"/>
            <w:shd w:val="clear" w:color="auto" w:fill="CCEEFF"/>
          </w:tcPr>
          <w:p>
            <w:pPr>
              <w:jc w:val="center"/>
              <w:ind w:right="110"/>
              <w:spacing w:after="0"/>
              <w:rPr>
                <w:sz w:val="20"/>
                <w:szCs w:val="20"/>
                <w:color w:val="auto"/>
              </w:rPr>
            </w:pPr>
            <w:r>
              <w:rPr>
                <w:rFonts w:ascii="Arial" w:cs="Arial" w:eastAsia="Arial" w:hAnsi="Arial"/>
                <w:sz w:val="18"/>
                <w:szCs w:val="18"/>
                <w:b w:val="1"/>
                <w:bCs w:val="1"/>
                <w:color w:val="auto"/>
                <w:w w:val="86"/>
              </w:rPr>
              <w:t>Fees to Be Paid</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line="273" w:lineRule="exact"/>
              <w:rPr>
                <w:sz w:val="20"/>
                <w:szCs w:val="20"/>
                <w:color w:val="auto"/>
              </w:rPr>
            </w:pPr>
            <w:r>
              <w:rPr>
                <w:rFonts w:ascii="Arial" w:cs="Arial" w:eastAsia="Arial" w:hAnsi="Arial"/>
                <w:sz w:val="18"/>
                <w:szCs w:val="18"/>
                <w:color w:val="auto"/>
                <w:w w:val="98"/>
              </w:rPr>
              <w:t xml:space="preserve">Warrants </w:t>
            </w:r>
            <w:r>
              <w:rPr>
                <w:rFonts w:ascii="Arial" w:cs="Arial" w:eastAsia="Arial" w:hAnsi="Arial"/>
                <w:sz w:val="29"/>
                <w:szCs w:val="29"/>
                <w:color w:val="auto"/>
                <w:w w:val="98"/>
                <w:vertAlign w:val="superscript"/>
              </w:rPr>
              <w:t>(1)</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457(o)</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28,750,000</w:t>
            </w:r>
          </w:p>
        </w:tc>
        <w:tc>
          <w:tcPr>
            <w:tcW w:w="1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0.00011020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3,168.25</w:t>
            </w:r>
          </w:p>
        </w:tc>
        <w:tc>
          <w:tcPr>
            <w:tcW w:w="0" w:type="dxa"/>
            <w:vAlign w:val="bottom"/>
          </w:tcPr>
          <w:p>
            <w:pPr>
              <w:spacing w:after="0"/>
              <w:rPr>
                <w:sz w:val="1"/>
                <w:szCs w:val="1"/>
                <w:color w:val="auto"/>
              </w:rPr>
            </w:pPr>
          </w:p>
        </w:tc>
      </w:tr>
      <w:tr>
        <w:trPr>
          <w:trHeight w:val="202"/>
        </w:trPr>
        <w:tc>
          <w:tcPr>
            <w:tcW w:w="1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line="201" w:lineRule="exact"/>
              <w:rPr>
                <w:sz w:val="20"/>
                <w:szCs w:val="20"/>
                <w:color w:val="auto"/>
              </w:rPr>
            </w:pPr>
            <w:r>
              <w:rPr>
                <w:rFonts w:ascii="Arial" w:cs="Arial" w:eastAsia="Arial" w:hAnsi="Arial"/>
                <w:sz w:val="18"/>
                <w:szCs w:val="18"/>
                <w:color w:val="auto"/>
                <w:w w:val="94"/>
              </w:rPr>
              <w:t>Underwriters’</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Warrants to</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purchase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Common</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18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Fees to Be paid</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Other</w:t>
            </w:r>
          </w:p>
        </w:tc>
        <w:tc>
          <w:tcPr>
            <w:tcW w:w="200" w:type="dxa"/>
            <w:vAlign w:val="bottom"/>
          </w:tcPr>
          <w:p>
            <w:pPr>
              <w:spacing w:after="0"/>
              <w:rPr>
                <w:sz w:val="23"/>
                <w:szCs w:val="23"/>
                <w:color w:val="auto"/>
              </w:rPr>
            </w:pPr>
          </w:p>
        </w:tc>
        <w:tc>
          <w:tcPr>
            <w:tcW w:w="1020" w:type="dxa"/>
            <w:vAlign w:val="bottom"/>
          </w:tcPr>
          <w:p>
            <w:pPr>
              <w:spacing w:after="0" w:line="273" w:lineRule="exact"/>
              <w:rPr>
                <w:sz w:val="20"/>
                <w:szCs w:val="20"/>
                <w:color w:val="auto"/>
              </w:rPr>
            </w:pPr>
            <w:r>
              <w:rPr>
                <w:rFonts w:ascii="Arial" w:cs="Arial" w:eastAsia="Arial" w:hAnsi="Arial"/>
                <w:sz w:val="18"/>
                <w:szCs w:val="18"/>
                <w:color w:val="auto"/>
              </w:rPr>
              <w:t>Stock</w:t>
            </w:r>
            <w:r>
              <w:rPr>
                <w:rFonts w:ascii="Arial" w:cs="Arial" w:eastAsia="Arial" w:hAnsi="Arial"/>
                <w:sz w:val="29"/>
                <w:szCs w:val="29"/>
                <w:color w:val="auto"/>
                <w:vertAlign w:val="superscript"/>
              </w:rPr>
              <w:t>(4)</w:t>
            </w:r>
          </w:p>
        </w:tc>
        <w:tc>
          <w:tcPr>
            <w:tcW w:w="100" w:type="dxa"/>
            <w:vAlign w:val="bottom"/>
          </w:tcPr>
          <w:p>
            <w:pPr>
              <w:spacing w:after="0"/>
              <w:rPr>
                <w:sz w:val="23"/>
                <w:szCs w:val="23"/>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457(g)</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Stock par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$0.0001 per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underlying</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Underwriter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1800" w:type="dxa"/>
            <w:vAlign w:val="bottom"/>
            <w:shd w:val="clear" w:color="auto" w:fill="CCEEFF"/>
          </w:tcPr>
          <w:p>
            <w:pPr>
              <w:jc w:val="center"/>
              <w:ind w:right="110"/>
              <w:spacing w:after="0"/>
              <w:rPr>
                <w:sz w:val="20"/>
                <w:szCs w:val="20"/>
                <w:color w:val="auto"/>
              </w:rPr>
            </w:pPr>
            <w:r>
              <w:rPr>
                <w:rFonts w:ascii="Arial" w:cs="Arial" w:eastAsia="Arial" w:hAnsi="Arial"/>
                <w:sz w:val="18"/>
                <w:szCs w:val="18"/>
                <w:b w:val="1"/>
                <w:bCs w:val="1"/>
                <w:color w:val="auto"/>
                <w:w w:val="86"/>
              </w:rPr>
              <w:t>Fees to Be Paid</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line="273" w:lineRule="exact"/>
              <w:rPr>
                <w:sz w:val="20"/>
                <w:szCs w:val="20"/>
                <w:color w:val="auto"/>
              </w:rPr>
            </w:pPr>
            <w:r>
              <w:rPr>
                <w:rFonts w:ascii="Arial" w:cs="Arial" w:eastAsia="Arial" w:hAnsi="Arial"/>
                <w:sz w:val="18"/>
                <w:szCs w:val="18"/>
                <w:color w:val="auto"/>
                <w:w w:val="98"/>
              </w:rPr>
              <w:t xml:space="preserve">Warrants </w:t>
            </w:r>
            <w:r>
              <w:rPr>
                <w:rFonts w:ascii="Arial" w:cs="Arial" w:eastAsia="Arial" w:hAnsi="Arial"/>
                <w:sz w:val="29"/>
                <w:szCs w:val="29"/>
                <w:color w:val="auto"/>
                <w:w w:val="98"/>
                <w:vertAlign w:val="superscript"/>
              </w:rPr>
              <w:t>(5)</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457(o)</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1,796,875.00</w:t>
            </w:r>
          </w:p>
        </w:tc>
        <w:tc>
          <w:tcPr>
            <w:tcW w:w="1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0.00011020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198.02</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3"/>
          </w:tcPr>
          <w:p>
            <w:pPr>
              <w:ind w:left="320"/>
              <w:spacing w:after="0"/>
              <w:rPr>
                <w:sz w:val="20"/>
                <w:szCs w:val="20"/>
                <w:color w:val="auto"/>
              </w:rPr>
            </w:pPr>
            <w:r>
              <w:rPr>
                <w:rFonts w:ascii="Arial" w:cs="Arial" w:eastAsia="Arial" w:hAnsi="Arial"/>
                <w:sz w:val="18"/>
                <w:szCs w:val="18"/>
                <w:color w:val="auto"/>
                <w:w w:val="91"/>
              </w:rPr>
              <w:t>Total Offering Amounts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59,296,875.00</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6,534.52</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Total Fees Previously Paid</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3,168.25</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Net Fee Due</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3,366.27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hanging="652"/>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in pursuant to Rule 457(o) under the Securities Act of 1933, as amended (the “Securities Act”).</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the aggregate offering price of the additional shares of common stock that the underwriter has the option to purchase to cover over-allotments.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Pursuant to Rule 416(a) under the Securities Act, this registration statement shall also cover an indeterminate number of shares that may be issued and resold resulting from stock splits, stock dividends or similar transactions.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separate registration fee required pursuant to Rule 457(g) under the Securities Act.</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Estimated solely for the purposes of calculating the registration fee pursuant to Rule 457(g) under the Securities Act. We have calculated the proposed maximum aggregate offering price of the common stock underlying the underwriters’ warrants by assuming that such warrants are exercisable at a price per share equal to 125% of the price per share sold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lowerLetter"/>
      <w:start w:val="2"/>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decimal"/>
      <w:start w:val="1"/>
    </w:lvl>
    <w:lvl w:ilvl="1">
      <w:lvlJc w:val="left"/>
      <w:lvlText w:val="(%2)"/>
      <w:numFmt w:val="lowerRoman"/>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1."/>
      <w:numFmt w:val="decimal"/>
      <w:start w:val="1"/>
    </w:lvl>
    <w:lvl w:ilvl="1">
      <w:lvlJc w:val="left"/>
      <w:lvlText w:val="(%2)"/>
      <w:numFmt w:val="lowerLetter"/>
      <w:start w:val="1"/>
    </w:lvl>
  </w:abstractNum>
  <w:abstractNum w:abstractNumId="5">
    <w:nsid w:val="7644A45C"/>
    <w:multiLevelType w:val="hybridMultilevel"/>
    <w:lvl w:ilvl="0">
      <w:lvlJc w:val="left"/>
      <w:lvlText w:val="(%1)"/>
      <w:numFmt w:val="lowerLetter"/>
      <w:start w:val="2"/>
    </w:lvl>
  </w:abstractNum>
  <w:abstractNum w:abstractNumId="6">
    <w:nsid w:val="32FFF902"/>
    <w:multiLevelType w:val="hybridMultilevel"/>
    <w:lvl w:ilvl="0">
      <w:lvlJc w:val="left"/>
      <w:lvlText w:val="(%1)"/>
      <w:numFmt w:val="lowerLetter"/>
      <w:start w:val="7"/>
    </w:lvl>
  </w:abstractNum>
  <w:abstractNum w:abstractNumId="7">
    <w:nsid w:val="684A481A"/>
    <w:multiLevelType w:val="hybridMultilevel"/>
    <w:lvl w:ilvl="0">
      <w:lvlJc w:val="left"/>
      <w:lvlText w:val="(%1)"/>
      <w:numFmt w:val="lowerLetter"/>
      <w:start w:val="11"/>
    </w:lvl>
  </w:abstractNum>
  <w:abstractNum w:abstractNumId="8">
    <w:nsid w:val="579478FE"/>
    <w:multiLevelType w:val="hybridMultilevel"/>
    <w:lvl w:ilvl="0">
      <w:lvlJc w:val="left"/>
      <w:lvlText w:val="%1"/>
      <w:numFmt w:val="lowerLetter"/>
      <w:start w:val="1"/>
    </w:lvl>
    <w:lvl w:ilvl="1">
      <w:lvlJc w:val="left"/>
      <w:lvlText w:val="(%2)"/>
      <w:numFmt w:val="lowerLetter"/>
      <w:start w:val="15"/>
    </w:lvl>
  </w:abstractNum>
  <w:abstractNum w:abstractNumId="9">
    <w:nsid w:val="749ABB43"/>
    <w:multiLevelType w:val="hybridMultilevel"/>
    <w:lvl w:ilvl="0">
      <w:lvlJc w:val="left"/>
      <w:lvlText w:val="(%1)"/>
      <w:numFmt w:val="lowerLetter"/>
      <w:start w:val="61"/>
    </w:lvl>
    <w:lvl w:ilvl="1">
      <w:lvlJc w:val="left"/>
      <w:lvlText w:val="(%2)"/>
      <w:numFmt w:val="lowerLetter"/>
      <w:start w:val="17"/>
    </w:lvl>
  </w:abstractNum>
  <w:abstractNum w:abstractNumId="10">
    <w:nsid w:val="3DC240FB"/>
    <w:multiLevelType w:val="hybridMultilevel"/>
    <w:lvl w:ilvl="0">
      <w:lvlJc w:val="left"/>
      <w:lvlText w:val="(%1)"/>
      <w:numFmt w:val="lowerLetter"/>
      <w:start w:val="20"/>
    </w:lvl>
  </w:abstractNum>
  <w:abstractNum w:abstractNumId="11">
    <w:nsid w:val="1BA026FA"/>
    <w:multiLevelType w:val="hybridMultilevel"/>
    <w:lvl w:ilvl="0">
      <w:lvlJc w:val="left"/>
      <w:lvlText w:val="(%1)"/>
      <w:numFmt w:val="lowerLetter"/>
      <w:start w:val="23"/>
    </w:lvl>
  </w:abstractNum>
  <w:abstractNum w:abstractNumId="12">
    <w:nsid w:val="79A1DEAA"/>
    <w:multiLevelType w:val="hybridMultilevel"/>
    <w:lvl w:ilvl="0">
      <w:lvlJc w:val="left"/>
      <w:lvlText w:val="(%1)"/>
      <w:numFmt w:val="lowerLetter"/>
      <w:start w:val="27"/>
    </w:lvl>
  </w:abstractNum>
  <w:abstractNum w:abstractNumId="13">
    <w:nsid w:val="75C6C33A"/>
    <w:multiLevelType w:val="hybridMultilevel"/>
    <w:lvl w:ilvl="0">
      <w:lvlJc w:val="left"/>
      <w:lvlText w:val="(%1)"/>
      <w:numFmt w:val="lowerLetter"/>
      <w:start w:val="28"/>
    </w:lvl>
  </w:abstractNum>
  <w:abstractNum w:abstractNumId="14">
    <w:nsid w:val="12E685FB"/>
    <w:multiLevelType w:val="hybridMultilevel"/>
    <w:lvl w:ilvl="0">
      <w:lvlJc w:val="left"/>
      <w:lvlText w:val="(%1)"/>
      <w:numFmt w:val="lowerLetter"/>
      <w:start w:val="31"/>
    </w:lvl>
  </w:abstractNum>
  <w:abstractNum w:abstractNumId="15">
    <w:nsid w:val="70C6A529"/>
    <w:multiLevelType w:val="hybridMultilevel"/>
    <w:lvl w:ilvl="0">
      <w:lvlJc w:val="left"/>
      <w:lvlText w:val="(%1)"/>
      <w:numFmt w:val="lowerLetter"/>
      <w:start w:val="36"/>
    </w:lvl>
  </w:abstractNum>
  <w:abstractNum w:abstractNumId="16">
    <w:nsid w:val="520EEDD1"/>
    <w:multiLevelType w:val="hybridMultilevel"/>
    <w:lvl w:ilvl="0">
      <w:lvlJc w:val="left"/>
      <w:lvlText w:val="(%1)"/>
      <w:numFmt w:val="lowerLetter"/>
      <w:start w:val="42"/>
    </w:lvl>
  </w:abstractNum>
  <w:abstractNum w:abstractNumId="17">
    <w:nsid w:val="374A3FE6"/>
    <w:multiLevelType w:val="hybridMultilevel"/>
    <w:lvl w:ilvl="0">
      <w:lvlJc w:val="left"/>
      <w:lvlText w:val="%1"/>
      <w:numFmt w:val="lowerLetter"/>
      <w:start w:val="1"/>
    </w:lvl>
    <w:lvl w:ilvl="1">
      <w:lvlJc w:val="left"/>
      <w:lvlText w:val="(%2)"/>
      <w:numFmt w:val="lowerLetter"/>
      <w:start w:val="44"/>
    </w:lvl>
    <w:lvl w:ilvl="2">
      <w:lvlJc w:val="left"/>
      <w:lvlText w:val="(%3)"/>
      <w:numFmt w:val="lowerRoman"/>
      <w:start w:val="1"/>
    </w:lvl>
    <w:lvl w:ilvl="3">
      <w:lvlJc w:val="left"/>
      <w:lvlText w:val="(%4)"/>
      <w:numFmt w:val="upperLetter"/>
      <w:start w:val="1"/>
    </w:lvl>
  </w:abstractNum>
  <w:abstractNum w:abstractNumId="18">
    <w:nsid w:val="4F4EF005"/>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9">
    <w:nsid w:val="23F9C13C"/>
    <w:multiLevelType w:val="hybridMultilevel"/>
    <w:lvl w:ilvl="0">
      <w:lvlJc w:val="left"/>
      <w:lvlText w:val="(%1)"/>
      <w:numFmt w:val="lowerLetter"/>
      <w:start w:val="46"/>
    </w:lvl>
  </w:abstractNum>
  <w:abstractNum w:abstractNumId="20">
    <w:nsid w:val="649BB77C"/>
    <w:multiLevelType w:val="hybridMultilevel"/>
    <w:lvl w:ilvl="0">
      <w:lvlJc w:val="left"/>
      <w:lvlText w:val="%1"/>
      <w:numFmt w:val="lowerRoman"/>
      <w:start w:val="1"/>
    </w:lvl>
    <w:lvl w:ilvl="1">
      <w:lvlJc w:val="left"/>
      <w:lvlText w:val="(%2)"/>
      <w:numFmt w:val="lowerLetter"/>
      <w:start w:val="50"/>
    </w:lvl>
  </w:abstractNum>
  <w:abstractNum w:abstractNumId="21">
    <w:nsid w:val="275AC794"/>
    <w:multiLevelType w:val="hybridMultilevel"/>
    <w:lvl w:ilvl="0">
      <w:lvlJc w:val="left"/>
      <w:lvlText w:val="(%1)"/>
      <w:numFmt w:val="lowerRoman"/>
      <w:start w:val="1"/>
    </w:lvl>
    <w:lvl w:ilvl="1">
      <w:lvlJc w:val="left"/>
      <w:lvlText w:val="%2"/>
      <w:numFmt w:val="lowerLetter"/>
      <w:start w:val="1"/>
    </w:lvl>
  </w:abstractNum>
  <w:abstractNum w:abstractNumId="22">
    <w:nsid w:val="39386575"/>
    <w:multiLevelType w:val="hybridMultilevel"/>
    <w:lvl w:ilvl="0">
      <w:lvlJc w:val="left"/>
      <w:lvlText w:val="(%1)"/>
      <w:numFmt w:val="lowerRoman"/>
      <w:start w:val="4"/>
    </w:lvl>
    <w:lvl w:ilvl="1">
      <w:lvlJc w:val="left"/>
      <w:lvlText w:val="(%2)"/>
      <w:numFmt w:val="lowerLetter"/>
      <w:start w:val="52"/>
    </w:lvl>
  </w:abstractNum>
  <w:abstractNum w:abstractNumId="23">
    <w:nsid w:val="1CF10FD8"/>
    <w:multiLevelType w:val="hybridMultilevel"/>
    <w:lvl w:ilvl="0">
      <w:lvlJc w:val="left"/>
      <w:lvlText w:val="%1."/>
      <w:numFmt w:val="decimal"/>
      <w:start w:val="2"/>
    </w:lvl>
    <w:lvl w:ilvl="1">
      <w:lvlJc w:val="left"/>
      <w:lvlText w:val="(%2)"/>
      <w:numFmt w:val="lowerLetter"/>
      <w:start w:val="1"/>
    </w:lvl>
  </w:abstractNum>
  <w:abstractNum w:abstractNumId="24">
    <w:nsid w:val="180115BE"/>
    <w:multiLevelType w:val="hybridMultilevel"/>
    <w:lvl w:ilvl="0">
      <w:lvlJc w:val="left"/>
      <w:lvlText w:val="(%1)"/>
      <w:numFmt w:val="lowerLetter"/>
      <w:start w:val="3"/>
    </w:lvl>
    <w:lvl w:ilvl="1">
      <w:lvlJc w:val="left"/>
      <w:lvlText w:val="(%2)"/>
      <w:numFmt w:val="lowerRoman"/>
      <w:start w:val="1"/>
    </w:lvl>
  </w:abstractNum>
  <w:abstractNum w:abstractNumId="25">
    <w:nsid w:val="235BA861"/>
    <w:multiLevelType w:val="hybridMultilevel"/>
    <w:lvl w:ilvl="0">
      <w:lvlJc w:val="left"/>
      <w:lvlText w:val="%1"/>
      <w:numFmt w:val="decimal"/>
      <w:start w:val="1"/>
    </w:lvl>
    <w:lvl w:ilvl="1">
      <w:lvlJc w:val="left"/>
      <w:lvlText w:val="(%2)"/>
      <w:numFmt w:val="lowerLetter"/>
      <w:start w:val="5"/>
    </w:lvl>
  </w:abstractNum>
  <w:abstractNum w:abstractNumId="26">
    <w:nsid w:val="47398C89"/>
    <w:multiLevelType w:val="hybridMultilevel"/>
    <w:lvl w:ilvl="0">
      <w:lvlJc w:val="left"/>
      <w:lvlText w:val="%1."/>
      <w:numFmt w:val="decimal"/>
      <w:start w:val="3"/>
    </w:lvl>
    <w:lvl w:ilvl="1">
      <w:lvlJc w:val="left"/>
      <w:lvlText w:val="%2"/>
      <w:numFmt w:val="lowerLetter"/>
      <w:start w:val="1"/>
    </w:lvl>
  </w:abstractNum>
  <w:abstractNum w:abstractNumId="27">
    <w:nsid w:val="354FE9F9"/>
    <w:multiLevelType w:val="hybridMultilevel"/>
    <w:lvl w:ilvl="0">
      <w:lvlJc w:val="left"/>
      <w:lvlText w:val="(%1)"/>
      <w:numFmt w:val="lowerLetter"/>
      <w:start w:val="1"/>
    </w:lvl>
  </w:abstractNum>
  <w:abstractNum w:abstractNumId="28">
    <w:nsid w:val="15B5AF5C"/>
    <w:multiLevelType w:val="hybridMultilevel"/>
    <w:lvl w:ilvl="0">
      <w:lvlJc w:val="left"/>
      <w:lvlText w:val="(%1)"/>
      <w:numFmt w:val="lowerLetter"/>
      <w:start w:val="2"/>
    </w:lvl>
  </w:abstractNum>
  <w:abstractNum w:abstractNumId="29">
    <w:nsid w:val="741226BB"/>
    <w:multiLevelType w:val="hybridMultilevel"/>
    <w:lvl w:ilvl="0">
      <w:lvlJc w:val="left"/>
      <w:lvlText w:val="(%1)"/>
      <w:numFmt w:val="lowerLetter"/>
      <w:start w:val="6"/>
    </w:lvl>
  </w:abstractNum>
  <w:abstractNum w:abstractNumId="30">
    <w:nsid w:val="D34B6A8"/>
    <w:multiLevelType w:val="hybridMultilevel"/>
    <w:lvl w:ilvl="0">
      <w:lvlJc w:val="left"/>
      <w:lvlText w:val="(%1)"/>
      <w:numFmt w:val="lowerLetter"/>
      <w:start w:val="9"/>
    </w:lvl>
  </w:abstractNum>
  <w:abstractNum w:abstractNumId="31">
    <w:nsid w:val="10233C99"/>
    <w:multiLevelType w:val="hybridMultilevel"/>
    <w:lvl w:ilvl="0">
      <w:lvlJc w:val="left"/>
      <w:lvlText w:val="%1"/>
      <w:numFmt w:val="upperLetter"/>
      <w:start w:val="1"/>
    </w:lvl>
    <w:lvl w:ilvl="1">
      <w:lvlJc w:val="left"/>
      <w:lvlText w:val="(%2)"/>
      <w:numFmt w:val="lowerLetter"/>
      <w:start w:val="14"/>
    </w:lvl>
  </w:abstractNum>
  <w:abstractNum w:abstractNumId="32">
    <w:nsid w:val="3F6AB60F"/>
    <w:multiLevelType w:val="hybridMultilevel"/>
    <w:lvl w:ilvl="0">
      <w:lvlJc w:val="left"/>
      <w:lvlText w:val="(%1)"/>
      <w:numFmt w:val="upperLetter"/>
      <w:start w:val="4"/>
    </w:lvl>
    <w:lvl w:ilvl="1">
      <w:lvlJc w:val="left"/>
      <w:lvlText w:val="(%2)"/>
      <w:numFmt w:val="lowerLetter"/>
      <w:start w:val="15"/>
    </w:lvl>
  </w:abstractNum>
  <w:abstractNum w:abstractNumId="33">
    <w:nsid w:val="61574095"/>
    <w:multiLevelType w:val="hybridMultilevel"/>
    <w:lvl w:ilvl="0">
      <w:lvlJc w:val="left"/>
      <w:lvlText w:val="(%1)"/>
      <w:numFmt w:val="lowerLetter"/>
      <w:start w:val="17"/>
    </w:lvl>
    <w:lvl w:ilvl="1">
      <w:lvlJc w:val="left"/>
      <w:lvlText w:val="(%2)"/>
      <w:numFmt w:val="lowerRoman"/>
      <w:start w:val="1"/>
    </w:lvl>
    <w:lvl w:ilvl="2">
      <w:lvlJc w:val="left"/>
      <w:lvlText w:val="(%3)"/>
      <w:numFmt w:val="upperLetter"/>
      <w:start w:val="1"/>
    </w:lvl>
  </w:abstractNum>
  <w:abstractNum w:abstractNumId="34">
    <w:nsid w:val="7E0C57B1"/>
    <w:multiLevelType w:val="hybridMultilevel"/>
    <w:lvl w:ilvl="0">
      <w:lvlJc w:val="left"/>
      <w:lvlText w:val="%1."/>
      <w:numFmt w:val="decimal"/>
      <w:start w:val="4"/>
    </w:lvl>
    <w:lvl w:ilvl="1">
      <w:lvlJc w:val="left"/>
      <w:lvlText w:val="(%2)"/>
      <w:numFmt w:val="lowerLetter"/>
      <w:start w:val="1"/>
    </w:lvl>
  </w:abstractNum>
  <w:abstractNum w:abstractNumId="35">
    <w:nsid w:val="77AE35EB"/>
    <w:multiLevelType w:val="hybridMultilevel"/>
    <w:lvl w:ilvl="0">
      <w:lvlJc w:val="left"/>
      <w:lvlText w:val="(%1)"/>
      <w:numFmt w:val="lowerLetter"/>
      <w:start w:val="2"/>
    </w:lvl>
    <w:lvl w:ilvl="1">
      <w:lvlJc w:val="left"/>
      <w:lvlText w:val="(%2)"/>
      <w:numFmt w:val="lowerRoman"/>
      <w:start w:val="1"/>
    </w:lvl>
  </w:abstractNum>
  <w:abstractNum w:abstractNumId="36">
    <w:nsid w:val="579BE4F1"/>
    <w:multiLevelType w:val="hybridMultilevel"/>
    <w:lvl w:ilvl="0">
      <w:lvlJc w:val="left"/>
      <w:lvlText w:val="%1"/>
      <w:numFmt w:val="lowerLetter"/>
      <w:start w:val="1"/>
    </w:lvl>
    <w:lvl w:ilvl="1">
      <w:lvlJc w:val="left"/>
      <w:lvlText w:val="(%2)"/>
      <w:numFmt w:val="lowerRoman"/>
      <w:start w:val="2"/>
    </w:lvl>
  </w:abstractNum>
  <w:abstractNum w:abstractNumId="37">
    <w:nsid w:val="310C50B3"/>
    <w:multiLevelType w:val="hybridMultilevel"/>
    <w:lvl w:ilvl="0">
      <w:lvlJc w:val="left"/>
      <w:lvlText w:val="(%1)"/>
      <w:numFmt w:val="lowerLetter"/>
      <w:start w:val="8"/>
    </w:lvl>
    <w:lvl w:ilvl="1">
      <w:lvlJc w:val="left"/>
      <w:lvlText w:val="%2"/>
      <w:numFmt w:val="lowerRoman"/>
      <w:start w:val="1"/>
    </w:lvl>
  </w:abstractNum>
  <w:abstractNum w:abstractNumId="38">
    <w:nsid w:val="5FF87E0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9">
    <w:nsid w:val="2F305DEF"/>
    <w:multiLevelType w:val="hybridMultilevel"/>
    <w:lvl w:ilvl="0">
      <w:lvlJc w:val="left"/>
      <w:lvlText w:val="%1"/>
      <w:numFmt w:val="upperLetter"/>
      <w:start w:val="1"/>
    </w:lvl>
    <w:lvl w:ilvl="1">
      <w:lvlJc w:val="left"/>
      <w:lvlText w:val="(%2)"/>
      <w:numFmt w:val="lowerLetter"/>
      <w:start w:val="2"/>
    </w:lvl>
  </w:abstractNum>
  <w:abstractNum w:abstractNumId="40">
    <w:nsid w:val="25A70BF7"/>
    <w:multiLevelType w:val="hybridMultilevel"/>
    <w:lvl w:ilvl="0">
      <w:lvlJc w:val="left"/>
      <w:lvlText w:val="(%1)"/>
      <w:numFmt w:val="upperLetter"/>
      <w:start w:val="4"/>
    </w:lvl>
    <w:lvl w:ilvl="1">
      <w:lvlJc w:val="left"/>
      <w:lvlText w:val="%2"/>
      <w:numFmt w:val="lowerLetter"/>
      <w:start w:val="1"/>
    </w:lvl>
  </w:abstractNum>
  <w:abstractNum w:abstractNumId="41">
    <w:nsid w:val="1DBABF00"/>
    <w:multiLevelType w:val="hybridMultilevel"/>
    <w:lvl w:ilvl="0">
      <w:lvlJc w:val="left"/>
      <w:lvlText w:val="%1"/>
      <w:numFmt w:val="decimal"/>
      <w:start w:val="1"/>
    </w:lvl>
    <w:lvl w:ilvl="1">
      <w:lvlJc w:val="left"/>
      <w:lvlText w:val="(%2)"/>
      <w:numFmt w:val="lowerLetter"/>
      <w:start w:val="4"/>
    </w:lvl>
  </w:abstractNum>
  <w:abstractNum w:abstractNumId="42">
    <w:nsid w:val="4AD084E9"/>
    <w:multiLevelType w:val="hybridMultilevel"/>
    <w:lvl w:ilvl="0">
      <w:lvlJc w:val="left"/>
      <w:lvlText w:val="%1."/>
      <w:numFmt w:val="decimal"/>
      <w:start w:val="10"/>
    </w:lvl>
    <w:lvl w:ilvl="1">
      <w:lvlJc w:val="left"/>
      <w:lvlText w:val="%2"/>
      <w:numFmt w:val="lowerLetter"/>
      <w:start w:val="1"/>
    </w:lvl>
  </w:abstractNum>
  <w:abstractNum w:abstractNumId="43">
    <w:nsid w:val="1F48EAA1"/>
    <w:multiLevelType w:val="hybridMultilevel"/>
    <w:lvl w:ilvl="0">
      <w:lvlJc w:val="left"/>
      <w:lvlText w:val="%1."/>
      <w:numFmt w:val="decimal"/>
      <w:start w:val="11"/>
    </w:lvl>
  </w:abstractNum>
  <w:abstractNum w:abstractNumId="44">
    <w:nsid w:val="1381823A"/>
    <w:multiLevelType w:val="hybridMultilevel"/>
    <w:lvl w:ilvl="0">
      <w:lvlJc w:val="left"/>
      <w:lvlText w:val="%1."/>
      <w:numFmt w:val="decimal"/>
      <w:start w:val="12"/>
    </w:lvl>
  </w:abstractNum>
  <w:abstractNum w:abstractNumId="45">
    <w:nsid w:val="5DB70AE5"/>
    <w:multiLevelType w:val="hybridMultilevel"/>
    <w:lvl w:ilvl="0">
      <w:lvlJc w:val="left"/>
      <w:lvlText w:val="%1."/>
      <w:numFmt w:val="decimal"/>
      <w:start w:val="13"/>
    </w:lvl>
  </w:abstractNum>
  <w:abstractNum w:abstractNumId="46">
    <w:nsid w:val="100F8FCA"/>
    <w:multiLevelType w:val="hybridMultilevel"/>
    <w:lvl w:ilvl="0">
      <w:lvlJc w:val="left"/>
      <w:lvlText w:val="%1."/>
      <w:numFmt w:val="decimal"/>
      <w:start w:val="16"/>
    </w:lvl>
  </w:abstractNum>
  <w:abstractNum w:abstractNumId="47">
    <w:nsid w:val="6590700B"/>
    <w:multiLevelType w:val="hybridMultilevel"/>
    <w:lvl w:ilvl="0">
      <w:lvlJc w:val="left"/>
      <w:lvlText w:val="%1."/>
      <w:numFmt w:val="decimal"/>
      <w:start w:val="20"/>
    </w:lvl>
    <w:lvl w:ilvl="1">
      <w:lvlJc w:val="left"/>
      <w:lvlText w:val="(%2)"/>
      <w:numFmt w:val="lowerLetter"/>
      <w:start w:val="1"/>
    </w:lvl>
  </w:abstractNum>
  <w:abstractNum w:abstractNumId="48">
    <w:nsid w:val="15014ACB"/>
    <w:multiLevelType w:val="hybridMultilevel"/>
    <w:lvl w:ilvl="0">
      <w:lvlJc w:val="left"/>
      <w:lvlText w:val="%1"/>
      <w:numFmt w:val="decimal"/>
      <w:start w:val="1"/>
    </w:lvl>
    <w:lvl w:ilvl="1">
      <w:lvlJc w:val="left"/>
      <w:lvlText w:val="(%2)"/>
      <w:numFmt w:val="lowerLetter"/>
      <w:start w:val="3"/>
    </w:lvl>
  </w:abstractNum>
  <w:abstractNum w:abstractNumId="49">
    <w:nsid w:val="5F5E7FD0"/>
    <w:multiLevelType w:val="hybridMultilevel"/>
    <w:lvl w:ilvl="0">
      <w:lvlJc w:val="left"/>
      <w:lvlText w:val="%1."/>
      <w:numFmt w:val="decimal"/>
      <w:start w:val="24"/>
    </w:lvl>
    <w:lvl w:ilvl="1">
      <w:lvlJc w:val="left"/>
      <w:lvlText w:val="%2"/>
      <w:numFmt w:val="lowerLetter"/>
      <w:start w:val="1"/>
    </w:lvl>
  </w:abstractNum>
  <w:abstractNum w:abstractNumId="50">
    <w:nsid w:val="98A3148"/>
    <w:multiLevelType w:val="hybridMultilevel"/>
    <w:lvl w:ilvl="0">
      <w:lvlJc w:val="left"/>
      <w:lvlText w:val="(%1)"/>
      <w:numFmt w:val="upperLetter"/>
      <w:start w:val="35"/>
    </w:lvl>
  </w:abstractNum>
  <w:abstractNum w:abstractNumId="51">
    <w:nsid w:val="799D0247"/>
    <w:multiLevelType w:val="hybridMultilevel"/>
    <w:lvl w:ilvl="0">
      <w:lvlJc w:val="left"/>
      <w:lvlText w:val="%1."/>
      <w:numFmt w:val="decimal"/>
      <w:start w:val="1"/>
    </w:lvl>
  </w:abstractNum>
  <w:abstractNum w:abstractNumId="52">
    <w:nsid w:val="6B94764"/>
    <w:multiLevelType w:val="hybridMultilevel"/>
    <w:lvl w:ilvl="0">
      <w:lvlJc w:val="left"/>
      <w:lvlText w:val="%1."/>
      <w:numFmt w:val="decimal"/>
      <w:start w:val="2"/>
    </w:lvl>
  </w:abstractNum>
  <w:abstractNum w:abstractNumId="53">
    <w:nsid w:val="42C296BD"/>
    <w:multiLevelType w:val="hybridMultilevel"/>
    <w:lvl w:ilvl="0">
      <w:lvlJc w:val="left"/>
      <w:lvlText w:val="X"/>
      <w:numFmt w:val="bullet"/>
      <w:start w:val="1"/>
    </w:lvl>
  </w:abstractNum>
  <w:abstractNum w:abstractNumId="54">
    <w:nsid w:val="168E121F"/>
    <w:multiLevelType w:val="hybridMultilevel"/>
    <w:lvl w:ilvl="0">
      <w:lvlJc w:val="left"/>
      <w:lvlText w:val="Y"/>
      <w:numFmt w:val="bullet"/>
      <w:start w:val="1"/>
    </w:lvl>
  </w:abstractNum>
  <w:abstractNum w:abstractNumId="55">
    <w:nsid w:val="1EBA5D23"/>
    <w:multiLevelType w:val="hybridMultilevel"/>
    <w:lvl w:ilvl="0">
      <w:lvlJc w:val="left"/>
      <w:lvlText w:val="A"/>
      <w:numFmt w:val="bullet"/>
      <w:start w:val="1"/>
    </w:lvl>
  </w:abstractNum>
  <w:abstractNum w:abstractNumId="56">
    <w:nsid w:val="661E3F1E"/>
    <w:multiLevelType w:val="hybridMultilevel"/>
    <w:lvl w:ilvl="0">
      <w:lvlJc w:val="left"/>
      <w:lvlText w:val="B"/>
      <w:numFmt w:val="bullet"/>
      <w:start w:val="1"/>
    </w:lvl>
  </w:abstractNum>
  <w:abstractNum w:abstractNumId="57">
    <w:nsid w:val="5DC79EA8"/>
    <w:multiLevelType w:val="hybridMultilevel"/>
    <w:lvl w:ilvl="0">
      <w:lvlJc w:val="left"/>
      <w:lvlText w:val="(%1)"/>
      <w:numFmt w:val="lowerRoman"/>
      <w:start w:val="1"/>
    </w:lvl>
  </w:abstractNum>
  <w:abstractNum w:abstractNumId="58">
    <w:nsid w:val="540A471C"/>
    <w:multiLevelType w:val="hybridMultilevel"/>
    <w:lvl w:ilvl="0">
      <w:lvlJc w:val="left"/>
      <w:lvlText w:val="%1."/>
      <w:numFmt w:val="decimal"/>
      <w:start w:val="3"/>
    </w:lvl>
  </w:abstractNum>
  <w:abstractNum w:abstractNumId="59">
    <w:nsid w:val="7BD3EE7B"/>
    <w:multiLevelType w:val="hybridMultilevel"/>
    <w:lvl w:ilvl="0">
      <w:lvlJc w:val="left"/>
      <w:lvlText w:val="%1."/>
      <w:numFmt w:val="decimal"/>
      <w:start w:val="4"/>
    </w:lvl>
  </w:abstractNum>
  <w:abstractNum w:abstractNumId="60">
    <w:nsid w:val="51D9C564"/>
    <w:multiLevelType w:val="hybridMultilevel"/>
    <w:lvl w:ilvl="0">
      <w:lvlJc w:val="left"/>
      <w:lvlText w:val="(%1)"/>
      <w:numFmt w:val="lowerRoman"/>
      <w:start w:val="1"/>
    </w:lvl>
  </w:abstractNum>
  <w:abstractNum w:abstractNumId="61">
    <w:nsid w:val="613EFDC5"/>
    <w:multiLevelType w:val="hybridMultilevel"/>
    <w:lvl w:ilvl="0">
      <w:lvlJc w:val="left"/>
      <w:lvlText w:val="%1."/>
      <w:numFmt w:val="decimal"/>
      <w:start w:val="5"/>
    </w:lvl>
  </w:abstractNum>
  <w:abstractNum w:abstractNumId="62">
    <w:nsid w:val="BF72B14"/>
    <w:multiLevelType w:val="hybridMultilevel"/>
    <w:lvl w:ilvl="0">
      <w:lvlJc w:val="left"/>
      <w:lvlText w:val="%1."/>
      <w:numFmt w:val="decimal"/>
      <w:start w:val="6"/>
    </w:lvl>
  </w:abstractNum>
  <w:abstractNum w:abstractNumId="63">
    <w:nsid w:val="11447B73"/>
    <w:multiLevelType w:val="hybridMultilevel"/>
    <w:lvl w:ilvl="0">
      <w:lvlJc w:val="left"/>
      <w:lvlText w:val="%1."/>
      <w:numFmt w:val="decimal"/>
      <w:start w:val="7"/>
    </w:lvl>
  </w:abstractNum>
  <w:abstractNum w:abstractNumId="64">
    <w:nsid w:val="42963E5A"/>
    <w:multiLevelType w:val="hybridMultilevel"/>
    <w:lvl w:ilvl="0">
      <w:lvlJc w:val="left"/>
      <w:lvlText w:val="%1."/>
      <w:numFmt w:val="decimal"/>
      <w:start w:val="9"/>
    </w:lvl>
  </w:abstractNum>
  <w:abstractNum w:abstractNumId="65">
    <w:nsid w:val="A0382C5"/>
    <w:multiLevelType w:val="hybridMultilevel"/>
    <w:lvl w:ilvl="0">
      <w:lvlJc w:val="left"/>
      <w:lvlText w:val="X"/>
      <w:numFmt w:val="bullet"/>
      <w:start w:val="1"/>
    </w:lvl>
  </w:abstractNum>
  <w:abstractNum w:abstractNumId="66">
    <w:nsid w:val="8F2B15E"/>
    <w:multiLevelType w:val="hybridMultilevel"/>
    <w:lvl w:ilvl="0">
      <w:lvlJc w:val="left"/>
      <w:lvlText w:val="Y"/>
      <w:numFmt w:val="bullet"/>
      <w:start w:val="1"/>
    </w:lvl>
  </w:abstractNum>
  <w:abstractNum w:abstractNumId="67">
    <w:nsid w:val="1A32234B"/>
    <w:multiLevelType w:val="hybridMultilevel"/>
    <w:lvl w:ilvl="0">
      <w:lvlJc w:val="left"/>
      <w:lvlText w:val="A"/>
      <w:numFmt w:val="bullet"/>
      <w:start w:val="1"/>
    </w:lvl>
  </w:abstractNum>
  <w:abstractNum w:abstractNumId="68">
    <w:nsid w:val="3B0FD379"/>
    <w:multiLevelType w:val="hybridMultilevel"/>
    <w:lvl w:ilvl="0">
      <w:lvlJc w:val="left"/>
      <w:lvlText w:val="B"/>
      <w:numFmt w:val="bullet"/>
      <w:start w:val="1"/>
    </w:lvl>
  </w:abstractNum>
  <w:abstractNum w:abstractNumId="69">
    <w:nsid w:val="68EB2F63"/>
    <w:multiLevelType w:val="hybridMultilevel"/>
    <w:lvl w:ilvl="0">
      <w:lvlJc w:val="left"/>
      <w:lvlText w:val="1"/>
      <w:numFmt w:val="bullet"/>
      <w:start w:val="1"/>
    </w:lvl>
  </w:abstractNum>
  <w:abstractNum w:abstractNumId="70">
    <w:nsid w:val="4962813B"/>
    <w:multiLevelType w:val="hybridMultilevel"/>
    <w:lvl w:ilvl="0">
      <w:lvlJc w:val="left"/>
      <w:lvlText w:val="%1)"/>
      <w:numFmt w:val="lowerLetter"/>
      <w:start w:val="1"/>
    </w:lvl>
  </w:abstractNum>
  <w:abstractNum w:abstractNumId="71">
    <w:nsid w:val="60B6DF70"/>
    <w:multiLevelType w:val="hybridMultilevel"/>
    <w:lvl w:ilvl="0">
      <w:lvlJc w:val="left"/>
      <w:lvlText w:val="(%1)"/>
      <w:numFmt w:val="upperLetter"/>
      <w:start w:val="1"/>
    </w:lvl>
  </w:abstractNum>
  <w:abstractNum w:abstractNumId="72">
    <w:nsid w:val="6A5EE64"/>
    <w:multiLevelType w:val="hybridMultilevel"/>
    <w:lvl w:ilvl="0">
      <w:lvlJc w:val="left"/>
      <w:lvlText w:val="(%1)"/>
      <w:numFmt w:val="upperLetter"/>
      <w:start w:val="24"/>
    </w:lvl>
  </w:abstractNum>
  <w:abstractNum w:abstractNumId="73">
    <w:nsid w:val="14330624"/>
    <w:multiLevelType w:val="hybridMultilevel"/>
    <w:lvl w:ilvl="0">
      <w:lvlJc w:val="left"/>
      <w:lvlText w:val="%1)"/>
      <w:numFmt w:val="lowerLetter"/>
      <w:start w:val="4"/>
    </w:lvl>
    <w:lvl w:ilvl="1">
      <w:lvlJc w:val="left"/>
      <w:lvlText w:val="%2."/>
      <w:numFmt w:val="lowerRoman"/>
      <w:start w:val="1"/>
    </w:lvl>
  </w:abstractNum>
  <w:abstractNum w:abstractNumId="74">
    <w:nsid w:val="7FFFCA11"/>
    <w:multiLevelType w:val="hybridMultilevel"/>
    <w:lvl w:ilvl="0">
      <w:lvlJc w:val="left"/>
      <w:lvlText w:val="%1"/>
      <w:numFmt w:val="decimal"/>
      <w:start w:val="1"/>
    </w:lvl>
    <w:lvl w:ilvl="1">
      <w:lvlJc w:val="left"/>
      <w:lvlText w:val="%2."/>
      <w:numFmt w:val="lowerRoman"/>
      <w:start w:val="2"/>
    </w:lvl>
  </w:abstractNum>
  <w:abstractNum w:abstractNumId="75">
    <w:nsid w:val="1A27709E"/>
    <w:multiLevelType w:val="hybridMultilevel"/>
    <w:lvl w:ilvl="0">
      <w:lvlJc w:val="left"/>
      <w:lvlText w:val="(%1)"/>
      <w:numFmt w:val="decimal"/>
      <w:start w:val="2"/>
    </w:lvl>
    <w:lvl w:ilvl="1">
      <w:lvlJc w:val="left"/>
      <w:lvlText w:val="%2"/>
      <w:numFmt w:val="lowerRoman"/>
      <w:start w:val="1"/>
    </w:lvl>
  </w:abstractNum>
  <w:abstractNum w:abstractNumId="76">
    <w:nsid w:val="71EA1109"/>
    <w:multiLevelType w:val="hybridMultilevel"/>
    <w:lvl w:ilvl="0">
      <w:lvlJc w:val="left"/>
      <w:lvlText w:val="%1"/>
      <w:numFmt w:val="lowerLetter"/>
      <w:start w:val="1"/>
    </w:lvl>
    <w:lvl w:ilvl="1">
      <w:lvlJc w:val="left"/>
      <w:lvlText w:val="%2."/>
      <w:numFmt w:val="lowerRoman"/>
      <w:start w:val="6"/>
    </w:lvl>
  </w:abstractNum>
  <w:abstractNum w:abstractNumId="77">
    <w:nsid w:val="100F59DC"/>
    <w:multiLevelType w:val="hybridMultilevel"/>
    <w:lvl w:ilvl="0">
      <w:lvlJc w:val="left"/>
      <w:lvlText w:val="%1)"/>
      <w:numFmt w:val="lowerLetter"/>
      <w:start w:val="5"/>
    </w:lvl>
    <w:lvl w:ilvl="1">
      <w:lvlJc w:val="left"/>
      <w:lvlText w:val="%2"/>
      <w:numFmt w:val="lowerRoman"/>
      <w:start w:val="1"/>
    </w:lvl>
  </w:abstractNum>
  <w:abstractNum w:abstractNumId="78">
    <w:nsid w:val="7FB7E0AA"/>
    <w:multiLevelType w:val="hybridMultilevel"/>
    <w:lvl w:ilvl="0">
      <w:lvlJc w:val="left"/>
      <w:lvlText w:val="%1)"/>
      <w:numFmt w:val="lowerLetter"/>
      <w:start w:val="1"/>
    </w:lvl>
  </w:abstractNum>
  <w:abstractNum w:abstractNumId="79">
    <w:nsid w:val="6EB5BD4"/>
    <w:multiLevelType w:val="hybridMultilevel"/>
    <w:lvl w:ilvl="0">
      <w:lvlJc w:val="left"/>
      <w:lvlText w:val="%1)"/>
      <w:numFmt w:val="lowerLetter"/>
      <w:start w:val="5"/>
    </w:lvl>
  </w:abstractNum>
  <w:abstractNum w:abstractNumId="80">
    <w:nsid w:val="6F6DD9AC"/>
    <w:multiLevelType w:val="hybridMultilevel"/>
    <w:lvl w:ilvl="0">
      <w:lvlJc w:val="left"/>
      <w:lvlText w:val="%1)"/>
      <w:numFmt w:val="lowerLetter"/>
      <w:start w:val="6"/>
    </w:lvl>
    <w:lvl w:ilvl="1">
      <w:lvlJc w:val="left"/>
      <w:lvlText w:val="%2."/>
      <w:numFmt w:val="lowerRoman"/>
      <w:start w:val="1"/>
    </w:lvl>
  </w:abstractNum>
  <w:abstractNum w:abstractNumId="81">
    <w:nsid w:val="94211F2"/>
    <w:multiLevelType w:val="hybridMultilevel"/>
    <w:lvl w:ilvl="0">
      <w:lvlJc w:val="left"/>
      <w:lvlText w:val="%1)"/>
      <w:numFmt w:val="lowerLetter"/>
      <w:start w:val="1"/>
    </w:lvl>
  </w:abstractNum>
  <w:abstractNum w:abstractNumId="82">
    <w:nsid w:val="885E1B"/>
    <w:multiLevelType w:val="hybridMultilevel"/>
    <w:lvl w:ilvl="0">
      <w:lvlJc w:val="left"/>
      <w:lvlText w:val="%1)"/>
      <w:numFmt w:val="lowerLetter"/>
      <w:start w:val="2"/>
    </w:lvl>
  </w:abstractNum>
  <w:abstractNum w:abstractNumId="83">
    <w:nsid w:val="76272110"/>
    <w:multiLevelType w:val="hybridMultilevel"/>
    <w:lvl w:ilvl="0">
      <w:lvlJc w:val="left"/>
      <w:lvlText w:val="%1)"/>
      <w:numFmt w:val="lowerLetter"/>
      <w:start w:val="1"/>
    </w:lvl>
  </w:abstractNum>
  <w:abstractNum w:abstractNumId="84">
    <w:nsid w:val="4C04A8AF"/>
    <w:multiLevelType w:val="hybridMultilevel"/>
    <w:lvl w:ilvl="0">
      <w:lvlJc w:val="left"/>
      <w:lvlText w:val="%1)"/>
      <w:numFmt w:val="lowerLetter"/>
      <w:start w:val="4"/>
    </w:lvl>
  </w:abstractNum>
  <w:abstractNum w:abstractNumId="85">
    <w:nsid w:val="1716703B"/>
    <w:multiLevelType w:val="hybridMultilevel"/>
    <w:lvl w:ilvl="0">
      <w:lvlJc w:val="left"/>
      <w:lvlText w:val="%1)"/>
      <w:numFmt w:val="lowerLetter"/>
      <w:start w:val="5"/>
    </w:lvl>
  </w:abstractNum>
  <w:abstractNum w:abstractNumId="86">
    <w:nsid w:val="14E17E33"/>
    <w:multiLevelType w:val="hybridMultilevel"/>
    <w:lvl w:ilvl="0">
      <w:lvlJc w:val="left"/>
      <w:lvlText w:val="%1)"/>
      <w:numFmt w:val="lowerLetter"/>
      <w:start w:val="8"/>
    </w:lvl>
  </w:abstractNum>
  <w:abstractNum w:abstractNumId="87">
    <w:nsid w:val="3222E7CD"/>
    <w:multiLevelType w:val="hybridMultilevel"/>
    <w:lvl w:ilvl="0">
      <w:lvlJc w:val="left"/>
      <w:lvlText w:val="(%1)"/>
      <w:numFmt w:val="decimal"/>
      <w:start w:val="1"/>
    </w:lvl>
  </w:abstractNum>
  <w:abstractNum w:abstractNumId="88">
    <w:nsid w:val="74DE0EE3"/>
    <w:multiLevelType w:val="hybridMultilevel"/>
    <w:lvl w:ilvl="0">
      <w:lvlJc w:val="left"/>
      <w:lvlText w:val="(%1)"/>
      <w:numFmt w:val="decimal"/>
      <w:start w:val="2"/>
    </w:lvl>
    <w:lvl w:ilvl="1">
      <w:lvlJc w:val="left"/>
      <w:lvlText w:val="["/>
      <w:numFmt w:val="bullet"/>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39" Type="http://schemas.openxmlformats.org/officeDocument/2006/relationships/image" Target="media/image10.png"/><Relationship Id="rId65" Type="http://schemas.openxmlformats.org/officeDocument/2006/relationships/image" Target="media/image11.png"/><Relationship Id="rId66" Type="http://schemas.openxmlformats.org/officeDocument/2006/relationships/image" Target="media/image12.png"/><Relationship Id="rId74" Type="http://schemas.openxmlformats.org/officeDocument/2006/relationships/image" Target="media/image13.png"/><Relationship Id="rId75" Type="http://schemas.openxmlformats.org/officeDocument/2006/relationships/image" Target="media/image14.png"/><Relationship Id="rId76" Type="http://schemas.openxmlformats.org/officeDocument/2006/relationships/image" Target="media/image15.png"/><Relationship Id="rId77" Type="http://schemas.openxmlformats.org/officeDocument/2006/relationships/image" Target="media/image16.png"/><Relationship Id="rId78" Type="http://schemas.openxmlformats.org/officeDocument/2006/relationships/image" Target="media/image17.png"/><Relationship Id="rId79" Type="http://schemas.openxmlformats.org/officeDocument/2006/relationships/image" Target="media/image18.png"/><Relationship Id="rId80" Type="http://schemas.openxmlformats.org/officeDocument/2006/relationships/image" Target="media/image19.png"/><Relationship Id="rId81" Type="http://schemas.openxmlformats.org/officeDocument/2006/relationships/image" Target="media/image20.png"/><Relationship Id="rId82" Type="http://schemas.openxmlformats.org/officeDocument/2006/relationships/image" Target="media/image21.png"/><Relationship Id="rId83" Type="http://schemas.openxmlformats.org/officeDocument/2006/relationships/image" Target="media/image22.png"/><Relationship Id="rId84" Type="http://schemas.openxmlformats.org/officeDocument/2006/relationships/image" Target="media/image23.png"/><Relationship Id="rId85" Type="http://schemas.openxmlformats.org/officeDocument/2006/relationships/image" Target="media/image24.png"/><Relationship Id="rId86" Type="http://schemas.openxmlformats.org/officeDocument/2006/relationships/image" Target="media/image25.png"/><Relationship Id="rId87" Type="http://schemas.openxmlformats.org/officeDocument/2006/relationships/image" Target="media/image26.png"/><Relationship Id="rId88" Type="http://schemas.openxmlformats.org/officeDocument/2006/relationships/image" Target="media/image27.png"/><Relationship Id="rId89" Type="http://schemas.openxmlformats.org/officeDocument/2006/relationships/image" Target="media/image28.png"/><Relationship Id="rId90" Type="http://schemas.openxmlformats.org/officeDocument/2006/relationships/image" Target="media/image29.png"/><Relationship Id="rId91" Type="http://schemas.openxmlformats.org/officeDocument/2006/relationships/image" Target="media/image30.png"/><Relationship Id="rId92" Type="http://schemas.openxmlformats.org/officeDocument/2006/relationships/image" Target="media/image31.png"/><Relationship Id="rId93" Type="http://schemas.openxmlformats.org/officeDocument/2006/relationships/image" Target="media/image32.png"/><Relationship Id="rId94" Type="http://schemas.openxmlformats.org/officeDocument/2006/relationships/image" Target="media/image33.png"/><Relationship Id="rId95" Type="http://schemas.openxmlformats.org/officeDocument/2006/relationships/image" Target="media/image34.png"/><Relationship Id="rId96" Type="http://schemas.openxmlformats.org/officeDocument/2006/relationships/image" Target="media/image35.png"/><Relationship Id="rId97" Type="http://schemas.openxmlformats.org/officeDocument/2006/relationships/image" Target="media/image36.png"/><Relationship Id="rId98" Type="http://schemas.openxmlformats.org/officeDocument/2006/relationships/image" Target="media/image37.png"/><Relationship Id="rId99" Type="http://schemas.openxmlformats.org/officeDocument/2006/relationships/image" Target="media/image38.png"/><Relationship Id="rId100" Type="http://schemas.openxmlformats.org/officeDocument/2006/relationships/image" Target="media/image39.png"/><Relationship Id="rId101" Type="http://schemas.openxmlformats.org/officeDocument/2006/relationships/image" Target="media/image40.png"/><Relationship Id="rId102" Type="http://schemas.openxmlformats.org/officeDocument/2006/relationships/image" Target="media/image41.png"/><Relationship Id="rId103" Type="http://schemas.openxmlformats.org/officeDocument/2006/relationships/image" Target="media/image42.png"/><Relationship Id="rId104" Type="http://schemas.openxmlformats.org/officeDocument/2006/relationships/image" Target="media/image43.png"/><Relationship Id="rId105" Type="http://schemas.openxmlformats.org/officeDocument/2006/relationships/image" Target="media/image44.png"/><Relationship Id="rId106" Type="http://schemas.openxmlformats.org/officeDocument/2006/relationships/image" Target="media/image45.png"/><Relationship Id="rId107" Type="http://schemas.openxmlformats.org/officeDocument/2006/relationships/image" Target="media/image46.png"/><Relationship Id="rId108" Type="http://schemas.openxmlformats.org/officeDocument/2006/relationships/image" Target="media/image47.png"/><Relationship Id="rId109" Type="http://schemas.openxmlformats.org/officeDocument/2006/relationships/image" Target="media/image48.png"/><Relationship Id="rId110" Type="http://schemas.openxmlformats.org/officeDocument/2006/relationships/image" Target="media/image49.png"/><Relationship Id="rId111" Type="http://schemas.openxmlformats.org/officeDocument/2006/relationships/image" Target="media/image50.png"/><Relationship Id="rId112" Type="http://schemas.openxmlformats.org/officeDocument/2006/relationships/image" Target="media/image51.png"/><Relationship Id="rId113" Type="http://schemas.openxmlformats.org/officeDocument/2006/relationships/image" Target="media/image52.png"/><Relationship Id="rId114" Type="http://schemas.openxmlformats.org/officeDocument/2006/relationships/image" Target="media/image53.png"/><Relationship Id="rId115" Type="http://schemas.openxmlformats.org/officeDocument/2006/relationships/image" Target="media/image54.png"/><Relationship Id="rId116" Type="http://schemas.openxmlformats.org/officeDocument/2006/relationships/image" Target="media/image55.png"/><Relationship Id="rId117" Type="http://schemas.openxmlformats.org/officeDocument/2006/relationships/image" Target="media/image56.png"/><Relationship Id="rId118" Type="http://schemas.openxmlformats.org/officeDocument/2006/relationships/image" Target="media/image57.png"/><Relationship Id="rId119" Type="http://schemas.openxmlformats.org/officeDocument/2006/relationships/image" Target="media/image58.png"/><Relationship Id="rId120" Type="http://schemas.openxmlformats.org/officeDocument/2006/relationships/image" Target="media/image59.png"/><Relationship Id="rId121" Type="http://schemas.openxmlformats.org/officeDocument/2006/relationships/image" Target="media/image60.png"/><Relationship Id="rId122" Type="http://schemas.openxmlformats.org/officeDocument/2006/relationships/image" Target="media/image61.png"/><Relationship Id="rId123" Type="http://schemas.openxmlformats.org/officeDocument/2006/relationships/image" Target="media/image62.png"/><Relationship Id="rId124" Type="http://schemas.openxmlformats.org/officeDocument/2006/relationships/image" Target="media/image63.png"/><Relationship Id="rId125" Type="http://schemas.openxmlformats.org/officeDocument/2006/relationships/image" Target="media/image64.png"/><Relationship Id="rId126" Type="http://schemas.openxmlformats.org/officeDocument/2006/relationships/image" Target="media/image65.png"/><Relationship Id="rId127" Type="http://schemas.openxmlformats.org/officeDocument/2006/relationships/image" Target="media/image66.png"/><Relationship Id="rId128" Type="http://schemas.openxmlformats.org/officeDocument/2006/relationships/image" Target="media/image67.png"/><Relationship Id="rId129" Type="http://schemas.openxmlformats.org/officeDocument/2006/relationships/image" Target="media/image68.png"/><Relationship Id="rId130" Type="http://schemas.openxmlformats.org/officeDocument/2006/relationships/image" Target="media/image69.png"/><Relationship Id="rId131" Type="http://schemas.openxmlformats.org/officeDocument/2006/relationships/image" Target="media/image70.png"/><Relationship Id="rId132" Type="http://schemas.openxmlformats.org/officeDocument/2006/relationships/image" Target="media/image71.png"/><Relationship Id="rId133" Type="http://schemas.openxmlformats.org/officeDocument/2006/relationships/image" Target="media/image72.png"/><Relationship Id="rId134" Type="http://schemas.openxmlformats.org/officeDocument/2006/relationships/image" Target="media/image73.png"/><Relationship Id="rId135" Type="http://schemas.openxmlformats.org/officeDocument/2006/relationships/image" Target="media/image74.png"/><Relationship Id="rId136" Type="http://schemas.openxmlformats.org/officeDocument/2006/relationships/image" Target="media/image75.png"/><Relationship Id="rId137" Type="http://schemas.openxmlformats.org/officeDocument/2006/relationships/image" Target="media/image76.png"/><Relationship Id="rId138" Type="http://schemas.openxmlformats.org/officeDocument/2006/relationships/image" Target="media/image77.png"/><Relationship Id="rId139" Type="http://schemas.openxmlformats.org/officeDocument/2006/relationships/image" Target="media/image78.png"/><Relationship Id="rId140" Type="http://schemas.openxmlformats.org/officeDocument/2006/relationships/image" Target="media/image79.png"/><Relationship Id="rId141" Type="http://schemas.openxmlformats.org/officeDocument/2006/relationships/image" Target="media/image80.png"/><Relationship Id="rId142" Type="http://schemas.openxmlformats.org/officeDocument/2006/relationships/image" Target="media/image81.png"/><Relationship Id="rId143" Type="http://schemas.openxmlformats.org/officeDocument/2006/relationships/image" Target="media/image82.png"/><Relationship Id="rId144" Type="http://schemas.openxmlformats.org/officeDocument/2006/relationships/image" Target="media/image83.png"/><Relationship Id="rId145" Type="http://schemas.openxmlformats.org/officeDocument/2006/relationships/image" Target="media/image84.png"/><Relationship Id="rId146" Type="http://schemas.openxmlformats.org/officeDocument/2006/relationships/image" Target="media/image85.png"/><Relationship Id="rId147" Type="http://schemas.openxmlformats.org/officeDocument/2006/relationships/image" Target="media/image86.png"/><Relationship Id="rId148" Type="http://schemas.openxmlformats.org/officeDocument/2006/relationships/image" Target="media/image87.png"/><Relationship Id="rId149" Type="http://schemas.openxmlformats.org/officeDocument/2006/relationships/image" Target="media/image88.png"/><Relationship Id="rId150" Type="http://schemas.openxmlformats.org/officeDocument/2006/relationships/image" Target="media/image89.png"/><Relationship Id="rId151" Type="http://schemas.openxmlformats.org/officeDocument/2006/relationships/image" Target="media/image90.png"/><Relationship Id="rId152" Type="http://schemas.openxmlformats.org/officeDocument/2006/relationships/image" Target="media/image91.png"/><Relationship Id="rId153" Type="http://schemas.openxmlformats.org/officeDocument/2006/relationships/image" Target="media/image92.png"/><Relationship Id="rId154" Type="http://schemas.openxmlformats.org/officeDocument/2006/relationships/image" Target="media/image93.png"/><Relationship Id="rId155" Type="http://schemas.openxmlformats.org/officeDocument/2006/relationships/image" Target="media/image94.png"/><Relationship Id="rId156" Type="http://schemas.openxmlformats.org/officeDocument/2006/relationships/image" Target="media/image95.png"/><Relationship Id="rId157" Type="http://schemas.openxmlformats.org/officeDocument/2006/relationships/image" Target="media/image96.png"/><Relationship Id="rId158" Type="http://schemas.openxmlformats.org/officeDocument/2006/relationships/image" Target="media/image97.png"/><Relationship Id="rId159" Type="http://schemas.openxmlformats.org/officeDocument/2006/relationships/image" Target="media/image98.png"/><Relationship Id="rId160" Type="http://schemas.openxmlformats.org/officeDocument/2006/relationships/image" Target="media/image99.png"/><Relationship Id="rId161" Type="http://schemas.openxmlformats.org/officeDocument/2006/relationships/image" Target="media/image100.png"/><Relationship Id="rId162" Type="http://schemas.openxmlformats.org/officeDocument/2006/relationships/image" Target="media/image101.png"/><Relationship Id="rId163" Type="http://schemas.openxmlformats.org/officeDocument/2006/relationships/image" Target="media/image102.png"/><Relationship Id="rId164" Type="http://schemas.openxmlformats.org/officeDocument/2006/relationships/image" Target="media/image103.png"/><Relationship Id="rId165" Type="http://schemas.openxmlformats.org/officeDocument/2006/relationships/image" Target="media/image104.png"/><Relationship Id="rId166" Type="http://schemas.openxmlformats.org/officeDocument/2006/relationships/image" Target="media/image105.png"/><Relationship Id="rId167" Type="http://schemas.openxmlformats.org/officeDocument/2006/relationships/image" Target="media/image106.png"/><Relationship Id="rId168" Type="http://schemas.openxmlformats.org/officeDocument/2006/relationships/image" Target="media/image107.png"/><Relationship Id="rId169" Type="http://schemas.openxmlformats.org/officeDocument/2006/relationships/image" Target="media/image108.png"/><Relationship Id="rId17" Type="http://schemas.openxmlformats.org/officeDocument/2006/relationships/hyperlink" Target="https://www.sec.gov/Archives/edgar/data/1847986/000110465922081684/cntq-20210630xs4.htm#AnnexA_168524" TargetMode="External"/><Relationship Id="rId18" Type="http://schemas.openxmlformats.org/officeDocument/2006/relationships/hyperlink" Target="https://www.sec.gov/Archives/edgar/data/1847986/000110465922081684/cntq-20210630xex2d1a.htm" TargetMode="External"/><Relationship Id="rId19" Type="http://schemas.openxmlformats.org/officeDocument/2006/relationships/hyperlink" Target="https://www.sec.gov/Archives/edgar/data/1847986/000149315223010262/ex2-1.htm" TargetMode="External"/><Relationship Id="rId20" Type="http://schemas.openxmlformats.org/officeDocument/2006/relationships/hyperlink" Target="https://www.sec.gov/Archives/edgar/data/1847986/000149315223010262/ex3-1.htm" TargetMode="External"/><Relationship Id="rId21" Type="http://schemas.openxmlformats.org/officeDocument/2006/relationships/hyperlink" Target="https://www.sec.gov/Archives/edgar/data/1847986/000149315223010262/ex3-2.htm" TargetMode="External"/><Relationship Id="rId22" Type="http://schemas.openxmlformats.org/officeDocument/2006/relationships/hyperlink" Target="https://www.sec.gov/Archives/edgar/data/1847986/000110465922107212/tm2222125d3_ex4-1.htm" TargetMode="External"/><Relationship Id="rId23" Type="http://schemas.openxmlformats.org/officeDocument/2006/relationships/hyperlink" Target="https://www.sec.gov/Archives/edgar/data/1847986/000110465922107212/tm2222125d3_ex4-2.htm" TargetMode="External"/><Relationship Id="rId24" Type="http://schemas.openxmlformats.org/officeDocument/2006/relationships/hyperlink" Target="https://www.sec.gov/Archives/edgar/data/1847986/000110465922107212/tm2222125d3_ex4-3.htm" TargetMode="External"/><Relationship Id="rId25" Type="http://schemas.openxmlformats.org/officeDocument/2006/relationships/hyperlink" Target="https://www.sec.gov/Archives/edgar/data/1847986/000110465922110688/dfli-20220630xex4d4.htm" TargetMode="External"/><Relationship Id="rId26" Type="http://schemas.openxmlformats.org/officeDocument/2006/relationships/hyperlink" Target="https://www.sec.gov/Archives/edgar/data/1847986/000149315223012533/ex4-5.htm" TargetMode="External"/><Relationship Id="rId27" Type="http://schemas.openxmlformats.org/officeDocument/2006/relationships/hyperlink" Target="https://www.sec.gov/Archives/edgar/data/1847986/000149315223007147/ex4-1.htm" TargetMode="External"/><Relationship Id="rId28" Type="http://schemas.openxmlformats.org/officeDocument/2006/relationships/hyperlink" Target="https://www.sec.gov/Archives/edgar/data/1847986/000149315223012533/ex4-7.htm" TargetMode="External"/><Relationship Id="rId29" Type="http://schemas.openxmlformats.org/officeDocument/2006/relationships/hyperlink" Target="https://www.sec.gov/Archives/edgar/data/1847986/000110465922100022/tm2218377-26_s4a.htm#tANNE" TargetMode="External"/><Relationship Id="rId30" Type="http://schemas.openxmlformats.org/officeDocument/2006/relationships/hyperlink" Target="https://www.sec.gov/Archives/edgar/data/1847986/000110465922100022/tm2218377-26_s4a.htm#tANNJ" TargetMode="External"/><Relationship Id="rId31" Type="http://schemas.openxmlformats.org/officeDocument/2006/relationships/hyperlink" Target="https://www.sec.gov/Archives/edgar/data/1847986/000110465922100022/tm2218377-26_s4a.htm#tANNK" TargetMode="External"/><Relationship Id="rId32" Type="http://schemas.openxmlformats.org/officeDocument/2006/relationships/hyperlink" Target="https://www.sec.gov/Archives/edgar/data/1847986/000110465922100022/tm2218377-26_s4a.htm#tANNF" TargetMode="External"/><Relationship Id="rId33" Type="http://schemas.openxmlformats.org/officeDocument/2006/relationships/hyperlink" Target="https://www.sec.gov/Archives/edgar/data/1847986/000110465922107212/tm2222125d3_ex10-5.htm" TargetMode="External"/><Relationship Id="rId34" Type="http://schemas.openxmlformats.org/officeDocument/2006/relationships/hyperlink" Target="https://www.sec.gov/Archives/edgar/data/1847986/000110465922107212/tm2222125d3_ex10-6.htm" TargetMode="External"/><Relationship Id="rId35" Type="http://schemas.openxmlformats.org/officeDocument/2006/relationships/hyperlink" Target="https://www.sec.gov/Archives/edgar/data/1847986/000110465922099731/tm2218377d21_ex10-10.htm" TargetMode="External"/><Relationship Id="rId36" Type="http://schemas.openxmlformats.org/officeDocument/2006/relationships/hyperlink" Target="https://www.sec.gov/Archives/edgar/data/1847986/000110465922081684/cntq-20210630xex10d11.htm" TargetMode="External"/><Relationship Id="rId37" Type="http://schemas.openxmlformats.org/officeDocument/2006/relationships/hyperlink" Target="https://www.sec.gov/Archives/edgar/data/1847986/000110465922081684/cntq-20210630xex10d12.htm" TargetMode="External"/><Relationship Id="rId38" Type="http://schemas.openxmlformats.org/officeDocument/2006/relationships/hyperlink" Target="https://www.sec.gov/Archives/edgar/data/1847986/000110465922107212/tm2222125d3_ex10-10.htm" TargetMode="External"/><Relationship Id="rId40" Type="http://schemas.openxmlformats.org/officeDocument/2006/relationships/hyperlink" Target="https://www.sec.gov/Archives/edgar/data/1847986/000110465922107212/tm2222125d3_ex10-11.htm" TargetMode="External"/><Relationship Id="rId41" Type="http://schemas.openxmlformats.org/officeDocument/2006/relationships/hyperlink" Target="https://www.sec.gov/Archives/edgar/data/1847986/000110465922107212/tm2222125d3_ex10-12.htm" TargetMode="External"/><Relationship Id="rId42" Type="http://schemas.openxmlformats.org/officeDocument/2006/relationships/hyperlink" Target="https://www.sec.gov/Archives/edgar/data/1847986/000110465922107212/tm2222125d3_ex10-13.htm" TargetMode="External"/><Relationship Id="rId43" Type="http://schemas.openxmlformats.org/officeDocument/2006/relationships/hyperlink" Target="https://www.sec.gov/Archives/edgar/data/1847986/000110465922107212/tm2222125d3_ex10-14.htm" TargetMode="External"/><Relationship Id="rId44" Type="http://schemas.openxmlformats.org/officeDocument/2006/relationships/hyperlink" Target="https://www.sec.gov/Archives/edgar/data/1847986/000110465922107212/tm2222125d3_ex10-15.htm" TargetMode="External"/><Relationship Id="rId45" Type="http://schemas.openxmlformats.org/officeDocument/2006/relationships/hyperlink" Target="https://www.sec.gov/Archives/edgar/data/1847986/000110465922107212/tm2222125d3_ex10-16.htm" TargetMode="External"/><Relationship Id="rId46" Type="http://schemas.openxmlformats.org/officeDocument/2006/relationships/hyperlink" Target="https://www.sec.gov/Archives/edgar/data/1847986/000110465922107212/tm2222125d3_ex10-17.htm" TargetMode="External"/><Relationship Id="rId47" Type="http://schemas.openxmlformats.org/officeDocument/2006/relationships/hyperlink" Target="https://www.sec.gov/Archives/edgar/data/1847986/000110465922107212/tm2222125d3_ex10-18.htm" TargetMode="External"/><Relationship Id="rId48" Type="http://schemas.openxmlformats.org/officeDocument/2006/relationships/hyperlink" Target="https://www.sec.gov/Archives/edgar/data/1847986/000110465922107212/tm2222125d3_ex10-19.htm" TargetMode="External"/><Relationship Id="rId49" Type="http://schemas.openxmlformats.org/officeDocument/2006/relationships/hyperlink" Target="https://www.sec.gov/Archives/edgar/data/1847986/000110465922107212/tm2222125d3_ex10-20.htm" TargetMode="External"/><Relationship Id="rId50" Type="http://schemas.openxmlformats.org/officeDocument/2006/relationships/hyperlink" Target="https://www.sec.gov/Archives/edgar/data/1847986/000110465922107212/tm2222125d3_ex10-21.htm" TargetMode="External"/><Relationship Id="rId51" Type="http://schemas.openxmlformats.org/officeDocument/2006/relationships/hyperlink" Target="https://www.sec.gov/Archives/edgar/data/1847986/000110465922114961/dfli-20220630xex10d22.htm" TargetMode="External"/><Relationship Id="rId52" Type="http://schemas.openxmlformats.org/officeDocument/2006/relationships/hyperlink" Target="https://www.sec.gov/Archives/edgar/data/1847986/000110465922114961/dfli-20220630xex10d23.htm" TargetMode="External"/><Relationship Id="rId53" Type="http://schemas.openxmlformats.org/officeDocument/2006/relationships/hyperlink" Target="https://www.sec.gov/Archives/edgar/data/1847986/000110465922114961/dfli-20220630xex10d24.htm" TargetMode="External"/><Relationship Id="rId54" Type="http://schemas.openxmlformats.org/officeDocument/2006/relationships/hyperlink" Target="https://www.sec.gov/Archives/edgar/data/1847986/000149315223006564/ex10-1.htm" TargetMode="External"/><Relationship Id="rId55" Type="http://schemas.openxmlformats.org/officeDocument/2006/relationships/hyperlink" Target="https://www.sec.gov/Archives/edgar/data/1847986/000149315223012533/ex10-26.htm" TargetMode="External"/><Relationship Id="rId56" Type="http://schemas.openxmlformats.org/officeDocument/2006/relationships/hyperlink" Target="https://www.sec.gov/Archives/edgar/data/1847986/000149315223012533/ex10-27.htm" TargetMode="External"/><Relationship Id="rId57" Type="http://schemas.openxmlformats.org/officeDocument/2006/relationships/hyperlink" Target="https://www.sec.gov/Archives/edgar/data/1847986/000149315223012533/ex10-28.htm" TargetMode="External"/><Relationship Id="rId58" Type="http://schemas.openxmlformats.org/officeDocument/2006/relationships/hyperlink" Target="https://www.sec.gov/Archives/edgar/data/1847986/000149315223012533/ex10-29.htm" TargetMode="External"/><Relationship Id="rId59" Type="http://schemas.openxmlformats.org/officeDocument/2006/relationships/hyperlink" Target="https://www.sec.gov/Archives/edgar/data/1847986/000149315223012533/ex10-30.htm" TargetMode="External"/><Relationship Id="rId60" Type="http://schemas.openxmlformats.org/officeDocument/2006/relationships/hyperlink" Target="https://www.sec.gov/Archives/edgar/data/1847986/000149315223012533/ex10-31.htm" TargetMode="External"/><Relationship Id="rId61" Type="http://schemas.openxmlformats.org/officeDocument/2006/relationships/hyperlink" Target="https://www.sec.gov/Archives/edgar/data/1847986/000149315223012533/ex10-32.htm" TargetMode="External"/><Relationship Id="rId62" Type="http://schemas.openxmlformats.org/officeDocument/2006/relationships/hyperlink" Target="https://www.sec.gov/Archives/edgar/data/1847986/000149315223012533/ex10-33.htm" TargetMode="External"/><Relationship Id="rId63" Type="http://schemas.openxmlformats.org/officeDocument/2006/relationships/hyperlink" Target="https://www.sec.gov/Archives/edgar/data/1847986/000149315223012533/ex10-34.htm" TargetMode="External"/><Relationship Id="rId64" Type="http://schemas.openxmlformats.org/officeDocument/2006/relationships/hyperlink" Target="https://www.sec.gov/Archives/edgar/data/1847986/000149315223012533/ex10-35.htm" TargetMode="External"/><Relationship Id="rId67" Type="http://schemas.openxmlformats.org/officeDocument/2006/relationships/hyperlink" Target="https://www.sec.gov/Archives/edgar/data/1847986/000149315223012533/ex10-36.htm" TargetMode="External"/><Relationship Id="rId68" Type="http://schemas.openxmlformats.org/officeDocument/2006/relationships/hyperlink" Target="https://www.sec.gov/Archives/edgar/data/1847986/000149315223012533/ex10-37.htm" TargetMode="External"/><Relationship Id="rId69" Type="http://schemas.openxmlformats.org/officeDocument/2006/relationships/hyperlink" Target="https://www.sec.gov/Archives/edgar/data/1847986/000149315223012533/ex10-38.htm" TargetMode="External"/><Relationship Id="rId70" Type="http://schemas.openxmlformats.org/officeDocument/2006/relationships/hyperlink" Target="https://www.sec.gov/Archives/edgar/data/1847986/000149315223009479/ex10-1.htm" TargetMode="External"/><Relationship Id="rId71" Type="http://schemas.openxmlformats.org/officeDocument/2006/relationships/hyperlink" Target="https://www.sec.gov/Archives/edgar/data/1847986/000149315223014966/ex10-1.htm" TargetMode="External"/><Relationship Id="rId72" Type="http://schemas.openxmlformats.org/officeDocument/2006/relationships/hyperlink" Target="https://www.sec.gov/Archives/edgar/data/1847986/000110465922107212/tm2222125d3_ex21-1.htm" TargetMode="External"/><Relationship Id="rId73" Type="http://schemas.openxmlformats.org/officeDocument/2006/relationships/hyperlink" Target="https://www.sec.gov/Archives/edgar/data/1847986/000149315223021143/ex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2023-06-14T16:30:36Z</dcterms:created>
  <dcterms:modified xsi:type="dcterms:W3CDTF">2023-06-14T16:30:36Z</dcterms:modified>
</cp:coreProperties>
</file>