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(775) 622-3448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8"/>
        </w:trPr>
        <w:tc>
          <w:tcPr>
            <w:tcW w:w="5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 at an exercise price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DFLIW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of $11.50 per share, subject to adjustment</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employment of John Marchetti, the Senior Vice President, Operations, of Dragonfly Energy Holdings Corp. (the “Company”), was terminated on April 19, 2024. Prior to serving as the Company’s Senior Vice President, Operations, Mr. Marchetti served as the Company’s Chief Financial Officer from September 2021 to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22,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3620" w:type="dxa"/>
            <w:vAlign w:val="bottom"/>
          </w:tcPr>
          <w:p>
            <w:pPr>
              <w:spacing w:after="0"/>
              <w:rPr>
                <w:sz w:val="17"/>
                <w:szCs w:val="17"/>
                <w:color w:val="auto"/>
              </w:rPr>
            </w:pPr>
          </w:p>
        </w:tc>
        <w:tc>
          <w:tcPr>
            <w:tcW w:w="258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9"/>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2024-04-22T16:09:37Z</dcterms:created>
  <dcterms:modified xsi:type="dcterms:W3CDTF">2024-04-22T16:09:37Z</dcterms:modified>
</cp:coreProperties>
</file>