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10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October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1022"/>
            <w:bookmarkEnd w:id="6"/>
            <w:r>
              <w:rPr>
                <w:rFonts w:ascii="Times New Roman;Times;Serif" w:hAnsi="Times New Roman;Times;Serif"/>
                <w:b/>
                <w:i w:val="false"/>
                <w:caps w:val="false"/>
                <w:smallCaps w:val="false"/>
                <w:sz w:val="20"/>
              </w:rPr>
              <w:t>001-40730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F_edei--EntityAddressAddressLine1_"/>
            <w:bookmarkEnd w:id="8"/>
            <w:r>
              <w:rPr>
                <w:rFonts w:ascii="Times New Roman;Times;Serif" w:hAnsi="Times New Roman;Times;Serif"/>
                <w:b/>
                <w:i w:val="false"/>
                <w:caps w:val="false"/>
                <w:smallCaps w:val="false"/>
                <w:sz w:val="20"/>
                <w:shd w:fill="FFFFFF" w:val="clear"/>
              </w:rPr>
              <w:t>12915 Old Virginia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Reno, </w:t>
            </w:r>
            <w:bookmarkStart w:id="10" w:name="xdx_904_edei--EntityAddressStateOrProvin"/>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D_edei--EntityAddressPostalZipCode"/>
            <w:bookmarkEnd w:id="11"/>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B_edei--CityAreaCode_c20261022__20"/>
      <w:bookmarkEnd w:id="12"/>
      <w:r>
        <w:rPr>
          <w:rFonts w:ascii="Times New Roman;Times;Serif" w:hAnsi="Times New Roman;Times;Serif"/>
          <w:b/>
          <w:i w:val="false"/>
          <w:caps w:val="false"/>
          <w:smallCaps w:val="false"/>
          <w:sz w:val="20"/>
          <w:u w:val="single"/>
        </w:rPr>
        <w:t xml:space="preserve">(775) </w:t>
      </w:r>
      <w:bookmarkStart w:id="13" w:name="xdx_90B_edei--LocalPhoneNumber_c20261022"/>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A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F_edei--SolicitingMaterial_c202610"/>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C_edei--Security12bTitle_c20261022"/>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TradingSymbol_c20261022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4_edei--SecurityExchangeName_c2026"/>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12bTitle_c20261022"/>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D_edei--TradingSymbol_c20261022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7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D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1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920"/>
        <w:gridCol w:w="8285"/>
      </w:tblGrid>
      <w:tr>
        <w:trPr/>
        <w:tc>
          <w:tcPr>
            <w:tcW w:w="9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3.01. </w:t>
            </w:r>
          </w:p>
        </w:tc>
        <w:tc>
          <w:tcPr>
            <w:tcW w:w="82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Delisting or Failure to Satisfy a Continued Listing Rule or Standard; Transfer of Listing.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20, 2026, Dragonfly Energy Holdings Corp. (the “Company”) received a letter from the Listing Qualifications Department (the “Staff”) of The Nasdaq Stock Market LLC (“Nasdaq”), indicating that the Company was not in compliance with the minimum stockholders’ equity requirement for continued listing on the Nasdaq Capital Market, under Listing Rule 5550(b)(1), because the Company’s stockholders’ equity (deficit) of $(184,000) as reported in the Company’s Quarterly Report on Form 10-Q for the period ended June 30, 2026 was below the required minimum of $2.5 million, and because, as of August 20, 2026, the Company did not meet the alternative compliance standards relating to the market value of listed securities of $35 million or net income from continuing operations of $500,000 in the most recently completed fiscal year or in two of the last three most recently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the Company submitted a plan to the Staff to regain compliance with the minimum stockholders’ equity requirement and on October 22, 2026, the Staff notified the Company that Nasdaq had granted the Company an extension through December 31, 2026, to regain compliance. Under the terms of the extension, on or before December 31, 2026, the Company must furnish to the Securities and Exchange Commission (the “SEC”) and Nasdaq a publicly available report evidencing compliance with the minimum stockholders’ equity requirement. In addition, if the Company fails to evidence compliance with the minimum stockholders’ equity requirement upon filing its subsequent periodic report for the period ending December 31, 2026 with the SEC and Nasdaq, the Company may be subject to delisting. In the event the Company does not satisfy the terms of the extension, the Staff will provide written notification that the Company’s securities will be delisted, at which time the Company may appeal the Staff’s determination to a Nasdaq hearings panel.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250" w:type="dxa"/>
        <w:jc w:val="left"/>
        <w:tblInd w:w="0" w:type="dxa"/>
        <w:tblLayout w:type="fixed"/>
        <w:tblCellMar>
          <w:top w:w="0" w:type="dxa"/>
          <w:left w:w="0" w:type="dxa"/>
          <w:bottom w:w="0" w:type="dxa"/>
          <w:right w:w="0" w:type="dxa"/>
        </w:tblCellMar>
      </w:tblPr>
      <w:tblGrid>
        <w:gridCol w:w="2030"/>
        <w:gridCol w:w="545"/>
        <w:gridCol w:w="567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2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23,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693</Words>
  <Characters>3806</Characters>
  <CharactersWithSpaces>4499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