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As filed with the U.S. Securities and Exchange Commission on August 5, 2021.</w:t>
      </w:r>
    </w:p>
    <w:p>
      <w:pPr>
        <w:spacing w:after="0" w:line="4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37465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80645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2"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SECURITIES AND EXCHANGE COMMISSION</w:t>
      </w: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99060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AMENDMENT NO. 7</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TO</w:t>
      </w:r>
    </w:p>
    <w:p>
      <w:pPr>
        <w:spacing w:after="0" w:line="17"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FORM S-1</w:t>
      </w:r>
    </w:p>
    <w:p>
      <w:pPr>
        <w:spacing w:after="0" w:line="72"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100330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3"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CHARDAN NEXTECH ACQUISITION 2 CORP.</w:t>
      </w:r>
    </w:p>
    <w:p>
      <w:pPr>
        <w:spacing w:after="0" w:line="53"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2"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Delaware</w:t>
            </w:r>
          </w:p>
        </w:tc>
        <w:tc>
          <w:tcPr>
            <w:tcW w:w="3080" w:type="dxa"/>
            <w:vAlign w:val="bottom"/>
          </w:tcPr>
          <w:p>
            <w:pPr>
              <w:jc w:val="right"/>
              <w:ind w:right="1282"/>
              <w:spacing w:after="0"/>
              <w:rPr>
                <w:sz w:val="20"/>
                <w:szCs w:val="20"/>
                <w:color w:val="auto"/>
              </w:rPr>
            </w:pPr>
            <w:r>
              <w:rPr>
                <w:rFonts w:ascii="Arial" w:cs="Arial" w:eastAsia="Arial" w:hAnsi="Arial"/>
                <w:sz w:val="18"/>
                <w:szCs w:val="18"/>
                <w:b w:val="1"/>
                <w:bCs w:val="1"/>
                <w:color w:val="auto"/>
              </w:rPr>
              <w:t>6770</w:t>
            </w:r>
          </w:p>
        </w:tc>
        <w:tc>
          <w:tcPr>
            <w:tcW w:w="2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85-1873463</w:t>
            </w:r>
          </w:p>
        </w:tc>
      </w:tr>
      <w:tr>
        <w:trPr>
          <w:trHeight w:val="27"/>
        </w:trPr>
        <w:tc>
          <w:tcPr>
            <w:tcW w:w="3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164"/>
        </w:trPr>
        <w:tc>
          <w:tcPr>
            <w:tcW w:w="3100" w:type="dxa"/>
            <w:vAlign w:val="bottom"/>
          </w:tcPr>
          <w:p>
            <w:pPr>
              <w:ind w:left="220"/>
              <w:spacing w:after="0"/>
              <w:rPr>
                <w:sz w:val="20"/>
                <w:szCs w:val="20"/>
                <w:color w:val="auto"/>
              </w:rPr>
            </w:pPr>
            <w:r>
              <w:rPr>
                <w:rFonts w:ascii="Arial" w:cs="Arial" w:eastAsia="Arial" w:hAnsi="Arial"/>
                <w:sz w:val="14"/>
                <w:szCs w:val="14"/>
                <w:color w:val="auto"/>
              </w:rPr>
              <w:t>(State or other jurisdiction of incorporation</w:t>
            </w:r>
          </w:p>
        </w:tc>
        <w:tc>
          <w:tcPr>
            <w:tcW w:w="2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9"/>
              </w:rPr>
              <w:t>(Primary Standard Industrial Classification</w:t>
            </w: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9"/>
              </w:rPr>
              <w:t>(I.R.S. Employer</w:t>
            </w:r>
          </w:p>
        </w:tc>
      </w:tr>
      <w:tr>
        <w:trPr>
          <w:trHeight w:val="196"/>
        </w:trPr>
        <w:tc>
          <w:tcPr>
            <w:tcW w:w="3320" w:type="dxa"/>
            <w:vAlign w:val="bottom"/>
            <w:gridSpan w:val="2"/>
          </w:tcPr>
          <w:p>
            <w:pPr>
              <w:jc w:val="center"/>
              <w:ind w:right="220"/>
              <w:spacing w:after="0"/>
              <w:rPr>
                <w:sz w:val="20"/>
                <w:szCs w:val="20"/>
                <w:color w:val="auto"/>
              </w:rPr>
            </w:pPr>
            <w:r>
              <w:rPr>
                <w:rFonts w:ascii="Arial" w:cs="Arial" w:eastAsia="Arial" w:hAnsi="Arial"/>
                <w:sz w:val="14"/>
                <w:szCs w:val="14"/>
                <w:color w:val="auto"/>
              </w:rPr>
              <w:t>or organization)</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Code Number)</w:t>
            </w:r>
          </w:p>
        </w:tc>
        <w:tc>
          <w:tcPr>
            <w:tcW w:w="3100" w:type="dxa"/>
            <w:vAlign w:val="bottom"/>
          </w:tcPr>
          <w:p>
            <w:pPr>
              <w:jc w:val="center"/>
              <w:spacing w:after="0"/>
              <w:rPr>
                <w:sz w:val="20"/>
                <w:szCs w:val="20"/>
                <w:color w:val="auto"/>
              </w:rPr>
            </w:pPr>
            <w:r>
              <w:rPr>
                <w:rFonts w:ascii="Arial" w:cs="Arial" w:eastAsia="Arial" w:hAnsi="Arial"/>
                <w:sz w:val="14"/>
                <w:szCs w:val="14"/>
                <w:color w:val="auto"/>
              </w:rPr>
              <w:t>Identification Number)</w:t>
            </w:r>
          </w:p>
        </w:tc>
      </w:tr>
    </w:tbl>
    <w:p>
      <w:pPr>
        <w:spacing w:after="0" w:line="18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Floor</w:t>
      </w:r>
    </w:p>
    <w:p>
      <w:pPr>
        <w:ind w:left="4580"/>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(646) 465-9000</w:t>
      </w:r>
    </w:p>
    <w:p>
      <w:pPr>
        <w:spacing w:after="0" w:line="31"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89535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Jonas Grossman</w:t>
      </w:r>
    </w:p>
    <w:p>
      <w:pPr>
        <w:jc w:val="center"/>
        <w:ind w:right="-459"/>
        <w:spacing w:after="0" w:line="236" w:lineRule="auto"/>
        <w:rPr>
          <w:sz w:val="20"/>
          <w:szCs w:val="20"/>
          <w:color w:val="auto"/>
        </w:rPr>
      </w:pPr>
      <w:r>
        <w:rPr>
          <w:rFonts w:ascii="Arial" w:cs="Arial" w:eastAsia="Arial" w:hAnsi="Arial"/>
          <w:sz w:val="18"/>
          <w:szCs w:val="18"/>
          <w:b w:val="1"/>
          <w:bCs w:val="1"/>
          <w:color w:val="auto"/>
        </w:rPr>
        <w:t>Chief Executive Officer</w:t>
      </w:r>
    </w:p>
    <w:p>
      <w:pPr>
        <w:jc w:val="center"/>
        <w:ind w:right="-459"/>
        <w:spacing w:after="0" w:line="217"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(646) 465-9000</w:t>
      </w:r>
    </w:p>
    <w:p>
      <w:pPr>
        <w:spacing w:after="0" w:line="17" w:lineRule="exact"/>
        <w:rPr>
          <w:sz w:val="24"/>
          <w:szCs w:val="24"/>
          <w:color w:val="auto"/>
        </w:rPr>
      </w:pP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89535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tbl>
      <w:tblPr>
        <w:tblLayout w:type="fixed"/>
        <w:tblInd w:w="1860" w:type="dxa"/>
        <w:tblCellMar>
          <w:top w:w="0" w:type="dxa"/>
          <w:left w:w="0" w:type="dxa"/>
          <w:bottom w:w="0" w:type="dxa"/>
          <w:right w:w="0" w:type="dxa"/>
        </w:tblCellMar>
      </w:tblPr>
      <w:tr>
        <w:trPr>
          <w:trHeight w:val="206"/>
        </w:trPr>
        <w:tc>
          <w:tcPr>
            <w:tcW w:w="2580" w:type="dxa"/>
            <w:vAlign w:val="bottom"/>
          </w:tcPr>
          <w:p>
            <w:pPr>
              <w:spacing w:after="0"/>
              <w:rPr>
                <w:sz w:val="17"/>
                <w:szCs w:val="17"/>
                <w:color w:val="auto"/>
              </w:rPr>
            </w:pPr>
          </w:p>
        </w:tc>
        <w:tc>
          <w:tcPr>
            <w:tcW w:w="4460" w:type="dxa"/>
            <w:vAlign w:val="bottom"/>
          </w:tcPr>
          <w:p>
            <w:pPr>
              <w:ind w:left="580"/>
              <w:spacing w:after="0"/>
              <w:rPr>
                <w:sz w:val="20"/>
                <w:szCs w:val="20"/>
                <w:color w:val="auto"/>
              </w:rPr>
            </w:pPr>
            <w:r>
              <w:rPr>
                <w:rFonts w:ascii="Arial" w:cs="Arial" w:eastAsia="Arial" w:hAnsi="Arial"/>
                <w:sz w:val="16"/>
                <w:szCs w:val="16"/>
                <w:i w:val="1"/>
                <w:iCs w:val="1"/>
                <w:color w:val="auto"/>
              </w:rPr>
              <w:t>Copies to:</w:t>
            </w:r>
          </w:p>
        </w:tc>
      </w:tr>
      <w:tr>
        <w:trPr>
          <w:trHeight w:val="217"/>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Ari Edelman, Esq.</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8"/>
              </w:rPr>
              <w:t>Alan I. Annex, Esq.</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C. Craig Lilly, Esq.</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3"/>
              </w:rPr>
              <w:t>Jason T. Simon, Esq.</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Reed Smith LLP</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91"/>
              </w:rPr>
              <w:t>Greenberg Traurig, LLP</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4"/>
              </w:rPr>
              <w:t>599 Lexington Avenue</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4"/>
              </w:rPr>
              <w:t>1750 Tysons Blvd., Suite 1000</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New York, New York</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9"/>
              </w:rPr>
              <w:t>McLean, VA 22102</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10022 (212) 521-5400</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7"/>
              </w:rPr>
              <w:t>(703) 749-1300</w:t>
            </w:r>
          </w:p>
        </w:tc>
      </w:tr>
      <w:tr>
        <w:trPr>
          <w:trHeight w:val="234"/>
        </w:trPr>
        <w:tc>
          <w:tcPr>
            <w:tcW w:w="2580" w:type="dxa"/>
            <w:vAlign w:val="bottom"/>
          </w:tcPr>
          <w:p>
            <w:pPr>
              <w:jc w:val="center"/>
              <w:ind w:right="470"/>
              <w:spacing w:after="0"/>
              <w:rPr>
                <w:sz w:val="20"/>
                <w:szCs w:val="20"/>
                <w:color w:val="auto"/>
              </w:rPr>
            </w:pPr>
            <w:r>
              <w:rPr>
                <w:rFonts w:ascii="Arial" w:cs="Arial" w:eastAsia="Arial" w:hAnsi="Arial"/>
                <w:sz w:val="18"/>
                <w:szCs w:val="18"/>
                <w:b w:val="1"/>
                <w:bCs w:val="1"/>
                <w:color w:val="auto"/>
                <w:w w:val="86"/>
              </w:rPr>
              <w:t>(212) 521-5450 — Facsimile</w:t>
            </w:r>
          </w:p>
        </w:tc>
        <w:tc>
          <w:tcPr>
            <w:tcW w:w="4460" w:type="dxa"/>
            <w:vAlign w:val="bottom"/>
          </w:tcPr>
          <w:p>
            <w:pPr>
              <w:jc w:val="center"/>
              <w:ind w:left="2251"/>
              <w:spacing w:after="0"/>
              <w:rPr>
                <w:sz w:val="20"/>
                <w:szCs w:val="20"/>
                <w:color w:val="auto"/>
              </w:rPr>
            </w:pPr>
            <w:r>
              <w:rPr>
                <w:rFonts w:ascii="Arial" w:cs="Arial" w:eastAsia="Arial" w:hAnsi="Arial"/>
                <w:sz w:val="18"/>
                <w:szCs w:val="18"/>
                <w:b w:val="1"/>
                <w:bCs w:val="1"/>
                <w:color w:val="auto"/>
                <w:w w:val="85"/>
              </w:rPr>
              <w:t>(703) 749-1301 — Facsimile</w:t>
            </w:r>
          </w:p>
        </w:tc>
      </w:tr>
    </w:tbl>
    <w:p>
      <w:pPr>
        <w:spacing w:after="0" w:line="189" w:lineRule="exact"/>
        <w:rPr>
          <w:sz w:val="24"/>
          <w:szCs w:val="24"/>
          <w:color w:val="auto"/>
        </w:rPr>
      </w:pPr>
    </w:p>
    <w:p>
      <w:pPr>
        <w:ind w:left="8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offering.</w:t>
      </w:r>
    </w:p>
    <w:p>
      <w:pPr>
        <w:spacing w:after="0" w:line="38" w:lineRule="exact"/>
        <w:rPr>
          <w:sz w:val="24"/>
          <w:szCs w:val="24"/>
          <w:color w:val="auto"/>
        </w:rPr>
      </w:pPr>
    </w:p>
    <w:p>
      <w:pPr>
        <w:ind w:left="500" w:right="260" w:firstLine="36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ind w:left="500" w:right="160" w:firstLine="3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0" w:firstLine="360"/>
        <w:spacing w:after="0" w:line="196"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60" w:firstLine="360"/>
        <w:spacing w:after="0" w:line="192"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500" w:right="320" w:firstLine="360"/>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169"/>
        </w:trPr>
        <w:tc>
          <w:tcPr>
            <w:tcW w:w="2000" w:type="dxa"/>
            <w:vAlign w:val="bottom"/>
          </w:tcPr>
          <w:p>
            <w:pPr>
              <w:spacing w:after="0" w:line="169" w:lineRule="exact"/>
              <w:rPr>
                <w:sz w:val="20"/>
                <w:szCs w:val="20"/>
                <w:color w:val="auto"/>
              </w:rPr>
            </w:pPr>
            <w:r>
              <w:rPr>
                <w:rFonts w:ascii="Arial" w:cs="Arial" w:eastAsia="Arial" w:hAnsi="Arial"/>
                <w:sz w:val="16"/>
                <w:szCs w:val="16"/>
                <w:color w:val="auto"/>
              </w:rPr>
              <w:t>Large accelerated filer</w:t>
            </w:r>
          </w:p>
        </w:tc>
        <w:tc>
          <w:tcPr>
            <w:tcW w:w="18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160"/>
              <w:spacing w:after="0" w:line="169" w:lineRule="exact"/>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32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left="500" w:right="660" w:firstLine="36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219710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50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0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58"/>
        </w:trPr>
        <w:tc>
          <w:tcPr>
            <w:tcW w:w="50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Being</w:t>
            </w:r>
          </w:p>
        </w:tc>
        <w:tc>
          <w:tcPr>
            <w:tcW w:w="14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13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6"/>
              </w:rPr>
              <w:t>Price per Security</w:t>
            </w:r>
            <w:r>
              <w:rPr>
                <w:rFonts w:ascii="Arial" w:cs="Arial" w:eastAsia="Arial" w:hAnsi="Arial"/>
                <w:sz w:val="21"/>
                <w:szCs w:val="21"/>
                <w:b w:val="1"/>
                <w:bCs w:val="1"/>
                <w:color w:val="auto"/>
                <w:w w:val="86"/>
                <w:vertAlign w:val="superscript"/>
              </w:rPr>
              <w:t>(1)</w:t>
            </w:r>
          </w:p>
        </w:tc>
        <w:tc>
          <w:tcPr>
            <w:tcW w:w="136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0"/>
                <w:vertAlign w:val="subscript"/>
              </w:rPr>
              <w:t>Price</w:t>
            </w:r>
            <w:r>
              <w:rPr>
                <w:rFonts w:ascii="Arial" w:cs="Arial" w:eastAsia="Arial" w:hAnsi="Arial"/>
                <w:sz w:val="10"/>
                <w:szCs w:val="10"/>
                <w:b w:val="1"/>
                <w:bCs w:val="1"/>
                <w:color w:val="auto"/>
                <w:w w:val="80"/>
              </w:rPr>
              <w:t>(1)(2)</w:t>
            </w:r>
          </w:p>
        </w:tc>
        <w:tc>
          <w:tcPr>
            <w:tcW w:w="100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00"/>
        </w:trPr>
        <w:tc>
          <w:tcPr>
            <w:tcW w:w="50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Units, each consisting of one share of common stock, $0.0001 par value</w:t>
            </w:r>
          </w:p>
        </w:tc>
        <w:tc>
          <w:tcPr>
            <w:tcW w:w="96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000" w:type="dxa"/>
            <w:vAlign w:val="bottom"/>
            <w:tcBorders>
              <w:right w:val="single" w:sz="8" w:color="auto"/>
            </w:tcBorders>
            <w:shd w:val="clear" w:color="auto" w:fill="CCEEFF"/>
          </w:tcPr>
          <w:p>
            <w:pPr>
              <w:ind w:left="160"/>
              <w:spacing w:after="0" w:line="158" w:lineRule="exact"/>
              <w:rPr>
                <w:sz w:val="20"/>
                <w:szCs w:val="20"/>
                <w:color w:val="auto"/>
              </w:rPr>
            </w:pPr>
            <w:r>
              <w:rPr>
                <w:rFonts w:ascii="Arial" w:cs="Arial" w:eastAsia="Arial" w:hAnsi="Arial"/>
                <w:sz w:val="16"/>
                <w:szCs w:val="16"/>
                <w:color w:val="auto"/>
                <w:w w:val="99"/>
              </w:rPr>
              <w:t>and three-quarters of one redeemable warrant entitling the holder to</w:t>
            </w:r>
          </w:p>
        </w:tc>
        <w:tc>
          <w:tcPr>
            <w:tcW w:w="96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360" w:type="dxa"/>
            <w:vAlign w:val="bottom"/>
            <w:tcBorders>
              <w:right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auto"/>
              <w:right w:val="single" w:sz="8" w:color="auto"/>
            </w:tcBorders>
            <w:shd w:val="clear" w:color="auto" w:fill="CCEEFF"/>
          </w:tcPr>
          <w:p>
            <w:pPr>
              <w:ind w:left="160"/>
              <w:spacing w:after="0" w:line="270" w:lineRule="exact"/>
              <w:rPr>
                <w:sz w:val="20"/>
                <w:szCs w:val="20"/>
                <w:color w:val="auto"/>
              </w:rPr>
            </w:pPr>
            <w:r>
              <w:rPr>
                <w:rFonts w:ascii="Arial" w:cs="Arial" w:eastAsia="Arial" w:hAnsi="Arial"/>
                <w:sz w:val="16"/>
                <w:szCs w:val="16"/>
                <w:color w:val="auto"/>
              </w:rPr>
              <w:t>purchase one share of common stock</w:t>
            </w:r>
            <w:r>
              <w:rPr>
                <w:rFonts w:ascii="Arial" w:cs="Arial" w:eastAsia="Arial" w:hAnsi="Arial"/>
                <w:sz w:val="25"/>
                <w:szCs w:val="25"/>
                <w:color w:val="auto"/>
                <w:vertAlign w:val="superscript"/>
              </w:rPr>
              <w:t>(2)</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11,500,000</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$10.00</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$115,000,000</w:t>
            </w:r>
          </w:p>
        </w:tc>
        <w:tc>
          <w:tcPr>
            <w:tcW w:w="1000" w:type="dxa"/>
            <w:vAlign w:val="bottom"/>
            <w:tcBorders>
              <w:bottom w:val="single" w:sz="8" w:color="auto"/>
            </w:tcBorders>
            <w:shd w:val="clear" w:color="auto" w:fill="CCEEFF"/>
          </w:tcPr>
          <w:p>
            <w:pPr>
              <w:jc w:val="center"/>
              <w:ind w:left="7"/>
              <w:spacing w:after="0"/>
              <w:rPr>
                <w:sz w:val="20"/>
                <w:szCs w:val="20"/>
                <w:color w:val="auto"/>
              </w:rPr>
            </w:pPr>
            <w:r>
              <w:rPr>
                <w:rFonts w:ascii="Arial" w:cs="Arial" w:eastAsia="Arial" w:hAnsi="Arial"/>
                <w:sz w:val="16"/>
                <w:szCs w:val="16"/>
                <w:color w:val="auto"/>
                <w:w w:val="94"/>
              </w:rPr>
              <w:t>$12,546.50</w:t>
            </w:r>
          </w:p>
        </w:tc>
        <w:tc>
          <w:tcPr>
            <w:tcW w:w="0" w:type="dxa"/>
            <w:vAlign w:val="bottom"/>
          </w:tcPr>
          <w:p>
            <w:pPr>
              <w:spacing w:after="0"/>
              <w:rPr>
                <w:sz w:val="1"/>
                <w:szCs w:val="1"/>
                <w:color w:val="auto"/>
              </w:rPr>
            </w:pPr>
          </w:p>
        </w:tc>
      </w:tr>
      <w:tr>
        <w:trPr>
          <w:trHeight w:val="169"/>
        </w:trPr>
        <w:tc>
          <w:tcPr>
            <w:tcW w:w="5000" w:type="dxa"/>
            <w:vAlign w:val="bottom"/>
            <w:tcBorders>
              <w:right w:val="single" w:sz="8" w:color="auto"/>
            </w:tcBorders>
          </w:tcPr>
          <w:p>
            <w:pPr>
              <w:spacing w:after="0" w:line="169" w:lineRule="exact"/>
              <w:rPr>
                <w:sz w:val="20"/>
                <w:szCs w:val="20"/>
                <w:color w:val="auto"/>
              </w:rPr>
            </w:pPr>
            <w:r>
              <w:rPr>
                <w:rFonts w:ascii="Arial" w:cs="Arial" w:eastAsia="Arial" w:hAnsi="Arial"/>
                <w:sz w:val="16"/>
                <w:szCs w:val="16"/>
                <w:color w:val="auto"/>
              </w:rPr>
              <w:t>Shares of common stock, $0.0001 par value, included as part of</w:t>
            </w:r>
          </w:p>
        </w:tc>
        <w:tc>
          <w:tcPr>
            <w:tcW w:w="9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auto"/>
              <w:right w:val="single" w:sz="8" w:color="auto"/>
            </w:tcBorders>
          </w:tcPr>
          <w:p>
            <w:pPr>
              <w:ind w:left="160"/>
              <w:spacing w:after="0" w:line="270" w:lineRule="exact"/>
              <w:rPr>
                <w:sz w:val="20"/>
                <w:szCs w:val="20"/>
                <w:color w:val="auto"/>
              </w:rPr>
            </w:pPr>
            <w:r>
              <w:rPr>
                <w:rFonts w:ascii="Arial" w:cs="Arial" w:eastAsia="Arial" w:hAnsi="Arial"/>
                <w:sz w:val="16"/>
                <w:szCs w:val="16"/>
                <w:color w:val="auto"/>
              </w:rPr>
              <w:t>the units</w:t>
            </w:r>
            <w:r>
              <w:rPr>
                <w:rFonts w:ascii="Arial" w:cs="Arial" w:eastAsia="Arial" w:hAnsi="Arial"/>
                <w:sz w:val="25"/>
                <w:szCs w:val="25"/>
                <w:color w:val="auto"/>
                <w:vertAlign w:val="superscript"/>
              </w:rPr>
              <w:t>(3)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11,500,000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7"/>
              <w:spacing w:after="0" w:line="269" w:lineRule="exact"/>
              <w:rPr>
                <w:sz w:val="20"/>
                <w:szCs w:val="20"/>
                <w:color w:val="auto"/>
              </w:rPr>
            </w:pPr>
            <w:r>
              <w:rPr>
                <w:rFonts w:ascii="Arial" w:cs="Arial" w:eastAsia="Arial" w:hAnsi="Arial"/>
                <w:sz w:val="31"/>
                <w:szCs w:val="31"/>
                <w:color w:val="auto"/>
                <w:w w:val="90"/>
                <w:vertAlign w:val="subscript"/>
              </w:rPr>
              <w:t>—</w:t>
            </w:r>
            <w:r>
              <w:rPr>
                <w:rFonts w:ascii="Arial" w:cs="Arial" w:eastAsia="Arial" w:hAnsi="Arial"/>
                <w:sz w:val="12"/>
                <w:szCs w:val="12"/>
                <w:color w:val="auto"/>
                <w:w w:val="90"/>
              </w:rPr>
              <w:t>(4)</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auto"/>
              <w:right w:val="single" w:sz="8" w:color="auto"/>
            </w:tcBorders>
            <w:shd w:val="clear" w:color="auto" w:fill="CCEEFF"/>
          </w:tcPr>
          <w:p>
            <w:pPr>
              <w:spacing w:after="0" w:line="263" w:lineRule="exact"/>
              <w:rPr>
                <w:sz w:val="20"/>
                <w:szCs w:val="20"/>
                <w:color w:val="auto"/>
              </w:rPr>
            </w:pPr>
            <w:r>
              <w:rPr>
                <w:rFonts w:ascii="Arial" w:cs="Arial" w:eastAsia="Arial" w:hAnsi="Arial"/>
                <w:sz w:val="16"/>
                <w:szCs w:val="16"/>
                <w:color w:val="auto"/>
              </w:rPr>
              <w:t>Redeemable warrants included as part of the units</w:t>
            </w:r>
            <w:r>
              <w:rPr>
                <w:rFonts w:ascii="Arial" w:cs="Arial" w:eastAsia="Arial" w:hAnsi="Arial"/>
                <w:sz w:val="25"/>
                <w:szCs w:val="25"/>
                <w:color w:val="auto"/>
                <w:vertAlign w:val="superscript"/>
              </w:rPr>
              <w:t>(3)</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8,625,000</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center"/>
              <w:ind w:left="7"/>
              <w:spacing w:after="0" w:line="264" w:lineRule="exact"/>
              <w:rPr>
                <w:sz w:val="20"/>
                <w:szCs w:val="20"/>
                <w:color w:val="auto"/>
              </w:rPr>
            </w:pPr>
            <w:r>
              <w:rPr>
                <w:rFonts w:ascii="Arial" w:cs="Arial" w:eastAsia="Arial" w:hAnsi="Arial"/>
                <w:sz w:val="30"/>
                <w:szCs w:val="30"/>
                <w:color w:val="auto"/>
                <w:w w:val="92"/>
                <w:vertAlign w:val="subscript"/>
              </w:rPr>
              <w:t>—</w:t>
            </w:r>
            <w:r>
              <w:rPr>
                <w:rFonts w:ascii="Arial" w:cs="Arial" w:eastAsia="Arial" w:hAnsi="Arial"/>
                <w:sz w:val="12"/>
                <w:szCs w:val="12"/>
                <w:color w:val="auto"/>
                <w:w w:val="92"/>
              </w:rPr>
              <w:t>(4)</w:t>
            </w:r>
          </w:p>
        </w:tc>
        <w:tc>
          <w:tcPr>
            <w:tcW w:w="0" w:type="dxa"/>
            <w:vAlign w:val="bottom"/>
          </w:tcPr>
          <w:p>
            <w:pPr>
              <w:spacing w:after="0"/>
              <w:rPr>
                <w:sz w:val="1"/>
                <w:szCs w:val="1"/>
                <w:color w:val="auto"/>
              </w:rPr>
            </w:pPr>
          </w:p>
        </w:tc>
      </w:tr>
      <w:tr>
        <w:trPr>
          <w:trHeight w:val="200"/>
        </w:trPr>
        <w:tc>
          <w:tcPr>
            <w:tcW w:w="50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Shares of common stock underlying the redeemable warrants included</w:t>
            </w:r>
          </w:p>
        </w:tc>
        <w:tc>
          <w:tcPr>
            <w:tcW w:w="9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vMerge w:val="restart"/>
          </w:tcPr>
          <w:p>
            <w:pPr>
              <w:jc w:val="center"/>
              <w:ind w:left="27"/>
              <w:spacing w:after="0"/>
              <w:rPr>
                <w:sz w:val="20"/>
                <w:szCs w:val="20"/>
                <w:color w:val="auto"/>
              </w:rPr>
            </w:pPr>
            <w:r>
              <w:rPr>
                <w:rFonts w:ascii="Arial" w:cs="Arial" w:eastAsia="Arial" w:hAnsi="Arial"/>
                <w:sz w:val="16"/>
                <w:szCs w:val="16"/>
                <w:color w:val="auto"/>
                <w:w w:val="89"/>
              </w:rPr>
              <w:t>10,821.36</w:t>
            </w:r>
            <w:r>
              <w:rPr>
                <w:rFonts w:ascii="Arial" w:cs="Arial" w:eastAsia="Arial" w:hAnsi="Arial"/>
                <w:sz w:val="25"/>
                <w:szCs w:val="25"/>
                <w:color w:val="auto"/>
                <w:w w:val="89"/>
                <w:vertAlign w:val="superscript"/>
              </w:rPr>
              <w:t>(5)</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as part of the units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8,625,000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11.50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99,187,500</w:t>
            </w: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right w:val="single" w:sz="8" w:color="auto"/>
            </w:tcBorders>
            <w:shd w:val="clear" w:color="auto" w:fill="CCEEFF"/>
          </w:tcPr>
          <w:p>
            <w:pPr>
              <w:spacing w:after="0"/>
              <w:rPr>
                <w:sz w:val="23"/>
                <w:szCs w:val="23"/>
                <w:color w:val="auto"/>
              </w:rPr>
            </w:pPr>
          </w:p>
        </w:tc>
        <w:tc>
          <w:tcPr>
            <w:tcW w:w="1400" w:type="dxa"/>
            <w:vAlign w:val="bottom"/>
            <w:tcBorders>
              <w:bottom w:val="single" w:sz="8" w:color="auto"/>
              <w:right w:val="single" w:sz="8" w:color="auto"/>
            </w:tcBorders>
            <w:shd w:val="clear" w:color="auto" w:fill="CCEEFF"/>
          </w:tcPr>
          <w:p>
            <w:pPr>
              <w:spacing w:after="0"/>
              <w:rPr>
                <w:sz w:val="23"/>
                <w:szCs w:val="23"/>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$214,187,500.00</w:t>
            </w:r>
          </w:p>
        </w:tc>
        <w:tc>
          <w:tcPr>
            <w:tcW w:w="1000" w:type="dxa"/>
            <w:vAlign w:val="bottom"/>
            <w:tcBorders>
              <w:bottom w:val="single" w:sz="8" w:color="auto"/>
            </w:tcBorders>
            <w:shd w:val="clear" w:color="auto" w:fill="CCEEFF"/>
          </w:tcPr>
          <w:p>
            <w:pPr>
              <w:jc w:val="center"/>
              <w:ind w:left="7"/>
              <w:spacing w:after="0" w:line="250" w:lineRule="exact"/>
              <w:rPr>
                <w:sz w:val="20"/>
                <w:szCs w:val="20"/>
                <w:color w:val="auto"/>
              </w:rPr>
            </w:pPr>
            <w:r>
              <w:rPr>
                <w:rFonts w:ascii="Arial" w:cs="Arial" w:eastAsia="Arial" w:hAnsi="Arial"/>
                <w:sz w:val="16"/>
                <w:szCs w:val="16"/>
                <w:color w:val="auto"/>
                <w:w w:val="91"/>
              </w:rPr>
              <w:t>$23,367.86</w:t>
            </w:r>
            <w:r>
              <w:rPr>
                <w:rFonts w:ascii="Arial" w:cs="Arial" w:eastAsia="Arial" w:hAnsi="Arial"/>
                <w:sz w:val="25"/>
                <w:szCs w:val="25"/>
                <w:color w:val="auto"/>
                <w:w w:val="91"/>
                <w:vertAlign w:val="superscript"/>
              </w:rPr>
              <w:t>(6)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860" w:hanging="368"/>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457(o) under the Securities Act of 1933, as amended.</w:t>
      </w:r>
    </w:p>
    <w:p>
      <w:pPr>
        <w:spacing w:after="0" w:line="57" w:lineRule="exact"/>
        <w:rPr>
          <w:rFonts w:ascii="Arial" w:cs="Arial" w:eastAsia="Arial" w:hAnsi="Arial"/>
          <w:sz w:val="15"/>
          <w:szCs w:val="15"/>
          <w:color w:val="auto"/>
        </w:rPr>
      </w:pPr>
    </w:p>
    <w:p>
      <w:pPr>
        <w:jc w:val="both"/>
        <w:ind w:left="860" w:right="100" w:hanging="368"/>
        <w:spacing w:after="0" w:line="243"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21" w:lineRule="exact"/>
        <w:rPr>
          <w:rFonts w:ascii="Arial" w:cs="Arial" w:eastAsia="Arial" w:hAnsi="Arial"/>
          <w:sz w:val="16"/>
          <w:szCs w:val="16"/>
          <w:color w:val="auto"/>
        </w:rPr>
      </w:pPr>
    </w:p>
    <w:p>
      <w:pPr>
        <w:ind w:left="860" w:hanging="368"/>
        <w:spacing w:after="0" w:line="258"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spacing w:after="0" w:line="9" w:lineRule="exact"/>
        <w:rPr>
          <w:rFonts w:ascii="Arial" w:cs="Arial" w:eastAsia="Arial" w:hAnsi="Arial"/>
          <w:sz w:val="16"/>
          <w:szCs w:val="16"/>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 under the Securities Act.</w:t>
      </w:r>
    </w:p>
    <w:p>
      <w:pPr>
        <w:spacing w:after="0" w:line="45" w:lineRule="exact"/>
        <w:rPr>
          <w:rFonts w:ascii="Arial" w:cs="Arial" w:eastAsia="Arial" w:hAnsi="Arial"/>
          <w:sz w:val="16"/>
          <w:szCs w:val="16"/>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457(g), based on the exercise price of the warrants.</w:t>
      </w:r>
    </w:p>
    <w:p>
      <w:pPr>
        <w:spacing w:after="0" w:line="45" w:lineRule="exact"/>
        <w:rPr>
          <w:rFonts w:ascii="Arial" w:cs="Arial" w:eastAsia="Arial" w:hAnsi="Arial"/>
          <w:sz w:val="16"/>
          <w:szCs w:val="16"/>
          <w:color w:val="auto"/>
        </w:rPr>
      </w:pPr>
    </w:p>
    <w:p>
      <w:pPr>
        <w:ind w:left="860" w:right="340" w:hanging="368"/>
        <w:spacing w:after="0" w:line="269" w:lineRule="auto"/>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As the number of warrants included as part of the units has increased since the filing of Amendment No. 6, the registration fee has increased by $3,607.11. The registrant previously paid $19,760.75, and prior to this Amendment No. 7 paid the additional $3,607.11.</w:t>
      </w:r>
    </w:p>
    <w:p>
      <w:pPr>
        <w:spacing w:after="0" w:line="1" w:lineRule="exact"/>
        <w:rPr>
          <w:sz w:val="20"/>
          <w:szCs w:val="20"/>
          <w:color w:val="auto"/>
        </w:rPr>
      </w:pPr>
    </w:p>
    <w:p>
      <w:pPr>
        <w:ind w:left="500" w:right="100" w:firstLine="360"/>
        <w:spacing w:after="0" w:line="24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21590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46990</wp:posOffset>
            </wp:positionV>
            <wp:extent cx="61893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4011930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131" w:right="1079"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240"/>
          </w:cols>
          <w:pgMar w:left="580" w:top="131" w:right="107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84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or sale is not permitted.</w:t>
            </w:r>
          </w:p>
        </w:tc>
      </w:tr>
      <w:tr>
        <w:trPr>
          <w:trHeight w:val="385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buy these securities in any jurisdiction where the</w:t>
            </w:r>
          </w:p>
        </w:tc>
      </w:tr>
      <w:tr>
        <w:trPr>
          <w:trHeight w:val="85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may not sell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w:t>
            </w:r>
          </w:p>
        </w:tc>
      </w:tr>
      <w:tr>
        <w:trPr>
          <w:trHeight w:val="142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is not</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b w:val="1"/>
          <w:bCs w:val="1"/>
          <w:color w:val="FC0014"/>
        </w:rPr>
        <w:t>PRELIMINARY PROSPECTUS</w:t>
      </w:r>
      <w:r>
        <w:rPr>
          <w:sz w:val="20"/>
          <w:szCs w:val="20"/>
          <w:color w:val="auto"/>
        </w:rPr>
        <w:tab/>
      </w:r>
      <w:r>
        <w:rPr>
          <w:rFonts w:ascii="Arial" w:cs="Arial" w:eastAsia="Arial" w:hAnsi="Arial"/>
          <w:sz w:val="17"/>
          <w:szCs w:val="17"/>
          <w:b w:val="1"/>
          <w:bCs w:val="1"/>
          <w:color w:val="FC0014"/>
        </w:rPr>
        <w:t>SUBJECT TO COMPLETION, DATED AUGUST 5,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CHARDAN NEXTECH ACQUISITION 2 CORP.</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153" w:lineRule="exact"/>
        <w:rPr>
          <w:sz w:val="20"/>
          <w:szCs w:val="20"/>
          <w:color w:val="auto"/>
        </w:rPr>
      </w:pPr>
    </w:p>
    <w:p>
      <w:pPr>
        <w:ind w:right="180" w:firstLine="360"/>
        <w:spacing w:after="0" w:line="257" w:lineRule="auto"/>
        <w:rPr>
          <w:sz w:val="20"/>
          <w:szCs w:val="20"/>
          <w:color w:val="auto"/>
        </w:rPr>
      </w:pPr>
      <w:r>
        <w:rPr>
          <w:rFonts w:ascii="Arial" w:cs="Arial" w:eastAsia="Arial" w:hAnsi="Arial"/>
          <w:sz w:val="17"/>
          <w:szCs w:val="17"/>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94"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three-quarters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23" w:lineRule="exact"/>
        <w:rPr>
          <w:sz w:val="20"/>
          <w:szCs w:val="20"/>
          <w:color w:val="auto"/>
        </w:rPr>
      </w:pPr>
    </w:p>
    <w:p>
      <w:pPr>
        <w:ind w:right="60" w:firstLine="360"/>
        <w:spacing w:after="0" w:line="241"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22" w:lineRule="exact"/>
        <w:rPr>
          <w:sz w:val="20"/>
          <w:szCs w:val="20"/>
          <w:color w:val="auto"/>
        </w:rPr>
      </w:pPr>
    </w:p>
    <w:p>
      <w:pPr>
        <w:ind w:right="60" w:firstLine="360"/>
        <w:spacing w:after="0" w:line="25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93"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Public stockholders will not be offered the opportunity to vote on or redeem their shares in connection with any such extension.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21" w:lineRule="exact"/>
        <w:rPr>
          <w:sz w:val="20"/>
          <w:szCs w:val="20"/>
          <w:color w:val="auto"/>
        </w:rPr>
      </w:pPr>
    </w:p>
    <w:p>
      <w:pPr>
        <w:ind w:right="140" w:firstLine="360"/>
        <w:spacing w:after="0" w:line="241" w:lineRule="auto"/>
        <w:rPr>
          <w:sz w:val="20"/>
          <w:szCs w:val="20"/>
          <w:color w:val="auto"/>
        </w:rPr>
      </w:pPr>
      <w:r>
        <w:rPr>
          <w:rFonts w:ascii="Arial" w:cs="Arial" w:eastAsia="Arial" w:hAnsi="Arial"/>
          <w:sz w:val="18"/>
          <w:szCs w:val="18"/>
          <w:color w:val="auto"/>
        </w:rPr>
        <w:t>Chardan NexTech 2 Warrant Holdings LLC, an affiliate of our sponsor, has committed to purchase 4,200,000 warrants (or up to 4,442,183 warrants depending on the extent to which the underwriters’ over-allotment option is exercised) at a price of approximately $ 0.93 per warrant ($3,902,000 (or up to $4,127,000 depending on the extent to which the underwriters’ over-allotment option is exercised)) in a private placement that will close simultaneously with the closing of this offering.</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23, 2020, our sponsor purchased 1,000,000 shares of common stock for an aggregate purchase price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$25,000. On March 4, 2021, we effected a 2.875-for-1 stock split, resulting in 2,875,000 shares of common stock being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held by our sponsor. Such shares are referred to herein as “founder shares,” which includes an aggregate of up to</w:t>
      </w:r>
    </w:p>
    <w:p>
      <w:pPr>
        <w:spacing w:after="0"/>
        <w:rPr>
          <w:sz w:val="20"/>
          <w:szCs w:val="20"/>
          <w:color w:val="auto"/>
        </w:rPr>
      </w:pPr>
      <w:r>
        <w:rPr>
          <w:rFonts w:ascii="Arial" w:cs="Arial" w:eastAsia="Arial" w:hAnsi="Arial"/>
          <w:sz w:val="17"/>
          <w:szCs w:val="17"/>
          <w:color w:val="auto"/>
        </w:rPr>
        <w:t>375,000 shares that are subject to forfeiture to the extent that the underwriters’ over-allotment option is not exercised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full or in part.</w:t>
      </w:r>
    </w:p>
    <w:p>
      <w:pPr>
        <w:spacing w:after="0" w:line="115" w:lineRule="exact"/>
        <w:rPr>
          <w:sz w:val="20"/>
          <w:szCs w:val="20"/>
          <w:color w:val="auto"/>
        </w:rPr>
      </w:pPr>
    </w:p>
    <w:p>
      <w:pPr>
        <w:ind w:right="60" w:firstLine="360"/>
        <w:spacing w:after="0" w:line="25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235585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131" w:right="1079"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2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99" w:lineRule="exact"/>
        <w:rPr>
          <w:sz w:val="20"/>
          <w:szCs w:val="20"/>
          <w:color w:val="auto"/>
        </w:rPr>
      </w:pPr>
    </w:p>
    <w:p>
      <w:pPr>
        <w:ind w:left="500" w:right="560" w:firstLine="360"/>
        <w:spacing w:after="0" w:line="386"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a high degree of risk.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beginning on page </w:t>
      </w:r>
      <w:hyperlink w:anchor="page33">
        <w:r>
          <w:rPr>
            <w:rFonts w:ascii="Arial" w:cs="Arial" w:eastAsia="Arial" w:hAnsi="Arial"/>
            <w:sz w:val="15"/>
            <w:szCs w:val="15"/>
            <w:b w:val="1"/>
            <w:bCs w:val="1"/>
            <w:u w:val="single" w:color="auto"/>
            <w:color w:val="0000EE"/>
          </w:rPr>
          <w:t>29</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for a discussion of information that should be considered in connection with an investment in our securities.</w:t>
      </w:r>
    </w:p>
    <w:p>
      <w:pPr>
        <w:spacing w:after="0" w:line="16" w:lineRule="exact"/>
        <w:rPr>
          <w:sz w:val="20"/>
          <w:szCs w:val="20"/>
          <w:color w:val="auto"/>
        </w:rPr>
      </w:pPr>
    </w:p>
    <w:p>
      <w:pPr>
        <w:ind w:left="500" w:right="40" w:firstLine="36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Underwriting</w:t>
            </w:r>
          </w:p>
        </w:tc>
        <w:tc>
          <w:tcPr>
            <w:tcW w:w="10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Proceeds,</w:t>
            </w: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Price to</w:t>
            </w:r>
          </w:p>
        </w:tc>
        <w:tc>
          <w:tcPr>
            <w:tcW w:w="11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Discount and</w:t>
            </w:r>
          </w:p>
        </w:tc>
        <w:tc>
          <w:tcPr>
            <w:tcW w:w="100" w:type="dxa"/>
            <w:vAlign w:val="bottom"/>
          </w:tcPr>
          <w:p>
            <w:pPr>
              <w:spacing w:after="0"/>
              <w:rPr>
                <w:sz w:val="13"/>
                <w:szCs w:val="13"/>
                <w:color w:val="auto"/>
              </w:rPr>
            </w:pPr>
          </w:p>
        </w:tc>
        <w:tc>
          <w:tcPr>
            <w:tcW w:w="8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Before</w:t>
            </w:r>
          </w:p>
        </w:tc>
      </w:tr>
      <w:tr>
        <w:trPr>
          <w:trHeight w:val="230"/>
        </w:trPr>
        <w:tc>
          <w:tcPr>
            <w:tcW w:w="6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Public</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4"/>
                <w:szCs w:val="14"/>
                <w:b w:val="1"/>
                <w:bCs w:val="1"/>
                <w:color w:val="auto"/>
                <w:w w:val="82"/>
              </w:rPr>
              <w:t>Commissions</w:t>
            </w:r>
            <w:r>
              <w:rPr>
                <w:rFonts w:ascii="Arial" w:cs="Arial" w:eastAsia="Arial" w:hAnsi="Arial"/>
                <w:sz w:val="21"/>
                <w:szCs w:val="21"/>
                <w:b w:val="1"/>
                <w:bCs w:val="1"/>
                <w:color w:val="auto"/>
                <w:w w:val="82"/>
                <w:vertAlign w:val="superscript"/>
              </w:rPr>
              <w:t>(1)</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Expenses, to us</w:t>
            </w: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9.9950</w:t>
            </w:r>
          </w:p>
        </w:tc>
      </w:tr>
      <w:tr>
        <w:trPr>
          <w:trHeight w:val="257"/>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100,000,000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500,000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-333375</wp:posOffset>
            </wp:positionV>
            <wp:extent cx="5589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jc w:val="both"/>
        <w:ind w:left="860" w:right="60" w:hanging="368"/>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98" w:lineRule="exact"/>
        <w:rPr>
          <w:sz w:val="20"/>
          <w:szCs w:val="20"/>
          <w:color w:val="auto"/>
        </w:rPr>
      </w:pPr>
    </w:p>
    <w:p>
      <w:pPr>
        <w:ind w:left="500" w:right="240" w:firstLine="360"/>
        <w:spacing w:after="0" w:line="257" w:lineRule="auto"/>
        <w:rPr>
          <w:sz w:val="20"/>
          <w:szCs w:val="20"/>
          <w:color w:val="auto"/>
        </w:rPr>
      </w:pPr>
      <w:r>
        <w:rPr>
          <w:rFonts w:ascii="Arial" w:cs="Arial" w:eastAsia="Arial" w:hAnsi="Arial"/>
          <w:sz w:val="18"/>
          <w:szCs w:val="18"/>
          <w:color w:val="auto"/>
        </w:rPr>
        <w:t>Upon consummation of the offering, $10.15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20" w:lineRule="exact"/>
        <w:rPr>
          <w:sz w:val="20"/>
          <w:szCs w:val="20"/>
          <w:color w:val="auto"/>
        </w:rPr>
      </w:pPr>
    </w:p>
    <w:p>
      <w:pPr>
        <w:ind w:left="500" w:right="920" w:firstLine="360"/>
        <w:spacing w:after="0" w:line="277" w:lineRule="auto"/>
        <w:rPr>
          <w:sz w:val="20"/>
          <w:szCs w:val="20"/>
          <w:color w:val="auto"/>
        </w:rPr>
      </w:pPr>
      <w:r>
        <w:rPr>
          <w:rFonts w:ascii="Arial" w:cs="Arial" w:eastAsia="Arial" w:hAnsi="Arial"/>
          <w:sz w:val="18"/>
          <w:szCs w:val="18"/>
          <w:color w:val="auto"/>
        </w:rPr>
        <w:t>The underwriters are offering the units on a firm commitment basis. Chardan, acting as the representative of the underwriters, expects to deliver the units to purchasers on or about , 2021.</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48" w:lineRule="exact"/>
        <w:rPr>
          <w:sz w:val="20"/>
          <w:szCs w:val="20"/>
          <w:color w:val="auto"/>
        </w:rPr>
      </w:pPr>
    </w:p>
    <w:p>
      <w:pPr>
        <w:ind w:left="4860"/>
        <w:spacing w:after="0"/>
        <w:rPr>
          <w:sz w:val="20"/>
          <w:szCs w:val="20"/>
          <w:color w:val="auto"/>
        </w:rPr>
      </w:pPr>
      <w:r>
        <w:rPr>
          <w:rFonts w:ascii="Arial" w:cs="Arial" w:eastAsia="Arial" w:hAnsi="Arial"/>
          <w:sz w:val="29"/>
          <w:szCs w:val="29"/>
          <w:b w:val="1"/>
          <w:bCs w:val="1"/>
          <w:i w:val="1"/>
          <w:iCs w:val="1"/>
          <w:color w:val="auto"/>
        </w:rPr>
        <w:t>Chardan</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3742055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7880" w:type="dxa"/>
            <w:vAlign w:val="bottom"/>
            <w:gridSpan w:val="22"/>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SUMMARY FINANCIAL DATA</w:t>
              </w:r>
            </w:hyperlink>
          </w:p>
        </w:tc>
        <w:tc>
          <w:tcPr>
            <w:tcW w:w="30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2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90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CAUTIONARY NOTE REGARDING FORWARD-LOOKING STATEMENTS AND RISK</w:t>
              </w:r>
            </w:hyperlink>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21"/>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FACTOR SUMMARY</w:t>
              </w:r>
            </w:hyperlink>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0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640" w:type="dxa"/>
            <w:vAlign w:val="bottom"/>
            <w:gridSpan w:val="9"/>
            <w:shd w:val="clear" w:color="auto" w:fill="CCEEFF"/>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USE OF PROCEEDS</w:t>
              </w:r>
            </w:hyperlink>
          </w:p>
        </w:tc>
        <w:tc>
          <w:tcPr>
            <w:tcW w:w="6240" w:type="dxa"/>
            <w:vAlign w:val="bottom"/>
            <w:gridSpan w:val="13"/>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64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6240" w:type="dxa"/>
            <w:vAlign w:val="bottom"/>
            <w:gridSpan w:val="13"/>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80" w:type="dxa"/>
            <w:vAlign w:val="bottom"/>
            <w:gridSpan w:val="22"/>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30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920" w:type="dxa"/>
            <w:vAlign w:val="bottom"/>
            <w:tcBorders>
              <w:bottom w:val="single" w:sz="8" w:color="0000EE"/>
            </w:tcBorders>
            <w:gridSpan w:val="21"/>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w:t>
              </w:r>
            </w:hyperlink>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60" w:type="dxa"/>
            <w:vAlign w:val="bottom"/>
            <w:gridSpan w:val="10"/>
            <w:shd w:val="clear" w:color="auto" w:fill="CCEEFF"/>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RESULTS OF OPERATIONS</w:t>
              </w:r>
            </w:hyperlink>
          </w:p>
        </w:tc>
        <w:tc>
          <w:tcPr>
            <w:tcW w:w="5440" w:type="dxa"/>
            <w:vAlign w:val="bottom"/>
            <w:gridSpan w:val="11"/>
            <w:shd w:val="clear" w:color="auto" w:fill="CCEEFF"/>
          </w:tcPr>
          <w:p>
            <w:pPr>
              <w:spacing w:after="0"/>
              <w:rPr>
                <w:sz w:val="17"/>
                <w:szCs w:val="17"/>
                <w:color w:val="auto"/>
              </w:rPr>
            </w:pPr>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PROPOSED BUSINESS</w:t>
              </w:r>
            </w:hyperlink>
          </w:p>
        </w:tc>
        <w:tc>
          <w:tcPr>
            <w:tcW w:w="300" w:type="dxa"/>
            <w:vAlign w:val="bottom"/>
            <w:gridSpan w:val="5"/>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340" w:type="dxa"/>
            <w:vAlign w:val="bottom"/>
            <w:gridSpan w:val="6"/>
            <w:shd w:val="clear" w:color="auto" w:fill="CCEEFF"/>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6540" w:type="dxa"/>
            <w:vAlign w:val="bottom"/>
            <w:gridSpan w:val="16"/>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111</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STOCKHOLDERS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123</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8"/>
              </w:rPr>
            </w:pPr>
            <w:hyperlink w:anchor="page130">
              <w:r>
                <w:rPr>
                  <w:rFonts w:ascii="Arial" w:cs="Arial" w:eastAsia="Arial" w:hAnsi="Arial"/>
                  <w:sz w:val="18"/>
                  <w:szCs w:val="18"/>
                  <w:color w:val="0000EE"/>
                  <w:w w:val="98"/>
                </w:rPr>
                <w:t>CERTAIN RELATIONSHIPS AND RELATED PARTY TRANSACTIONS</w:t>
              </w:r>
            </w:hyperlink>
          </w:p>
        </w:tc>
        <w:tc>
          <w:tcPr>
            <w:tcW w:w="2220" w:type="dxa"/>
            <w:vAlign w:val="bottom"/>
            <w:tcBorders>
              <w:bottom w:val="single" w:sz="8" w:color="CCEEFF"/>
            </w:tcBorders>
            <w:gridSpan w:val="3"/>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DESCRIPTION OF SECURITIES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130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9"/>
              </w:rPr>
            </w:pPr>
            <w:hyperlink w:anchor="page148">
              <w:r>
                <w:rPr>
                  <w:rFonts w:ascii="Arial" w:cs="Arial" w:eastAsia="Arial" w:hAnsi="Arial"/>
                  <w:sz w:val="18"/>
                  <w:szCs w:val="18"/>
                  <w:color w:val="0000EE"/>
                  <w:w w:val="99"/>
                </w:rPr>
                <w:t>U.S. FEDERAL INCOME TAX CONSIDERATIONS</w:t>
              </w:r>
            </w:hyperlink>
          </w:p>
        </w:tc>
        <w:tc>
          <w:tcPr>
            <w:tcW w:w="3820" w:type="dxa"/>
            <w:vAlign w:val="bottom"/>
            <w:tcBorders>
              <w:bottom w:val="single" w:sz="8" w:color="CCEEFF"/>
            </w:tcBorders>
            <w:gridSpan w:val="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UNDERWRITING (CONFLICTS OF INTEREST)</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57">
              <w:r>
                <w:rPr>
                  <w:rFonts w:ascii="Arial" w:cs="Arial" w:eastAsia="Arial" w:hAnsi="Arial"/>
                  <w:sz w:val="18"/>
                  <w:szCs w:val="18"/>
                  <w:color w:val="0000EE"/>
                  <w:w w:val="93"/>
                </w:rPr>
                <w:t>153</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LEGAL MATTERS</w:t>
              </w:r>
            </w:hyperlink>
          </w:p>
        </w:tc>
        <w:tc>
          <w:tcPr>
            <w:tcW w:w="638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EXPERTS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158</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tcBorders>
              <w:bottom w:val="single" w:sz="8" w:color="0000EE"/>
            </w:tcBorders>
            <w:gridSpan w:val="18"/>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WHERE YOU CAN FIND ADDITIONAL INFORMATION</w:t>
              </w:r>
            </w:hyperlink>
          </w:p>
        </w:tc>
        <w:tc>
          <w:tcPr>
            <w:tcW w:w="332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3140" w:type="dxa"/>
            <w:vAlign w:val="bottom"/>
            <w:tcBorders>
              <w:bottom w:val="single" w:sz="8" w:color="0000EE"/>
            </w:tcBorders>
            <w:gridSpan w:val="15"/>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INDEX TO FINANCIAL STATEMENTS</w:t>
              </w:r>
            </w:hyperlink>
          </w:p>
        </w:tc>
        <w:tc>
          <w:tcPr>
            <w:tcW w:w="474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163">
              <w:r>
                <w:rPr>
                  <w:rFonts w:ascii="Arial" w:cs="Arial" w:eastAsia="Arial" w:hAnsi="Arial"/>
                  <w:sz w:val="18"/>
                  <w:szCs w:val="18"/>
                  <w:color w:val="0000EE"/>
                  <w:w w:val="88"/>
                </w:rPr>
                <w:t>F-1</w:t>
              </w:r>
            </w:hyperlink>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-3668395</wp:posOffset>
            </wp:positionV>
            <wp:extent cx="4997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6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816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39" w:firstLine="360"/>
        <w:spacing w:after="0" w:line="241"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81" w:lineRule="exact"/>
        <w:rPr>
          <w:sz w:val="20"/>
          <w:szCs w:val="20"/>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90"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103"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90" w:lineRule="exact"/>
        <w:rPr>
          <w:rFonts w:ascii="Arial" w:cs="Arial" w:eastAsia="Arial" w:hAnsi="Arial"/>
          <w:sz w:val="18"/>
          <w:szCs w:val="18"/>
          <w:color w:val="auto"/>
        </w:rPr>
      </w:pPr>
    </w:p>
    <w:p>
      <w:pPr>
        <w:ind w:left="1820" w:right="479" w:hanging="182"/>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51" w:lineRule="exact"/>
        <w:rPr>
          <w:rFonts w:ascii="Arial" w:cs="Arial" w:eastAsia="Arial" w:hAnsi="Arial"/>
          <w:sz w:val="18"/>
          <w:szCs w:val="18"/>
          <w:color w:val="auto"/>
        </w:rPr>
      </w:pPr>
    </w:p>
    <w:p>
      <w:pPr>
        <w:ind w:left="1820" w:right="839" w:hanging="182"/>
        <w:spacing w:after="0" w:line="30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“initial stockholders” refers to all of our stockholders immediately prior to the date of this prospectus, including our sponsor, officers and directors to the extent they hold founder shares;</w:t>
      </w:r>
    </w:p>
    <w:p>
      <w:pPr>
        <w:spacing w:after="0" w:line="24" w:lineRule="exact"/>
        <w:rPr>
          <w:rFonts w:ascii="Arial" w:cs="Arial" w:eastAsia="Arial" w:hAnsi="Arial"/>
          <w:sz w:val="17"/>
          <w:szCs w:val="17"/>
          <w:color w:val="auto"/>
        </w:rPr>
      </w:pPr>
    </w:p>
    <w:p>
      <w:pPr>
        <w:ind w:left="1820" w:right="7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“insiders” refers to our officers, directors, initial stockholders, and Chardan NexTech 2 Warrant Holdings LLC, an affiliate of our sponsor;</w:t>
      </w:r>
    </w:p>
    <w:p>
      <w:pPr>
        <w:spacing w:after="0" w:line="35"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03"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35"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35" w:lineRule="exact"/>
        <w:rPr>
          <w:rFonts w:ascii="Arial" w:cs="Arial" w:eastAsia="Arial" w:hAnsi="Arial"/>
          <w:sz w:val="18"/>
          <w:szCs w:val="18"/>
          <w:color w:val="auto"/>
        </w:rPr>
      </w:pPr>
    </w:p>
    <w:p>
      <w:pPr>
        <w:ind w:left="1820" w:right="499" w:hanging="182"/>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43" w:lineRule="exact"/>
        <w:rPr>
          <w:rFonts w:ascii="Arial" w:cs="Arial" w:eastAsia="Arial" w:hAnsi="Arial"/>
          <w:sz w:val="17"/>
          <w:szCs w:val="17"/>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90"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48" w:lineRule="exact"/>
        <w:rPr>
          <w:rFonts w:ascii="Arial" w:cs="Arial" w:eastAsia="Arial" w:hAnsi="Arial"/>
          <w:sz w:val="18"/>
          <w:szCs w:val="18"/>
          <w:color w:val="auto"/>
        </w:rPr>
      </w:pPr>
    </w:p>
    <w:p>
      <w:pPr>
        <w:ind w:left="1820" w:right="11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89" w:lineRule="exact"/>
        <w:rPr>
          <w:sz w:val="20"/>
          <w:szCs w:val="20"/>
          <w:color w:val="auto"/>
        </w:rPr>
      </w:pPr>
    </w:p>
    <w:p>
      <w:pPr>
        <w:ind w:left="1280" w:right="559" w:firstLine="360"/>
        <w:spacing w:after="0" w:line="257" w:lineRule="auto"/>
        <w:rPr>
          <w:sz w:val="20"/>
          <w:szCs w:val="20"/>
          <w:color w:val="auto"/>
        </w:rPr>
      </w:pPr>
      <w:r>
        <w:rPr>
          <w:rFonts w:ascii="Arial" w:cs="Arial" w:eastAsia="Arial" w:hAnsi="Arial"/>
          <w:sz w:val="17"/>
          <w:szCs w:val="17"/>
          <w:i w:val="1"/>
          <w:iCs w:val="1"/>
          <w:color w:val="auto"/>
        </w:rPr>
        <w:t>Each unit consists of one share of common stock and three- quarters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108" w:lineRule="exact"/>
        <w:rPr>
          <w:sz w:val="20"/>
          <w:szCs w:val="20"/>
          <w:color w:val="auto"/>
        </w:rPr>
      </w:pPr>
    </w:p>
    <w:p>
      <w:pPr>
        <w:jc w:val="both"/>
        <w:ind w:left="1280" w:right="419" w:firstLine="360"/>
        <w:spacing w:after="0" w:line="248"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14" w:lineRule="exact"/>
        <w:rPr>
          <w:sz w:val="20"/>
          <w:szCs w:val="20"/>
          <w:color w:val="auto"/>
        </w:rPr>
      </w:pPr>
    </w:p>
    <w:p>
      <w:pPr>
        <w:ind w:left="1280" w:right="619" w:firstLine="360"/>
        <w:spacing w:after="0" w:line="248"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1" w:lineRule="exact"/>
        <w:rPr>
          <w:sz w:val="20"/>
          <w:szCs w:val="20"/>
          <w:color w:val="auto"/>
        </w:rPr>
      </w:pPr>
    </w:p>
    <w:p>
      <w:pPr>
        <w:jc w:val="both"/>
        <w:ind w:left="1280" w:right="399" w:firstLine="360"/>
        <w:spacing w:after="0" w:line="270"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80" w:right="419" w:firstLine="360"/>
        <w:spacing w:after="0" w:line="324" w:lineRule="auto"/>
        <w:rPr>
          <w:sz w:val="20"/>
          <w:szCs w:val="20"/>
          <w:color w:val="auto"/>
        </w:rPr>
      </w:pPr>
      <w:r>
        <w:rPr>
          <w:rFonts w:ascii="Arial" w:cs="Arial" w:eastAsia="Arial" w:hAnsi="Arial"/>
          <w:sz w:val="16"/>
          <w:szCs w:val="16"/>
          <w:color w:val="auto"/>
        </w:rPr>
        <w:t>We are a blank check company formed under the laws of the State of Delaware on June 23, 2020. We were formed for the purpose of effecting a merger, capital stock exchange, asset acquisition, stock purchase,</w:t>
      </w:r>
    </w:p>
    <w:p>
      <w:pPr>
        <w:sectPr>
          <w:pgSz w:w="11900" w:h="16838" w:orient="portrait"/>
          <w:cols w:equalWidth="0" w:num="1">
            <w:col w:w="9879"/>
          </w:cols>
          <w:pgMar w:left="580" w:top="131" w:right="1440" w:bottom="1440" w:gutter="0" w:footer="0" w:header="0"/>
        </w:sect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57" w:lineRule="auto"/>
        <w:rPr>
          <w:sz w:val="20"/>
          <w:szCs w:val="20"/>
          <w:color w:val="auto"/>
        </w:rPr>
      </w:pPr>
      <w:r>
        <w:rPr>
          <w:rFonts w:ascii="Arial" w:cs="Arial" w:eastAsia="Arial" w:hAnsi="Arial"/>
          <w:sz w:val="18"/>
          <w:szCs w:val="18"/>
          <w:color w:val="auto"/>
        </w:rPr>
        <w:t>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07"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24" w:lineRule="exact"/>
        <w:rPr>
          <w:sz w:val="20"/>
          <w:szCs w:val="20"/>
          <w:color w:val="auto"/>
        </w:rPr>
      </w:pPr>
    </w:p>
    <w:p>
      <w:pPr>
        <w:jc w:val="both"/>
        <w:ind w:left="1280" w:right="439" w:firstLine="360"/>
        <w:spacing w:after="0" w:line="286"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Opportunity</w:t>
      </w:r>
    </w:p>
    <w:p>
      <w:pPr>
        <w:spacing w:after="0" w:line="162" w:lineRule="exact"/>
        <w:rPr>
          <w:sz w:val="20"/>
          <w:szCs w:val="20"/>
          <w:color w:val="auto"/>
        </w:rPr>
      </w:pPr>
    </w:p>
    <w:p>
      <w:pPr>
        <w:ind w:left="1280" w:right="459" w:firstLine="360"/>
        <w:spacing w:after="0" w:line="269"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98"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162" w:lineRule="exact"/>
        <w:rPr>
          <w:sz w:val="20"/>
          <w:szCs w:val="20"/>
          <w:color w:val="auto"/>
        </w:rPr>
      </w:pPr>
    </w:p>
    <w:p>
      <w:pPr>
        <w:ind w:left="1280" w:right="419" w:firstLine="360"/>
        <w:spacing w:after="0" w:line="275"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management team, led by co-founders Kerry Propper and Jonas Grossman, have a combined 80 years of investment and execution experience. Together with our management team, sponsor,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39"/>
        <w:spacing w:after="0" w:line="263" w:lineRule="auto"/>
        <w:rPr>
          <w:sz w:val="20"/>
          <w:szCs w:val="20"/>
          <w:color w:val="auto"/>
        </w:rPr>
      </w:pPr>
      <w:r>
        <w:rPr>
          <w:rFonts w:ascii="Arial" w:cs="Arial" w:eastAsia="Arial" w:hAnsi="Arial"/>
          <w:sz w:val="18"/>
          <w:szCs w:val="18"/>
          <w:color w:val="auto"/>
        </w:rPr>
        <w:t>and our board of directors, we are confident that the combined experience makes us uniquely situated to identify, source, negotiate and execute an initial business combination with a disruptive technology company.</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144" w:lineRule="exact"/>
        <w:rPr>
          <w:sz w:val="20"/>
          <w:szCs w:val="20"/>
          <w:color w:val="auto"/>
        </w:rPr>
      </w:pPr>
    </w:p>
    <w:p>
      <w:pPr>
        <w:ind w:left="1280" w:right="419" w:firstLine="360"/>
        <w:spacing w:after="0" w:line="272"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10"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500 transactions, including providing underwriting and business combination advisory services to more than 85 special purpose acquisition companies in a variety of industries. Mr. Grossman has been a founder and / or a member of the board of seven special purpose acquisition companies, of which on four he also has served as Chief Executive Officer and President. Since April 2020, Mr. Grossman has served as the President and Chief Executive Officer of Chardan Healthcare Acquisition 2 Corp which announced its merger with Renovacor, Inc in March 2021. He also served as President and Chief Executive Officer of Chardan Healthcare Acquisition Corp. from March 2018 until its merger in October 2019 with BiomX Ltd. (NYSE: PHGE). He is currently a director of BiomX. Mr. Grossman was a founder and director of LifeSci Acquisition Corp. from March 2020 until the close of its business combination with Vincera Pharma, Inc. in December 2020. He has served as a director to Ventoux CCM Acquisition Corp. since December 2020 and CleanTech Acquisition Corp since May 2021. Since July 2020, he has served as Chief Executive Officer and director of Chardan NexTech Acquisition Corp. Previously, from 2001 to 2003, Mr. Grossman worked at Ramius Capital Group, LLC, a global multi-strategy hedge fund where he served as Vice President and Head Trader. Mr. Grossman holds a B.A. in Economics from Cornell University and an M.B.A. from New York University’s Stern School of Business. He has served on the board of directors for UNICEF since December 2016.</w:t>
      </w:r>
    </w:p>
    <w:p>
      <w:pPr>
        <w:spacing w:after="0" w:line="335" w:lineRule="exact"/>
        <w:rPr>
          <w:sz w:val="20"/>
          <w:szCs w:val="20"/>
          <w:color w:val="auto"/>
        </w:rPr>
      </w:pPr>
    </w:p>
    <w:p>
      <w:pPr>
        <w:ind w:left="1280" w:right="459" w:firstLine="360"/>
        <w:spacing w:after="0" w:line="267"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upon the effective date 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Chardan</w:t>
      </w:r>
    </w:p>
    <w:p>
      <w:pPr>
        <w:spacing w:after="0" w:line="158" w:lineRule="exact"/>
        <w:rPr>
          <w:sz w:val="20"/>
          <w:szCs w:val="20"/>
          <w:color w:val="auto"/>
        </w:rPr>
      </w:pPr>
    </w:p>
    <w:p>
      <w:pPr>
        <w:ind w:left="1280" w:right="67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Chardan has an extensive track record in the special purpose acquisition company market as underwriter, sponsor and advisor. Since 2004, Chardan has been lead or co -lead underwriter on 90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13 special purpose acquisition companies, six of which have closed successful business combinations, one of which has announced a business combination, three of which are seeking acquisitions, and three of which are publicly filed.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144" w:lineRule="exact"/>
        <w:rPr>
          <w:sz w:val="20"/>
          <w:szCs w:val="20"/>
          <w:color w:val="auto"/>
        </w:rPr>
      </w:pPr>
    </w:p>
    <w:p>
      <w:pPr>
        <w:ind w:left="1280" w:right="63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103"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18"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spacing w:after="0" w:line="259" w:lineRule="auto"/>
        <w:rPr>
          <w:sz w:val="20"/>
          <w:szCs w:val="20"/>
          <w:color w:val="auto"/>
        </w:rPr>
      </w:pPr>
      <w:r>
        <w:rPr>
          <w:rFonts w:ascii="Arial" w:cs="Arial" w:eastAsia="Arial" w:hAnsi="Arial"/>
          <w:sz w:val="17"/>
          <w:szCs w:val="17"/>
          <w:color w:val="auto"/>
        </w:rPr>
        <w:t>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93" w:lineRule="exact"/>
        <w:rPr>
          <w:sz w:val="20"/>
          <w:szCs w:val="20"/>
          <w:color w:val="auto"/>
        </w:rPr>
      </w:pPr>
    </w:p>
    <w:p>
      <w:pPr>
        <w:ind w:left="1280" w:right="399" w:firstLine="360"/>
        <w:spacing w:after="0" w:line="266" w:lineRule="auto"/>
        <w:rPr>
          <w:sz w:val="20"/>
          <w:szCs w:val="20"/>
          <w:color w:val="auto"/>
        </w:rPr>
      </w:pPr>
      <w:r>
        <w:rPr>
          <w:rFonts w:ascii="Arial" w:cs="Arial" w:eastAsia="Arial" w:hAnsi="Arial"/>
          <w:sz w:val="16"/>
          <w:szCs w:val="16"/>
          <w:b w:val="1"/>
          <w:bCs w:val="1"/>
          <w:i w:val="1"/>
          <w:iCs w:val="1"/>
          <w:color w:val="auto"/>
        </w:rPr>
        <w:t xml:space="preserve">Roderick Hardamon </w:t>
      </w:r>
      <w:r>
        <w:rPr>
          <w:rFonts w:ascii="Arial" w:cs="Arial" w:eastAsia="Arial" w:hAnsi="Arial"/>
          <w:sz w:val="16"/>
          <w:szCs w:val="16"/>
          <w:color w:val="auto"/>
        </w:rPr>
        <w:t>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w:t>
      </w:r>
    </w:p>
    <w:p>
      <w:pPr>
        <w:ind w:left="1280" w:right="499" w:hanging="2"/>
        <w:spacing w:after="0" w:line="237" w:lineRule="auto"/>
        <w:tabs>
          <w:tab w:leader="none" w:pos="154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21" w:lineRule="exact"/>
        <w:rPr>
          <w:sz w:val="20"/>
          <w:szCs w:val="20"/>
          <w:color w:val="auto"/>
        </w:rPr>
      </w:pPr>
    </w:p>
    <w:p>
      <w:pPr>
        <w:ind w:left="1280" w:right="43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 token-based economies, and AR/VR/MR. Ms. Jardins graduated from the University of Illinois at Urbana-Champaign.</w:t>
      </w:r>
    </w:p>
    <w:p>
      <w:pPr>
        <w:spacing w:after="0" w:line="131" w:lineRule="exact"/>
        <w:rPr>
          <w:sz w:val="20"/>
          <w:szCs w:val="20"/>
          <w:color w:val="auto"/>
        </w:rPr>
      </w:pPr>
    </w:p>
    <w:p>
      <w:pPr>
        <w:ind w:left="1280" w:right="619" w:firstLine="360"/>
        <w:spacing w:after="0" w:line="253"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80" w:right="439"/>
        <w:spacing w:after="0" w:line="235" w:lineRule="auto"/>
        <w:rPr>
          <w:sz w:val="20"/>
          <w:szCs w:val="20"/>
          <w:color w:val="auto"/>
        </w:rPr>
      </w:pPr>
      <w:r>
        <w:rPr>
          <w:rFonts w:ascii="Arial" w:cs="Arial" w:eastAsia="Arial" w:hAnsi="Arial"/>
          <w:sz w:val="18"/>
          <w:szCs w:val="18"/>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spacing w:after="0" w:line="243" w:lineRule="auto"/>
        <w:rPr>
          <w:sz w:val="20"/>
          <w:szCs w:val="20"/>
          <w:color w:val="auto"/>
        </w:rPr>
      </w:pPr>
      <w:r>
        <w:rPr>
          <w:rFonts w:ascii="Arial" w:cs="Arial" w:eastAsia="Arial" w:hAnsi="Arial"/>
          <w:sz w:val="18"/>
          <w:szCs w:val="18"/>
          <w:color w:val="auto"/>
        </w:rPr>
        <w:t>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07"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Todd Thomson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Thomson is currently the chief operating officer and chief financial officer of Kairos Ventures, an early- 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12" w:lineRule="exact"/>
        <w:rPr>
          <w:sz w:val="20"/>
          <w:szCs w:val="20"/>
          <w:color w:val="auto"/>
        </w:rPr>
      </w:pPr>
    </w:p>
    <w:p>
      <w:pPr>
        <w:ind w:left="1280" w:right="479" w:firstLine="360"/>
        <w:spacing w:after="0" w:line="254" w:lineRule="auto"/>
        <w:rPr>
          <w:sz w:val="20"/>
          <w:szCs w:val="20"/>
          <w:color w:val="auto"/>
        </w:rPr>
      </w:pPr>
      <w:r>
        <w:rPr>
          <w:rFonts w:ascii="Arial" w:cs="Arial" w:eastAsia="Arial" w:hAnsi="Arial"/>
          <w:sz w:val="17"/>
          <w:szCs w:val="17"/>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13"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07" w:lineRule="exact"/>
        <w:rPr>
          <w:sz w:val="20"/>
          <w:szCs w:val="20"/>
          <w:color w:val="auto"/>
        </w:rPr>
      </w:pPr>
    </w:p>
    <w:p>
      <w:pPr>
        <w:ind w:left="1280" w:right="43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14" w:lineRule="exact"/>
        <w:rPr>
          <w:sz w:val="20"/>
          <w:szCs w:val="20"/>
          <w:color w:val="auto"/>
        </w:rPr>
      </w:pPr>
    </w:p>
    <w:p>
      <w:pPr>
        <w:ind w:left="128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80" w:right="57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66"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20" w:lineRule="exact"/>
        <w:rPr>
          <w:sz w:val="20"/>
          <w:szCs w:val="20"/>
          <w:color w:val="auto"/>
        </w:rPr>
      </w:pPr>
    </w:p>
    <w:p>
      <w:pPr>
        <w:ind w:left="1280" w:right="47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80" w:right="559" w:firstLine="360"/>
        <w:spacing w:after="0"/>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2"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04" w:lineRule="exact"/>
        <w:rPr>
          <w:sz w:val="20"/>
          <w:szCs w:val="20"/>
          <w:color w:val="auto"/>
        </w:rPr>
      </w:pPr>
    </w:p>
    <w:p>
      <w:pPr>
        <w:ind w:left="1820" w:right="59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62" w:lineRule="exact"/>
        <w:rPr>
          <w:rFonts w:ascii="Arial" w:cs="Arial" w:eastAsia="Arial" w:hAnsi="Arial"/>
          <w:sz w:val="18"/>
          <w:szCs w:val="18"/>
          <w:color w:val="auto"/>
        </w:rPr>
      </w:pPr>
    </w:p>
    <w:p>
      <w:pPr>
        <w:ind w:left="1820" w:right="79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jc w:val="both"/>
        <w:ind w:left="1820" w:right="1099" w:hanging="182"/>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03"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17"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1280" w:right="519" w:firstLine="3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93" w:lineRule="exact"/>
        <w:rPr>
          <w:sz w:val="20"/>
          <w:szCs w:val="20"/>
          <w:color w:val="auto"/>
        </w:rPr>
      </w:pPr>
    </w:p>
    <w:p>
      <w:pPr>
        <w:ind w:left="1820" w:right="73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102"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89" w:lineRule="exact"/>
        <w:rPr>
          <w:rFonts w:ascii="Arial" w:cs="Arial" w:eastAsia="Arial" w:hAnsi="Arial"/>
          <w:sz w:val="18"/>
          <w:szCs w:val="18"/>
          <w:color w:val="auto"/>
        </w:rPr>
      </w:pPr>
    </w:p>
    <w:p>
      <w:pPr>
        <w:jc w:val="both"/>
        <w:ind w:left="1820" w:right="41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16"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44"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57"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89"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57"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Acquisition Strategy</w:t>
      </w:r>
    </w:p>
    <w:p>
      <w:pPr>
        <w:spacing w:after="0" w:line="162"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96" w:lineRule="exact"/>
        <w:rPr>
          <w:sz w:val="20"/>
          <w:szCs w:val="20"/>
          <w:color w:val="auto"/>
        </w:rPr>
      </w:pPr>
    </w:p>
    <w:p>
      <w:pPr>
        <w:ind w:left="1280" w:right="439" w:firstLine="360"/>
        <w:spacing w:after="0" w:line="273"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10" w:lineRule="exact"/>
        <w:rPr>
          <w:sz w:val="20"/>
          <w:szCs w:val="20"/>
          <w:color w:val="auto"/>
        </w:rPr>
      </w:pPr>
    </w:p>
    <w:p>
      <w:pPr>
        <w:ind w:left="1280" w:right="619" w:firstLine="360"/>
        <w:spacing w:after="0" w:line="263"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14"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99" w:lineRule="exact"/>
        <w:rPr>
          <w:sz w:val="20"/>
          <w:szCs w:val="20"/>
          <w:color w:val="auto"/>
        </w:rPr>
      </w:pPr>
    </w:p>
    <w:p>
      <w:pPr>
        <w:ind w:left="1280" w:right="459" w:firstLine="360"/>
        <w:spacing w:after="0" w:line="237" w:lineRule="auto"/>
        <w:rPr>
          <w:sz w:val="20"/>
          <w:szCs w:val="20"/>
          <w:color w:val="auto"/>
        </w:rPr>
      </w:pPr>
      <w:r>
        <w:rPr>
          <w:rFonts w:ascii="Arial" w:cs="Arial" w:eastAsia="Arial" w:hAnsi="Arial"/>
          <w:sz w:val="18"/>
          <w:szCs w:val="18"/>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 -investors,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4" w:lineRule="auto"/>
        <w:rPr>
          <w:sz w:val="20"/>
          <w:szCs w:val="20"/>
          <w:color w:val="auto"/>
        </w:rPr>
      </w:pPr>
      <w:r>
        <w:rPr>
          <w:rFonts w:ascii="Arial" w:cs="Arial" w:eastAsia="Arial" w:hAnsi="Arial"/>
          <w:sz w:val="18"/>
          <w:szCs w:val="18"/>
          <w:color w:val="auto"/>
        </w:rPr>
        <w:t>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14" w:lineRule="exact"/>
        <w:rPr>
          <w:sz w:val="20"/>
          <w:szCs w:val="20"/>
          <w:color w:val="auto"/>
        </w:rPr>
      </w:pPr>
    </w:p>
    <w:p>
      <w:pPr>
        <w:ind w:left="1280" w:right="459" w:firstLine="360"/>
        <w:spacing w:after="0" w:line="267"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ind w:left="1280" w:right="51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19"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07"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9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96"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4" w:lineRule="exact"/>
        <w:rPr>
          <w:sz w:val="20"/>
          <w:szCs w:val="20"/>
          <w:color w:val="auto"/>
        </w:rPr>
      </w:pPr>
    </w:p>
    <w:p>
      <w:pPr>
        <w:ind w:left="1280" w:right="45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158"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280" w:right="5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1280" w:right="619" w:firstLine="36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w:t>
      </w:r>
    </w:p>
    <w:p>
      <w:pPr>
        <w:sectPr>
          <w:pgSz w:w="11900" w:h="16838" w:orient="portrait"/>
          <w:cols w:equalWidth="0" w:num="1">
            <w:col w:w="9879"/>
          </w:cols>
          <w:pgMar w:left="580" w:top="132" w:right="1440" w:bottom="1440" w:gutter="0" w:footer="0" w:header="0"/>
        </w:sectPr>
      </w:pP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adoption of certain accounting standards until those standards would otherwise apply to private companies.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We intend to take advantage of the benefits of this extended transition period.</w:t>
      </w:r>
    </w:p>
    <w:p>
      <w:pPr>
        <w:spacing w:after="0" w:line="11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12" w:lineRule="exact"/>
        <w:rPr>
          <w:sz w:val="20"/>
          <w:szCs w:val="20"/>
          <w:color w:val="auto"/>
        </w:rPr>
      </w:pPr>
    </w:p>
    <w:p>
      <w:pPr>
        <w:ind w:left="1280" w:right="399" w:hanging="2"/>
        <w:spacing w:after="0" w:line="237" w:lineRule="auto"/>
        <w:tabs>
          <w:tab w:leader="none" w:pos="153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21" w:lineRule="exact"/>
        <w:rPr>
          <w:sz w:val="20"/>
          <w:szCs w:val="20"/>
          <w:color w:val="auto"/>
        </w:rPr>
      </w:pPr>
    </w:p>
    <w:p>
      <w:pPr>
        <w:ind w:left="1280" w:right="539" w:firstLine="360"/>
        <w:spacing w:after="0" w:line="251" w:lineRule="auto"/>
        <w:rPr>
          <w:sz w:val="20"/>
          <w:szCs w:val="20"/>
          <w:color w:val="auto"/>
        </w:rPr>
      </w:pPr>
      <w:r>
        <w:rPr>
          <w:rFonts w:ascii="Arial" w:cs="Arial" w:eastAsia="Arial" w:hAnsi="Arial"/>
          <w:sz w:val="17"/>
          <w:szCs w:val="17"/>
          <w:color w:val="auto"/>
        </w:rPr>
        <w:t>Additionally, we are a “smaller reporting company” as defined in Item 10(f)(1) of Regulation S -K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w:t>
      </w:r>
    </w:p>
    <w:p>
      <w:pPr>
        <w:spacing w:after="0" w:line="4" w:lineRule="exact"/>
        <w:rPr>
          <w:sz w:val="20"/>
          <w:szCs w:val="20"/>
          <w:color w:val="auto"/>
        </w:rPr>
      </w:pPr>
    </w:p>
    <w:p>
      <w:pPr>
        <w:ind w:left="1280" w:right="759"/>
        <w:spacing w:after="0" w:line="243" w:lineRule="auto"/>
        <w:rPr>
          <w:sz w:val="20"/>
          <w:szCs w:val="20"/>
          <w:color w:val="auto"/>
        </w:rPr>
      </w:pPr>
      <w:r>
        <w:rPr>
          <w:rFonts w:ascii="Arial" w:cs="Arial" w:eastAsia="Arial" w:hAnsi="Arial"/>
          <w:sz w:val="18"/>
          <w:szCs w:val="18"/>
          <w:color w:val="auto"/>
        </w:rPr>
        <w:t>$100 million during such completed fiscal year and the market value of our common stock held by non-affiliates exceeds $700 million as of the end of that year’s second fiscal quarter.</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1280" w:right="499" w:firstLine="360"/>
        <w:spacing w:after="0" w:line="255"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w:t>
      </w:r>
    </w:p>
    <w:p>
      <w:pPr>
        <w:ind w:left="1280" w:right="499"/>
        <w:spacing w:after="0" w:line="238" w:lineRule="auto"/>
        <w:rPr>
          <w:sz w:val="20"/>
          <w:szCs w:val="20"/>
          <w:color w:val="auto"/>
        </w:rPr>
      </w:pPr>
      <w:r>
        <w:rPr>
          <w:rFonts w:ascii="Arial" w:cs="Arial" w:eastAsia="Arial" w:hAnsi="Arial"/>
          <w:sz w:val="18"/>
          <w:szCs w:val="18"/>
          <w:color w:val="auto"/>
        </w:rPr>
        <w:t>375,000 shares that are subject to forfeiture to the extent that the underwriters’ over- 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founder shares are identical to the public shares. However, our initial stockholders have agreed</w:t>
      </w:r>
    </w:p>
    <w:p>
      <w:pPr>
        <w:spacing w:after="0" w:line="23" w:lineRule="exact"/>
        <w:rPr>
          <w:sz w:val="20"/>
          <w:szCs w:val="20"/>
          <w:color w:val="auto"/>
        </w:rPr>
      </w:pPr>
    </w:p>
    <w:p>
      <w:pPr>
        <w:ind w:left="1280" w:right="419" w:hanging="2"/>
        <w:spacing w:after="0" w:line="251" w:lineRule="auto"/>
        <w:tabs>
          <w:tab w:leader="none" w:pos="15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13" w:lineRule="exact"/>
        <w:rPr>
          <w:sz w:val="20"/>
          <w:szCs w:val="20"/>
          <w:color w:val="auto"/>
        </w:rPr>
      </w:pPr>
    </w:p>
    <w:p>
      <w:pPr>
        <w:ind w:left="1280" w:right="419" w:firstLine="360"/>
        <w:spacing w:after="0" w:line="237" w:lineRule="auto"/>
        <w:rPr>
          <w:sz w:val="20"/>
          <w:szCs w:val="20"/>
          <w:color w:val="auto"/>
        </w:rPr>
      </w:pPr>
      <w:r>
        <w:rPr>
          <w:rFonts w:ascii="Arial" w:cs="Arial" w:eastAsia="Arial" w:hAnsi="Arial"/>
          <w:sz w:val="18"/>
          <w:szCs w:val="18"/>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26" w:lineRule="exact"/>
        <w:rPr>
          <w:sz w:val="20"/>
          <w:szCs w:val="20"/>
          <w:color w:val="auto"/>
        </w:rPr>
      </w:pPr>
    </w:p>
    <w:p>
      <w:pPr>
        <w:ind w:left="1280" w:right="479" w:firstLine="360"/>
        <w:spacing w:after="0" w:line="243"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4,200,000 warrants (or up to 4,442,183 warrants depending on the extent to which the underwriters’ over-allotment option is exercised) at a price of approximately $0.93 per warrant ($3,902,000 (or up to</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79"/>
        <w:spacing w:after="0" w:line="277" w:lineRule="auto"/>
        <w:rPr>
          <w:sz w:val="20"/>
          <w:szCs w:val="20"/>
          <w:color w:val="auto"/>
        </w:rPr>
      </w:pPr>
      <w:r>
        <w:rPr>
          <w:rFonts w:ascii="Arial" w:cs="Arial" w:eastAsia="Arial" w:hAnsi="Arial"/>
          <w:sz w:val="18"/>
          <w:szCs w:val="18"/>
          <w:color w:val="auto"/>
        </w:rPr>
        <w:t>$4,127,000 depending on the extent to which the underwriters’ over-allotment option is exercised)) in a private placement that will close simultaneously with the closing of this offering.</w:t>
      </w:r>
    </w:p>
    <w:p>
      <w:pPr>
        <w:spacing w:after="0" w:line="89"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 as applicable), the proceeds from the sale of the private warrants will be included in the liquidating distribution to the holders of our public shares.</w:t>
      </w:r>
    </w:p>
    <w:p>
      <w:pPr>
        <w:spacing w:after="0" w:line="120" w:lineRule="exact"/>
        <w:rPr>
          <w:sz w:val="20"/>
          <w:szCs w:val="20"/>
          <w:color w:val="auto"/>
        </w:rPr>
      </w:pPr>
    </w:p>
    <w:p>
      <w:pPr>
        <w:ind w:left="1280" w:right="47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82" w:lineRule="exact"/>
        <w:rPr>
          <w:sz w:val="20"/>
          <w:szCs w:val="20"/>
          <w:color w:val="auto"/>
        </w:rPr>
      </w:pPr>
    </w:p>
    <w:p>
      <w:pPr>
        <w:ind w:left="1280" w:right="1179" w:firstLine="360"/>
        <w:spacing w:after="0" w:line="229" w:lineRule="auto"/>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and our telephone number is (646) 465-9000.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5"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28 of this prospectus.</w:t>
      </w:r>
    </w:p>
    <w:p>
      <w:pPr>
        <w:spacing w:after="0" w:line="8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10,000,000 units, at $10.00 per unit, each unit consisting of one</w:t>
      </w:r>
    </w:p>
    <w:p>
      <w:pPr>
        <w:spacing w:after="0" w:line="27" w:lineRule="exact"/>
        <w:rPr>
          <w:sz w:val="20"/>
          <w:szCs w:val="20"/>
          <w:color w:val="auto"/>
        </w:rPr>
      </w:pPr>
    </w:p>
    <w:p>
      <w:pPr>
        <w:ind w:left="4300" w:right="619"/>
        <w:spacing w:after="0" w:line="253" w:lineRule="auto"/>
        <w:rPr>
          <w:sz w:val="20"/>
          <w:szCs w:val="20"/>
          <w:color w:val="auto"/>
        </w:rPr>
      </w:pPr>
      <w:r>
        <w:rPr>
          <w:rFonts w:ascii="Arial" w:cs="Arial" w:eastAsia="Arial" w:hAnsi="Arial"/>
          <w:sz w:val="18"/>
          <w:szCs w:val="18"/>
          <w:color w:val="auto"/>
        </w:rPr>
        <w:t>share of common stock and three-quarters of one warrant. Each whole warrant entitles the holder thereof to purchase one share of common stock at a price of $11.50, subject to adjustment as described in this prospectus.</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Listing of our securities and</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b w:val="1"/>
          <w:bCs w:val="1"/>
          <w:color w:val="auto"/>
        </w:rPr>
        <w:t>proposed symbols</w:t>
      </w:r>
      <w:r>
        <w:rPr>
          <w:sz w:val="20"/>
          <w:szCs w:val="20"/>
          <w:color w:val="auto"/>
        </w:rPr>
        <w:tab/>
      </w:r>
      <w:r>
        <w:rPr>
          <w:rFonts w:ascii="Arial" w:cs="Arial" w:eastAsia="Arial" w:hAnsi="Arial"/>
          <w:sz w:val="16"/>
          <w:szCs w:val="16"/>
          <w:color w:val="auto"/>
        </w:rPr>
        <w:t>We anticipate the units, and the shares of common stock and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warrants, once they begin separate trading, will be listed on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Nasdaq under the symbols “CNTQU,” “CNTQ,” and “CNTQW,”</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respectively.</w:t>
      </w:r>
    </w:p>
    <w:p>
      <w:pPr>
        <w:spacing w:after="0" w:line="1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Each of the shares of common stock and warrants may trade</w:t>
      </w:r>
    </w:p>
    <w:p>
      <w:pPr>
        <w:ind w:left="4300"/>
        <w:spacing w:after="0" w:line="225" w:lineRule="auto"/>
        <w:rPr>
          <w:sz w:val="20"/>
          <w:szCs w:val="20"/>
          <w:color w:val="auto"/>
        </w:rPr>
      </w:pPr>
      <w:r>
        <w:rPr>
          <w:rFonts w:ascii="Arial" w:cs="Arial" w:eastAsia="Arial" w:hAnsi="Arial"/>
          <w:sz w:val="17"/>
          <w:szCs w:val="17"/>
          <w:color w:val="auto"/>
        </w:rPr>
        <w:t>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w:t>
      </w:r>
    </w:p>
    <w:p>
      <w:pPr>
        <w:spacing w:after="0" w:line="1" w:lineRule="exact"/>
        <w:rPr>
          <w:sz w:val="20"/>
          <w:szCs w:val="20"/>
          <w:color w:val="auto"/>
        </w:rPr>
      </w:pPr>
    </w:p>
    <w:p>
      <w:pPr>
        <w:ind w:left="4300" w:right="579"/>
        <w:spacing w:after="0" w:line="251" w:lineRule="auto"/>
        <w:rPr>
          <w:sz w:val="20"/>
          <w:szCs w:val="20"/>
          <w:color w:val="auto"/>
        </w:rPr>
      </w:pPr>
      <w:r>
        <w:rPr>
          <w:rFonts w:ascii="Arial" w:cs="Arial" w:eastAsia="Arial" w:hAnsi="Arial"/>
          <w:sz w:val="18"/>
          <w:szCs w:val="18"/>
          <w:color w:val="auto"/>
        </w:rPr>
        <w:t>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115" w:lineRule="exact"/>
        <w:rPr>
          <w:sz w:val="20"/>
          <w:szCs w:val="20"/>
          <w:color w:val="auto"/>
        </w:rPr>
      </w:pPr>
    </w:p>
    <w:p>
      <w:pPr>
        <w:ind w:left="4300" w:right="499"/>
        <w:spacing w:after="0" w:line="255"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125" w:lineRule="exact"/>
        <w:rPr>
          <w:sz w:val="20"/>
          <w:szCs w:val="20"/>
          <w:color w:val="auto"/>
        </w:rPr>
      </w:pPr>
    </w:p>
    <w:p>
      <w:pPr>
        <w:ind w:left="4300" w:right="4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Shares of common stock:</w:t>
      </w:r>
    </w:p>
    <w:p>
      <w:pPr>
        <w:spacing w:after="0" w:line="117" w:lineRule="exact"/>
        <w:rPr>
          <w:sz w:val="20"/>
          <w:szCs w:val="20"/>
          <w:color w:val="auto"/>
        </w:rPr>
      </w:pPr>
    </w:p>
    <w:p>
      <w:pPr>
        <w:ind w:left="1460" w:right="40" w:hanging="179"/>
        <w:spacing w:after="0" w:line="366" w:lineRule="auto"/>
        <w:rPr>
          <w:sz w:val="20"/>
          <w:szCs w:val="20"/>
          <w:color w:val="auto"/>
        </w:rPr>
      </w:pPr>
      <w:r>
        <w:rPr>
          <w:rFonts w:ascii="Arial" w:cs="Arial" w:eastAsia="Arial" w:hAnsi="Arial"/>
          <w:sz w:val="15"/>
          <w:szCs w:val="15"/>
          <w:b w:val="1"/>
          <w:bCs w:val="1"/>
          <w:color w:val="auto"/>
        </w:rPr>
        <w:t>Number issued and outstanding before this offering</w:t>
      </w:r>
    </w:p>
    <w:p>
      <w:pPr>
        <w:ind w:left="1280"/>
        <w:spacing w:after="0"/>
        <w:rPr>
          <w:sz w:val="20"/>
          <w:szCs w:val="20"/>
          <w:color w:val="auto"/>
        </w:rPr>
      </w:pPr>
      <w:r>
        <w:rPr>
          <w:rFonts w:ascii="Arial" w:cs="Arial" w:eastAsia="Arial" w:hAnsi="Arial"/>
          <w:sz w:val="18"/>
          <w:szCs w:val="18"/>
          <w:b w:val="1"/>
          <w:bCs w:val="1"/>
          <w:color w:val="auto"/>
        </w:rPr>
        <w:t>Number to be issued and</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offering</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Redeemable Warrants:</w:t>
      </w:r>
    </w:p>
    <w:p>
      <w:pPr>
        <w:spacing w:after="0" w:line="117" w:lineRule="exact"/>
        <w:rPr>
          <w:sz w:val="20"/>
          <w:szCs w:val="20"/>
          <w:color w:val="auto"/>
        </w:rPr>
      </w:pPr>
    </w:p>
    <w:p>
      <w:pPr>
        <w:ind w:left="1460" w:right="40" w:hanging="179"/>
        <w:spacing w:after="0" w:line="375"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1" w:lineRule="exact"/>
        <w:rPr>
          <w:sz w:val="20"/>
          <w:szCs w:val="20"/>
          <w:color w:val="auto"/>
        </w:rPr>
      </w:pPr>
    </w:p>
    <w:p>
      <w:pPr>
        <w:ind w:left="1460" w:hanging="179"/>
        <w:spacing w:after="0" w:line="245"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7,500,000 public warrants and 4,200,000 private warrants</w:t>
      </w:r>
      <w:r>
        <w:rPr>
          <w:rFonts w:ascii="Arial" w:cs="Arial" w:eastAsia="Arial" w:hAnsi="Arial"/>
          <w:sz w:val="26"/>
          <w:szCs w:val="26"/>
          <w:color w:val="auto"/>
          <w:vertAlign w:val="superscript"/>
        </w:rPr>
        <w:t>(3)</w:t>
      </w:r>
    </w:p>
    <w:p>
      <w:pPr>
        <w:spacing w:after="0" w:line="75" w:lineRule="exact"/>
        <w:rPr>
          <w:sz w:val="20"/>
          <w:szCs w:val="20"/>
          <w:color w:val="auto"/>
        </w:rPr>
      </w:pPr>
    </w:p>
    <w:p>
      <w:pPr>
        <w:ind w:right="439"/>
        <w:spacing w:after="0" w:line="270" w:lineRule="auto"/>
        <w:rPr>
          <w:sz w:val="20"/>
          <w:szCs w:val="20"/>
          <w:color w:val="auto"/>
        </w:rPr>
      </w:pPr>
      <w:r>
        <w:rPr>
          <w:rFonts w:ascii="Arial" w:cs="Arial" w:eastAsia="Arial" w:hAnsi="Arial"/>
          <w:sz w:val="17"/>
          <w:szCs w:val="17"/>
          <w:color w:val="auto"/>
        </w:rPr>
        <w:t>Each unit contains three-quarters of one redeemable public warrant. Each whole redeemable public warrant entitles the holder thereof to purchase one share of common stock, and each private warrant entitles the holder thereof to purchase one share of common stock. Only whole warrants are exercisable.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$11.50 per share</w:t>
      </w:r>
    </w:p>
    <w:p>
      <w:pPr>
        <w:spacing w:after="0" w:line="144" w:lineRule="exact"/>
        <w:rPr>
          <w:sz w:val="20"/>
          <w:szCs w:val="20"/>
          <w:color w:val="auto"/>
        </w:rPr>
      </w:pPr>
    </w:p>
    <w:p>
      <w:pPr>
        <w:sectPr>
          <w:pgSz w:w="11900" w:h="16838" w:orient="portrait"/>
          <w:cols w:equalWidth="0" w:num="2">
            <w:col w:w="3660" w:space="640"/>
            <w:col w:w="5579"/>
          </w:cols>
          <w:pgMar w:left="580" w:top="131" w:right="1440" w:bottom="1440" w:gutter="0" w:footer="0" w:header="0"/>
          <w:type w:val="continuous"/>
        </w:sectPr>
      </w:pPr>
    </w:p>
    <w:p>
      <w:pPr>
        <w:ind w:left="4300" w:right="419"/>
        <w:spacing w:after="0" w:line="251"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w:t>
      </w:r>
    </w:p>
    <w:p>
      <w:pPr>
        <w:spacing w:after="0" w:line="206" w:lineRule="exact"/>
        <w:rPr>
          <w:sz w:val="20"/>
          <w:szCs w:val="20"/>
          <w:color w:val="auto"/>
        </w:rPr>
      </w:pPr>
    </w:p>
    <w:p>
      <w:pPr>
        <w:ind w:left="1640" w:right="419" w:hanging="362"/>
        <w:spacing w:after="0" w:line="306"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7"/>
          <w:szCs w:val="17"/>
          <w:color w:val="auto"/>
        </w:rPr>
      </w:pPr>
    </w:p>
    <w:p>
      <w:pPr>
        <w:ind w:left="1640" w:right="519" w:hanging="362"/>
        <w:spacing w:after="0" w:line="286"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spacing w:after="0" w:line="16" w:lineRule="exact"/>
        <w:rPr>
          <w:rFonts w:ascii="Arial" w:cs="Arial" w:eastAsia="Arial" w:hAnsi="Arial"/>
          <w:sz w:val="17"/>
          <w:szCs w:val="17"/>
          <w:color w:val="auto"/>
        </w:rPr>
      </w:pPr>
    </w:p>
    <w:p>
      <w:pPr>
        <w:ind w:left="1640" w:right="539" w:hanging="362"/>
        <w:spacing w:after="0" w:line="263"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8,625,000 public warrants and 4,442,183 private warrants issued and outstanding.</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53" w:lineRule="auto"/>
        <w:rPr>
          <w:sz w:val="20"/>
          <w:szCs w:val="20"/>
          <w:color w:val="auto"/>
        </w:rPr>
      </w:pPr>
      <w:r>
        <w:rPr>
          <w:rFonts w:ascii="Arial" w:cs="Arial" w:eastAsia="Arial" w:hAnsi="Arial"/>
          <w:sz w:val="17"/>
          <w:szCs w:val="17"/>
          <w:color w:val="auto"/>
        </w:rPr>
        <w:t>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0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common stock issuable upon exercise of the public warrants and a</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current prospectus relating to such shares of common stock. It is our</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 intention to have an effective and current registration</w:t>
      </w:r>
    </w:p>
    <w:p>
      <w:pPr>
        <w:ind w:left="4300"/>
        <w:spacing w:after="0" w:line="234" w:lineRule="auto"/>
        <w:rPr>
          <w:sz w:val="20"/>
          <w:szCs w:val="20"/>
          <w:color w:val="auto"/>
        </w:rPr>
      </w:pPr>
      <w:r>
        <w:rPr>
          <w:rFonts w:ascii="Arial" w:cs="Arial" w:eastAsia="Arial" w:hAnsi="Arial"/>
          <w:sz w:val="18"/>
          <w:szCs w:val="18"/>
          <w:color w:val="auto"/>
        </w:rPr>
        <w:t>statement covering the shares of common stock issuable upon</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of the public warrants and a current prospectus relating to</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such shares of common stock in effect promptly following</w:t>
      </w:r>
    </w:p>
    <w:p>
      <w:pPr>
        <w:ind w:left="4300"/>
        <w:spacing w:after="0"/>
        <w:rPr>
          <w:sz w:val="20"/>
          <w:szCs w:val="20"/>
          <w:color w:val="auto"/>
        </w:rPr>
      </w:pPr>
      <w:r>
        <w:rPr>
          <w:rFonts w:ascii="Arial" w:cs="Arial" w:eastAsia="Arial" w:hAnsi="Arial"/>
          <w:sz w:val="17"/>
          <w:szCs w:val="17"/>
          <w:color w:val="auto"/>
        </w:rPr>
        <w:t>consummation of an initial business combination. Notwithstanding</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foregoing, if a registration statement covering the shares of</w:t>
      </w:r>
    </w:p>
    <w:p>
      <w:pPr>
        <w:ind w:left="4300"/>
        <w:spacing w:after="0"/>
        <w:rPr>
          <w:sz w:val="20"/>
          <w:szCs w:val="20"/>
          <w:color w:val="auto"/>
        </w:rPr>
      </w:pPr>
      <w:r>
        <w:rPr>
          <w:rFonts w:ascii="Arial" w:cs="Arial" w:eastAsia="Arial" w:hAnsi="Arial"/>
          <w:sz w:val="17"/>
          <w:szCs w:val="17"/>
          <w:color w:val="auto"/>
        </w:rPr>
        <w:t>common stock issuable upon exercise of the public warrants is not</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within 120 days following the consummation of our initial</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business combination, public warrant holders may, until such time</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there is an effective registration statement and during any period</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when we shall have failed to maintain an effective registration</w:t>
      </w:r>
    </w:p>
    <w:p>
      <w:pPr>
        <w:ind w:left="4300"/>
        <w:spacing w:after="0" w:line="234" w:lineRule="auto"/>
        <w:rPr>
          <w:sz w:val="20"/>
          <w:szCs w:val="20"/>
          <w:color w:val="auto"/>
        </w:rPr>
      </w:pPr>
      <w:r>
        <w:rPr>
          <w:rFonts w:ascii="Arial" w:cs="Arial" w:eastAsia="Arial" w:hAnsi="Arial"/>
          <w:sz w:val="18"/>
          <w:szCs w:val="18"/>
          <w:color w:val="auto"/>
        </w:rPr>
        <w:t>statement, exercise warrants on a cashless basis pursuant to an</w:t>
      </w:r>
    </w:p>
    <w:p>
      <w:pPr>
        <w:ind w:left="4300"/>
        <w:spacing w:after="0" w:line="235" w:lineRule="auto"/>
        <w:rPr>
          <w:sz w:val="20"/>
          <w:szCs w:val="20"/>
          <w:color w:val="auto"/>
        </w:rPr>
      </w:pPr>
      <w:r>
        <w:rPr>
          <w:rFonts w:ascii="Arial" w:cs="Arial" w:eastAsia="Arial" w:hAnsi="Arial"/>
          <w:sz w:val="18"/>
          <w:szCs w:val="18"/>
          <w:color w:val="auto"/>
        </w:rPr>
        <w:t>available exemption from registration under the Securities Act. In</w:t>
      </w:r>
    </w:p>
    <w:p>
      <w:pPr>
        <w:ind w:left="4300"/>
        <w:spacing w:after="0" w:line="235" w:lineRule="auto"/>
        <w:rPr>
          <w:sz w:val="20"/>
          <w:szCs w:val="20"/>
          <w:color w:val="auto"/>
        </w:rPr>
      </w:pPr>
      <w:r>
        <w:rPr>
          <w:rFonts w:ascii="Arial" w:cs="Arial" w:eastAsia="Arial" w:hAnsi="Arial"/>
          <w:sz w:val="18"/>
          <w:szCs w:val="18"/>
          <w:color w:val="auto"/>
        </w:rPr>
        <w:t>such event, each holder would pay the exercise price by</w:t>
      </w:r>
    </w:p>
    <w:p>
      <w:pPr>
        <w:ind w:left="4300"/>
        <w:spacing w:after="0"/>
        <w:rPr>
          <w:sz w:val="20"/>
          <w:szCs w:val="20"/>
          <w:color w:val="auto"/>
        </w:rPr>
      </w:pPr>
      <w:r>
        <w:rPr>
          <w:rFonts w:ascii="Arial" w:cs="Arial" w:eastAsia="Arial" w:hAnsi="Arial"/>
          <w:sz w:val="17"/>
          <w:szCs w:val="17"/>
          <w:color w:val="auto"/>
        </w:rPr>
        <w:t>surrendering the whole public warrants for that number of shares of</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stock equal to the quotient obtained by dividing (x) the</w:t>
      </w:r>
    </w:p>
    <w:p>
      <w:pPr>
        <w:ind w:left="4300"/>
        <w:spacing w:after="0" w:line="234" w:lineRule="auto"/>
        <w:rPr>
          <w:sz w:val="20"/>
          <w:szCs w:val="20"/>
          <w:color w:val="auto"/>
        </w:rPr>
      </w:pPr>
      <w:r>
        <w:rPr>
          <w:rFonts w:ascii="Arial" w:cs="Arial" w:eastAsia="Arial" w:hAnsi="Arial"/>
          <w:sz w:val="18"/>
          <w:szCs w:val="18"/>
          <w:color w:val="auto"/>
        </w:rPr>
        <w:t>product of the number of shares of common stock underlying the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public warrants, multiplied by the difference between the exercise</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price of the public warrants and the “fair market value” (defined</w:t>
      </w:r>
    </w:p>
    <w:p>
      <w:pPr>
        <w:ind w:left="4300"/>
        <w:spacing w:after="0" w:line="234" w:lineRule="auto"/>
        <w:rPr>
          <w:sz w:val="20"/>
          <w:szCs w:val="20"/>
          <w:color w:val="auto"/>
        </w:rPr>
      </w:pPr>
      <w:r>
        <w:rPr>
          <w:rFonts w:ascii="Arial" w:cs="Arial" w:eastAsia="Arial" w:hAnsi="Arial"/>
          <w:sz w:val="18"/>
          <w:szCs w:val="18"/>
          <w:color w:val="auto"/>
        </w:rPr>
        <w:t>below) by (y) the fair market value. The “fair market value” shall</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mean the average last reported sale price of the shares of common</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 for the 10 trading days ending on the day prior to the date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For example, if a holder held 300 warrants to purchase 300</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shares and the fair market value on the date prior to exercise was</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$15.00, that holder would receive 70 shares without the payment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any additional cash consideration.</w:t>
      </w:r>
    </w:p>
    <w:p>
      <w:pPr>
        <w:spacing w:after="0" w:line="84" w:lineRule="exact"/>
        <w:rPr>
          <w:sz w:val="20"/>
          <w:szCs w:val="20"/>
          <w:color w:val="auto"/>
        </w:rPr>
      </w:pPr>
    </w:p>
    <w:p>
      <w:pPr>
        <w:ind w:left="4300" w:right="459" w:hanging="3023"/>
        <w:spacing w:after="0" w:line="269" w:lineRule="auto"/>
        <w:tabs>
          <w:tab w:leader="none" w:pos="428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7"/>
          <w:szCs w:val="17"/>
          <w:color w:val="auto"/>
        </w:rPr>
        <w:t>The warrants will become exercisable 30 days after the consummation of an initial business combination. The warrants will expire at 5:00 p.m., New York City time, on the fifth anniversary of our completion of an initial business combination, or earlier upon redemption. The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77" w:lineRule="exact"/>
        <w:rPr>
          <w:sz w:val="20"/>
          <w:szCs w:val="20"/>
          <w:color w:val="auto"/>
        </w:rPr>
      </w:pPr>
    </w:p>
    <w:p>
      <w:pPr>
        <w:ind w:left="4300" w:right="539" w:hanging="3019"/>
        <w:spacing w:after="0" w:line="308" w:lineRule="auto"/>
        <w:tabs>
          <w:tab w:leader="none" w:pos="4280" w:val="left"/>
        </w:tabs>
        <w:rPr>
          <w:sz w:val="20"/>
          <w:szCs w:val="20"/>
          <w:color w:val="auto"/>
        </w:rPr>
      </w:pPr>
      <w:r>
        <w:rPr>
          <w:rFonts w:ascii="Arial" w:cs="Arial" w:eastAsia="Arial" w:hAnsi="Arial"/>
          <w:sz w:val="17"/>
          <w:szCs w:val="17"/>
          <w:b w:val="1"/>
          <w:bCs w:val="1"/>
          <w:color w:val="auto"/>
        </w:rPr>
        <w:t>Redemption</w:t>
      </w:r>
      <w:r>
        <w:rPr>
          <w:sz w:val="20"/>
          <w:szCs w:val="20"/>
          <w:color w:val="auto"/>
        </w:rPr>
        <w:tab/>
      </w:r>
      <w:r>
        <w:rPr>
          <w:rFonts w:ascii="Arial" w:cs="Arial" w:eastAsia="Arial" w:hAnsi="Arial"/>
          <w:sz w:val="17"/>
          <w:szCs w:val="17"/>
          <w:color w:val="auto"/>
        </w:rPr>
        <w:t>We may redeem the outstanding warrants (excluding the private warrants), in whole and not in part, at a price of $0.01 per warrant:</w:t>
      </w:r>
    </w:p>
    <w:p>
      <w:pPr>
        <w:spacing w:after="0" w:line="83" w:lineRule="exact"/>
        <w:rPr>
          <w:sz w:val="20"/>
          <w:szCs w:val="20"/>
          <w:color w:val="auto"/>
        </w:rPr>
      </w:pPr>
    </w:p>
    <w:p>
      <w:pPr>
        <w:ind w:left="5020" w:hanging="358"/>
        <w:spacing w:after="0"/>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44" w:lineRule="exact"/>
        <w:rPr>
          <w:rFonts w:ascii="Arial" w:cs="Arial" w:eastAsia="Arial" w:hAnsi="Arial"/>
          <w:sz w:val="18"/>
          <w:szCs w:val="18"/>
          <w:color w:val="auto"/>
        </w:rPr>
      </w:pPr>
    </w:p>
    <w:p>
      <w:pPr>
        <w:ind w:left="5020" w:right="959" w:hanging="358"/>
        <w:spacing w:after="0" w:line="277" w:lineRule="auto"/>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20" w:right="439" w:hanging="358"/>
        <w:spacing w:after="0" w:line="279" w:lineRule="auto"/>
        <w:tabs>
          <w:tab w:leader="none" w:pos="5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last sales price of our common stock equals or exceeds $16.00 per share for any 10 trading days within a 30-trading day period ending three business days before we send the notice of redemption; and</w:t>
      </w:r>
    </w:p>
    <w:p>
      <w:pPr>
        <w:spacing w:after="0" w:line="90" w:lineRule="exact"/>
        <w:rPr>
          <w:rFonts w:ascii="Arial" w:cs="Arial" w:eastAsia="Arial" w:hAnsi="Arial"/>
          <w:sz w:val="17"/>
          <w:szCs w:val="17"/>
          <w:color w:val="auto"/>
        </w:rPr>
      </w:pPr>
    </w:p>
    <w:p>
      <w:pPr>
        <w:ind w:left="5020" w:right="519" w:hanging="358"/>
        <w:spacing w:after="0" w:line="255" w:lineRule="auto"/>
        <w:tabs>
          <w:tab w:leader="none" w:pos="5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60" w:right="4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99"/>
        <w:spacing w:after="0"/>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08" w:lineRule="exact"/>
        <w:rPr>
          <w:sz w:val="20"/>
          <w:szCs w:val="20"/>
          <w:color w:val="auto"/>
        </w:rPr>
      </w:pPr>
    </w:p>
    <w:p>
      <w:pPr>
        <w:ind w:right="499"/>
        <w:spacing w:after="0" w:line="255"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12" w:lineRule="exact"/>
        <w:rPr>
          <w:sz w:val="20"/>
          <w:szCs w:val="20"/>
          <w:color w:val="auto"/>
        </w:rPr>
      </w:pPr>
    </w:p>
    <w:p>
      <w:pPr>
        <w:ind w:right="399"/>
        <w:spacing w:after="0" w:line="25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89" w:lineRule="exact"/>
        <w:rPr>
          <w:sz w:val="20"/>
          <w:szCs w:val="20"/>
          <w:color w:val="auto"/>
        </w:rPr>
      </w:pPr>
    </w:p>
    <w:p>
      <w:pPr>
        <w:ind w:right="399"/>
        <w:spacing w:after="0" w:line="255" w:lineRule="auto"/>
        <w:rPr>
          <w:sz w:val="20"/>
          <w:szCs w:val="20"/>
          <w:color w:val="auto"/>
        </w:rPr>
      </w:pPr>
      <w:r>
        <w:rPr>
          <w:rFonts w:ascii="Arial" w:cs="Arial" w:eastAsia="Arial" w:hAnsi="Arial"/>
          <w:sz w:val="18"/>
          <w:szCs w:val="18"/>
          <w:color w:val="auto"/>
        </w:rPr>
        <w:t>$101,500,000 of the net proceeds of this offering and the private placement (or $116,725,000 if the over-allotment option is exercised in full), will be placed in a trust account at Morgan Stanley, maintained by Continental Stock Transfer &amp; Trust Company, acting as trustee pursuant to an agreement to be signed on the date of this prospectus.</w:t>
      </w:r>
    </w:p>
    <w:p>
      <w:pPr>
        <w:spacing w:after="0" w:line="125" w:lineRule="exact"/>
        <w:rPr>
          <w:sz w:val="20"/>
          <w:szCs w:val="20"/>
          <w:color w:val="auto"/>
        </w:rPr>
      </w:pPr>
    </w:p>
    <w:p>
      <w:pPr>
        <w:ind w:right="459"/>
        <w:spacing w:after="0"/>
        <w:rPr>
          <w:sz w:val="20"/>
          <w:szCs w:val="20"/>
          <w:color w:val="auto"/>
        </w:rPr>
      </w:pPr>
      <w:r>
        <w:rPr>
          <w:rFonts w:ascii="Arial" w:cs="Arial" w:eastAsia="Arial" w:hAnsi="Arial"/>
          <w:sz w:val="18"/>
          <w:szCs w:val="18"/>
          <w:color w:val="auto"/>
        </w:rPr>
        <w:t>Except as set forth below, the proceeds in the trust account will not be released until the earlier of: (1) the completion of an initial business combination within the required time period or (2) the redemption of 100% of the outstanding public shares if we have not completed a business combination in the required time period. Therefore,</w:t>
      </w:r>
    </w:p>
    <w:p>
      <w:pPr>
        <w:spacing w:after="0" w:line="200" w:lineRule="exact"/>
        <w:rPr>
          <w:sz w:val="20"/>
          <w:szCs w:val="20"/>
          <w:color w:val="auto"/>
        </w:rPr>
      </w:pPr>
    </w:p>
    <w:p>
      <w:pPr>
        <w:sectPr>
          <w:pgSz w:w="11900" w:h="16838" w:orient="portrait"/>
          <w:cols w:equalWidth="0" w:num="2">
            <w:col w:w="3580" w:space="720"/>
            <w:col w:w="5579"/>
          </w:cols>
          <w:pgMar w:left="580" w:top="131" w:right="1440" w:bottom="1440" w:gutter="0" w:footer="0" w:header="0"/>
          <w:type w:val="continuous"/>
        </w:sect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99"/>
        <w:spacing w:after="0"/>
        <w:rPr>
          <w:sz w:val="20"/>
          <w:szCs w:val="20"/>
          <w:color w:val="auto"/>
        </w:rPr>
      </w:pPr>
      <w:r>
        <w:rPr>
          <w:rFonts w:ascii="Arial" w:cs="Arial" w:eastAsia="Arial" w:hAnsi="Arial"/>
          <w:sz w:val="18"/>
          <w:szCs w:val="18"/>
          <w:color w:val="auto"/>
        </w:rPr>
        <w:t>unless and until our initial business combination is consummated, the proceeds held in the trust account will not be available for our use for any expenses related to this offering or expenses that we may incur related to the investigation and selection of a target business and the negotiation of an agreement to acquire a target business.</w:t>
      </w:r>
    </w:p>
    <w:p>
      <w:pPr>
        <w:spacing w:after="0" w:line="108" w:lineRule="exact"/>
        <w:rPr>
          <w:sz w:val="20"/>
          <w:szCs w:val="20"/>
          <w:color w:val="auto"/>
        </w:rPr>
      </w:pPr>
    </w:p>
    <w:p>
      <w:pPr>
        <w:ind w:right="439"/>
        <w:spacing w:after="0" w:line="251" w:lineRule="auto"/>
        <w:rPr>
          <w:sz w:val="20"/>
          <w:szCs w:val="20"/>
          <w:color w:val="auto"/>
        </w:rPr>
      </w:pPr>
      <w:r>
        <w:rPr>
          <w:rFonts w:ascii="Arial" w:cs="Arial" w:eastAsia="Arial" w:hAnsi="Arial"/>
          <w:sz w:val="17"/>
          <w:szCs w:val="17"/>
          <w:color w:val="auto"/>
        </w:rPr>
        <w:t>Notwithstanding the foregoing, there can be released to us, from time to time, any interest earned on the funds in the trust account that we may need to pay our tax obligations.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$100,000 of interest annually assuming an interest rate of 0.1% per year; however, we can provide no assurances regarding this amount.</w:t>
      </w:r>
    </w:p>
    <w:p>
      <w:pPr>
        <w:spacing w:after="0" w:line="116" w:lineRule="exact"/>
        <w:rPr>
          <w:sz w:val="20"/>
          <w:szCs w:val="20"/>
          <w:color w:val="auto"/>
        </w:rPr>
      </w:pPr>
    </w:p>
    <w:p>
      <w:pPr>
        <w:ind w:right="419"/>
        <w:spacing w:after="0" w:line="252" w:lineRule="auto"/>
        <w:rPr>
          <w:sz w:val="20"/>
          <w:szCs w:val="20"/>
          <w:color w:val="auto"/>
        </w:rPr>
      </w:pPr>
      <w:r>
        <w:rPr>
          <w:rFonts w:ascii="Arial" w:cs="Arial" w:eastAsia="Arial" w:hAnsi="Arial"/>
          <w:sz w:val="17"/>
          <w:szCs w:val="17"/>
          <w:color w:val="auto"/>
        </w:rPr>
        <w:t xml:space="preserve">Unless and until we complete our initial business combination, expenses incurred by us may be paid prior to a business combination only from the net proceeds of this offering not held in the trust account of approximately $1,327,000;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w:t>
      </w:r>
    </w:p>
    <w:p>
      <w:pPr>
        <w:spacing w:after="0" w:line="200" w:lineRule="exact"/>
        <w:rPr>
          <w:sz w:val="20"/>
          <w:szCs w:val="20"/>
          <w:color w:val="auto"/>
        </w:rPr>
      </w:pPr>
    </w:p>
    <w:p>
      <w:pPr>
        <w:spacing w:after="0" w:line="307" w:lineRule="exact"/>
        <w:rPr>
          <w:sz w:val="20"/>
          <w:szCs w:val="20"/>
          <w:color w:val="auto"/>
        </w:rPr>
      </w:pPr>
    </w:p>
    <w:p>
      <w:pPr>
        <w:ind w:right="539"/>
        <w:spacing w:after="0" w:line="267"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w:t>
      </w:r>
    </w:p>
    <w:p>
      <w:pPr>
        <w:spacing w:after="0" w:line="3" w:lineRule="exact"/>
        <w:rPr>
          <w:sz w:val="20"/>
          <w:szCs w:val="20"/>
          <w:color w:val="auto"/>
        </w:rPr>
      </w:pPr>
    </w:p>
    <w:p>
      <w:pPr>
        <w:ind w:right="659"/>
        <w:spacing w:after="0" w:line="265" w:lineRule="auto"/>
        <w:rPr>
          <w:sz w:val="20"/>
          <w:szCs w:val="20"/>
          <w:color w:val="auto"/>
        </w:rPr>
      </w:pPr>
      <w:r>
        <w:rPr>
          <w:rFonts w:ascii="Arial" w:cs="Arial" w:eastAsia="Arial" w:hAnsi="Arial"/>
          <w:sz w:val="17"/>
          <w:szCs w:val="17"/>
          <w:color w:val="auto"/>
        </w:rPr>
        <w:t>described under “</w:t>
      </w:r>
      <w:r>
        <w:rPr>
          <w:rFonts w:ascii="Arial" w:cs="Arial" w:eastAsia="Arial" w:hAnsi="Arial"/>
          <w:sz w:val="17"/>
          <w:szCs w:val="17"/>
          <w:i w:val="1"/>
          <w:iCs w:val="1"/>
          <w:color w:val="auto"/>
        </w:rPr>
        <w:t>Underwriting (Conflicts of Interest)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Marketing Agreement</w:t>
      </w:r>
      <w:r>
        <w:rPr>
          <w:rFonts w:ascii="Arial" w:cs="Arial" w:eastAsia="Arial" w:hAnsi="Arial"/>
          <w:sz w:val="17"/>
          <w:szCs w:val="17"/>
          <w:color w:val="auto"/>
        </w:rPr>
        <w:t>,” which fee we refer to</w:t>
      </w:r>
    </w:p>
    <w:p>
      <w:pPr>
        <w:ind w:right="459"/>
        <w:spacing w:after="0" w:line="251" w:lineRule="auto"/>
        <w:rPr>
          <w:sz w:val="20"/>
          <w:szCs w:val="20"/>
          <w:color w:val="auto"/>
        </w:rPr>
      </w:pPr>
      <w:r>
        <w:rPr>
          <w:rFonts w:ascii="Arial" w:cs="Arial" w:eastAsia="Arial" w:hAnsi="Arial"/>
          <w:sz w:val="18"/>
          <w:szCs w:val="18"/>
          <w:color w:val="auto"/>
        </w:rPr>
        <w:t>throughout this prospectus as the Marketing Fee. If our initial business 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w:t>
      </w:r>
    </w:p>
    <w:p>
      <w:pPr>
        <w:spacing w:after="0" w:line="200" w:lineRule="exact"/>
        <w:rPr>
          <w:sz w:val="20"/>
          <w:szCs w:val="20"/>
          <w:color w:val="auto"/>
        </w:rPr>
      </w:pPr>
    </w:p>
    <w:p>
      <w:pPr>
        <w:sectPr>
          <w:pgSz w:w="11900" w:h="16838" w:orient="portrait"/>
          <w:cols w:equalWidth="0" w:num="2">
            <w:col w:w="3800" w:space="500"/>
            <w:col w:w="5579"/>
          </w:cols>
          <w:pgMar w:left="580" w:top="131" w:right="1440" w:bottom="1440" w:gutter="0" w:footer="0" w:header="0"/>
          <w:type w:val="continuous"/>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599"/>
        <w:spacing w:after="0" w:line="257" w:lineRule="auto"/>
        <w:rPr>
          <w:sz w:val="20"/>
          <w:szCs w:val="20"/>
          <w:color w:val="auto"/>
        </w:rPr>
      </w:pPr>
      <w:r>
        <w:rPr>
          <w:rFonts w:ascii="Arial" w:cs="Arial" w:eastAsia="Arial" w:hAnsi="Arial"/>
          <w:sz w:val="18"/>
          <w:szCs w:val="18"/>
          <w:color w:val="auto"/>
        </w:rPr>
        <w:t>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7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Prior to the consummation of a business combination, there will be</w:t>
      </w:r>
    </w:p>
    <w:p>
      <w:pPr>
        <w:spacing w:after="0" w:line="27" w:lineRule="exact"/>
        <w:rPr>
          <w:sz w:val="20"/>
          <w:szCs w:val="20"/>
          <w:color w:val="auto"/>
        </w:rPr>
      </w:pPr>
    </w:p>
    <w:p>
      <w:pPr>
        <w:ind w:left="4300" w:right="399"/>
        <w:spacing w:after="0" w:line="253" w:lineRule="auto"/>
        <w:rPr>
          <w:sz w:val="20"/>
          <w:szCs w:val="20"/>
          <w:color w:val="auto"/>
        </w:rPr>
      </w:pPr>
      <w:r>
        <w:rPr>
          <w:rFonts w:ascii="Arial" w:cs="Arial" w:eastAsia="Arial" w:hAnsi="Arial"/>
          <w:sz w:val="18"/>
          <w:szCs w:val="18"/>
          <w:color w:val="auto"/>
        </w:rPr>
        <w:t>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of up to $250,000 advanced to us by</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our sponsor to cover offering-related and organizational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expenses;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of $10,000 per month to an affiliate of our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sponsor for office space and related services, subject to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deferral as described herein;</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loans that may be made by our insiders,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officers, directors or any of its or their respective affiliates</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to finance transaction costs in connection with an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the terms of which have not been</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determined;</w:t>
      </w:r>
    </w:p>
    <w:p>
      <w:pPr>
        <w:spacing w:after="0" w:line="157"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 our</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insiders, officers, directors or any of its or their respective</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affiliates in connection with certain activities on our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behalf, such as identifying and investigating possible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business targets and business combinations;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will transfer up to 20,000 founder shares to</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each of our independent directors; and</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payment to Chardan of the underwriting discount and the</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Marketing Fee, fees for any financial advisory, placement</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agency or other similar investment banking services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Chardan may provide to our company in the future,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including in connection with the closing of our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and reimbursement of Chardan for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any out-of-pocket expenses incurred by it in connection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with the performance of such services.</w:t>
      </w:r>
    </w:p>
    <w:p>
      <w:pPr>
        <w:spacing w:after="0" w:line="143" w:lineRule="exact"/>
        <w:rPr>
          <w:sz w:val="20"/>
          <w:szCs w:val="20"/>
          <w:color w:val="auto"/>
        </w:rPr>
      </w:pPr>
    </w:p>
    <w:p>
      <w:pPr>
        <w:ind w:left="4300" w:right="479"/>
        <w:spacing w:after="0" w:line="252" w:lineRule="auto"/>
        <w:rPr>
          <w:sz w:val="20"/>
          <w:szCs w:val="20"/>
          <w:color w:val="auto"/>
        </w:rPr>
      </w:pPr>
      <w:r>
        <w:rPr>
          <w:rFonts w:ascii="Arial" w:cs="Arial" w:eastAsia="Arial" w:hAnsi="Arial"/>
          <w:sz w:val="18"/>
          <w:szCs w:val="18"/>
          <w:color w:val="auto"/>
        </w:rPr>
        <w:t xml:space="preserve">There is no limit on the amount of out-of-pocket expenses reimbursable by 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19"/>
        <w:spacing w:after="0" w:line="251" w:lineRule="auto"/>
        <w:rPr>
          <w:sz w:val="20"/>
          <w:szCs w:val="20"/>
          <w:color w:val="auto"/>
        </w:rPr>
      </w:pPr>
      <w:r>
        <w:rPr>
          <w:rFonts w:ascii="Arial" w:cs="Arial" w:eastAsia="Arial" w:hAnsi="Arial"/>
          <w:sz w:val="18"/>
          <w:szCs w:val="18"/>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26" w:lineRule="exact"/>
        <w:rPr>
          <w:sz w:val="20"/>
          <w:szCs w:val="20"/>
          <w:color w:val="auto"/>
        </w:rPr>
      </w:pPr>
    </w:p>
    <w:p>
      <w:pPr>
        <w:ind w:right="459"/>
        <w:spacing w:after="0" w:line="252"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6" w:lineRule="exact"/>
        <w:rPr>
          <w:sz w:val="20"/>
          <w:szCs w:val="20"/>
          <w:color w:val="auto"/>
        </w:rPr>
      </w:pPr>
    </w:p>
    <w:p>
      <w:pPr>
        <w:ind w:right="479"/>
        <w:spacing w:after="0" w:line="251"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21" w:lineRule="exact"/>
        <w:rPr>
          <w:sz w:val="20"/>
          <w:szCs w:val="20"/>
          <w:color w:val="auto"/>
        </w:rPr>
      </w:pPr>
    </w:p>
    <w:p>
      <w:pPr>
        <w:ind w:right="419"/>
        <w:spacing w:after="0" w:line="257"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w:t>
      </w:r>
    </w:p>
    <w:p>
      <w:pPr>
        <w:spacing w:after="0" w:line="200" w:lineRule="exact"/>
        <w:rPr>
          <w:sz w:val="20"/>
          <w:szCs w:val="20"/>
          <w:color w:val="auto"/>
        </w:rPr>
      </w:pPr>
    </w:p>
    <w:p>
      <w:pPr>
        <w:sectPr>
          <w:pgSz w:w="11900" w:h="16838" w:orient="portrait"/>
          <w:cols w:equalWidth="0" w:num="2">
            <w:col w:w="3820" w:space="480"/>
            <w:col w:w="5579"/>
          </w:cols>
          <w:pgMar w:left="580" w:top="1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38" w:lineRule="auto"/>
        <w:rPr>
          <w:sz w:val="20"/>
          <w:szCs w:val="20"/>
          <w:color w:val="auto"/>
        </w:rPr>
      </w:pPr>
      <w:r>
        <w:rPr>
          <w:rFonts w:ascii="Arial" w:cs="Arial" w:eastAsia="Arial" w:hAnsi="Arial"/>
          <w:sz w:val="18"/>
          <w:szCs w:val="18"/>
          <w:color w:val="auto"/>
        </w:rPr>
        <w:t>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07" w:lineRule="exact"/>
        <w:rPr>
          <w:sz w:val="20"/>
          <w:szCs w:val="20"/>
          <w:color w:val="auto"/>
        </w:rPr>
      </w:pPr>
    </w:p>
    <w:p>
      <w:pPr>
        <w:ind w:left="4300" w:right="399"/>
        <w:spacing w:after="0" w:line="249" w:lineRule="auto"/>
        <w:rPr>
          <w:sz w:val="20"/>
          <w:szCs w:val="20"/>
          <w:color w:val="auto"/>
        </w:rPr>
      </w:pPr>
      <w:r>
        <w:rPr>
          <w:rFonts w:ascii="Arial" w:cs="Arial" w:eastAsia="Arial" w:hAnsi="Arial"/>
          <w:sz w:val="17"/>
          <w:szCs w:val="17"/>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w:t>
      </w:r>
    </w:p>
    <w:p>
      <w:pPr>
        <w:spacing w:after="0" w:line="11" w:lineRule="exact"/>
        <w:rPr>
          <w:sz w:val="20"/>
          <w:szCs w:val="20"/>
          <w:color w:val="auto"/>
        </w:rPr>
      </w:pPr>
    </w:p>
    <w:p>
      <w:pPr>
        <w:ind w:left="4300" w:right="439"/>
        <w:spacing w:after="0" w:line="250" w:lineRule="auto"/>
        <w:rPr>
          <w:sz w:val="20"/>
          <w:szCs w:val="20"/>
          <w:color w:val="auto"/>
        </w:rPr>
      </w:pPr>
      <w:r>
        <w:rPr>
          <w:rFonts w:ascii="Arial" w:cs="Arial" w:eastAsia="Arial" w:hAnsi="Arial"/>
          <w:sz w:val="17"/>
          <w:szCs w:val="17"/>
          <w:color w:val="auto"/>
        </w:rPr>
        <w:t>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 -5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69" w:lineRule="exact"/>
        <w:rPr>
          <w:sz w:val="20"/>
          <w:szCs w:val="20"/>
          <w:color w:val="auto"/>
        </w:rPr>
      </w:pPr>
    </w:p>
    <w:p>
      <w:pPr>
        <w:ind w:left="4300" w:right="499" w:hanging="3023"/>
        <w:spacing w:after="0" w:line="273" w:lineRule="auto"/>
        <w:tabs>
          <w:tab w:leader="none" w:pos="4280" w:val="left"/>
        </w:tabs>
        <w:rPr>
          <w:sz w:val="20"/>
          <w:szCs w:val="20"/>
          <w:color w:val="auto"/>
        </w:rPr>
      </w:pPr>
      <w:r>
        <w:rPr>
          <w:rFonts w:ascii="Arial" w:cs="Arial" w:eastAsia="Arial" w:hAnsi="Arial"/>
          <w:sz w:val="18"/>
          <w:szCs w:val="18"/>
          <w:b w:val="1"/>
          <w:bCs w:val="1"/>
          <w:color w:val="auto"/>
        </w:rPr>
        <w:t>Redemption rights</w:t>
      </w:r>
      <w:r>
        <w:rPr>
          <w:sz w:val="20"/>
          <w:szCs w:val="20"/>
          <w:color w:val="auto"/>
        </w:rPr>
        <w:tab/>
      </w:r>
      <w:r>
        <w:rPr>
          <w:rFonts w:ascii="Arial" w:cs="Arial" w:eastAsia="Arial" w:hAnsi="Arial"/>
          <w:sz w:val="17"/>
          <w:szCs w:val="17"/>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redeem his, 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 consummation of the business combination.</w:t>
      </w:r>
    </w:p>
    <w:p>
      <w:pPr>
        <w:spacing w:after="0" w:line="114" w:lineRule="exact"/>
        <w:rPr>
          <w:sz w:val="20"/>
          <w:szCs w:val="20"/>
          <w:color w:val="auto"/>
        </w:rPr>
      </w:pPr>
    </w:p>
    <w:p>
      <w:pPr>
        <w:ind w:left="4300" w:right="459"/>
        <w:spacing w:after="0" w:line="270" w:lineRule="auto"/>
        <w:rPr>
          <w:sz w:val="20"/>
          <w:szCs w:val="20"/>
          <w:color w:val="auto"/>
        </w:rPr>
      </w:pPr>
      <w:r>
        <w:rPr>
          <w:rFonts w:ascii="Arial" w:cs="Arial" w:eastAsia="Arial" w:hAnsi="Arial"/>
          <w:sz w:val="17"/>
          <w:szCs w:val="17"/>
          <w:color w:val="auto"/>
        </w:rPr>
        <w:t>We may require public stockholders wishing to exercise redemption rights, whether they are a record holder or hold their shares in “street name,” to either tender the certificates they are seeking to</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7" w:lineRule="auto"/>
        <w:rPr>
          <w:sz w:val="20"/>
          <w:szCs w:val="20"/>
          <w:color w:val="auto"/>
        </w:rPr>
      </w:pPr>
      <w:r>
        <w:rPr>
          <w:rFonts w:ascii="Arial" w:cs="Arial" w:eastAsia="Arial" w:hAnsi="Arial"/>
          <w:sz w:val="17"/>
          <w:szCs w:val="17"/>
          <w:color w:val="auto"/>
        </w:rPr>
        <w:t>redeem to our transfer agent or to deliver the shares they are seeking to redeem to the transfer agent electronically using Depository Trust Company’s Deposit/Withdrawal At Custodian System, or DWAC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to pass this cost on to the redeeming holder. However, this fee would be incurred regardless of whether we require holders to deliver their shares prior to the vote on the business combination in order to exercise redemption rights, because a holder would need to deliver shares to exercise redemption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redemption rights will include the requirement that a beneficial holder must identify itself in order to validly redeem its shares.</w:t>
      </w:r>
    </w:p>
    <w:p>
      <w:pPr>
        <w:spacing w:after="0" w:line="1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Delaware law, we may be required to give a minimum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only 10 days’ notice for each general meeting. As a result, if we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 public stockholders who wish to redeem their shares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common stock into the right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funds in the trust account to comply with the foregoing delivery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requirements, holders may not have sufficient time to receive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notice and deliver their shares for redemption. Accordingly,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investors may not be able to exercise their redemption rights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may be forced to retain our securities when they otherwise would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 want to.</w:t>
      </w:r>
    </w:p>
    <w:p>
      <w:pPr>
        <w:spacing w:after="0" w:line="143" w:lineRule="exact"/>
        <w:rPr>
          <w:sz w:val="20"/>
          <w:szCs w:val="20"/>
          <w:color w:val="auto"/>
        </w:rPr>
      </w:pPr>
    </w:p>
    <w:p>
      <w:pPr>
        <w:ind w:left="4300" w:right="479"/>
        <w:spacing w:after="0" w:line="275" w:lineRule="auto"/>
        <w:rPr>
          <w:sz w:val="20"/>
          <w:szCs w:val="20"/>
          <w:color w:val="auto"/>
        </w:rPr>
      </w:pPr>
      <w:r>
        <w:rPr>
          <w:rFonts w:ascii="Arial" w:cs="Arial" w:eastAsia="Arial" w:hAnsi="Arial"/>
          <w:sz w:val="17"/>
          <w:szCs w:val="17"/>
          <w:color w:val="auto"/>
        </w:rPr>
        <w:t>If we require public stockholders who wish to redeem their shares of common stock to comply with specific delivery requirements for redemption described above and such proposed business combination is not consummated, we will promptly return such certificates to the tendering public stockholders.</w:t>
      </w:r>
    </w:p>
    <w:p>
      <w:pPr>
        <w:spacing w:after="0" w:line="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ind w:left="4300" w:right="419" w:hanging="2839"/>
        <w:spacing w:after="0" w:line="266" w:lineRule="auto"/>
        <w:tabs>
          <w:tab w:leader="none" w:pos="4280" w:val="left"/>
        </w:tabs>
        <w:rPr>
          <w:sz w:val="20"/>
          <w:szCs w:val="20"/>
          <w:color w:val="auto"/>
        </w:rPr>
      </w:pPr>
      <w:r>
        <w:rPr>
          <w:rFonts w:ascii="Arial" w:cs="Arial" w:eastAsia="Arial" w:hAnsi="Arial"/>
          <w:sz w:val="17"/>
          <w:szCs w:val="17"/>
          <w:b w:val="1"/>
          <w:bCs w:val="1"/>
          <w:color w:val="auto"/>
        </w:rPr>
        <w:t>combination</w:t>
      </w:r>
      <w:r>
        <w:rPr>
          <w:sz w:val="20"/>
          <w:szCs w:val="20"/>
          <w:color w:val="auto"/>
        </w:rPr>
        <w:tab/>
      </w: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hanging="179"/>
        <w:spacing w:after="0" w:line="386" w:lineRule="auto"/>
        <w:rPr>
          <w:sz w:val="20"/>
          <w:szCs w:val="20"/>
          <w:color w:val="auto"/>
        </w:rPr>
      </w:pPr>
      <w:r>
        <w:rPr>
          <w:rFonts w:ascii="Arial" w:cs="Arial" w:eastAsia="Arial" w:hAnsi="Arial"/>
          <w:sz w:val="15"/>
          <w:szCs w:val="15"/>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19"/>
        <w:spacing w:after="0" w:line="238" w:lineRule="auto"/>
        <w:rPr>
          <w:sz w:val="20"/>
          <w:szCs w:val="20"/>
          <w:color w:val="auto"/>
        </w:rPr>
      </w:pPr>
      <w:r>
        <w:rPr>
          <w:rFonts w:ascii="Arial" w:cs="Arial" w:eastAsia="Arial" w:hAnsi="Arial"/>
          <w:sz w:val="18"/>
          <w:szCs w:val="18"/>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1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27"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19"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$10.15.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$10.15.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9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will have 12 months from the closing of this offering to complete an initial business combination. However, if we anticipate that we may not be able to consummate our initial business combination within 12 months, we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as set out below. Pursuant to the terms of our amended and</w:t>
      </w:r>
    </w:p>
    <w:p>
      <w:pPr>
        <w:spacing w:after="0" w:line="200" w:lineRule="exact"/>
        <w:rPr>
          <w:sz w:val="20"/>
          <w:szCs w:val="20"/>
          <w:color w:val="auto"/>
        </w:rPr>
      </w:pPr>
    </w:p>
    <w:p>
      <w:pPr>
        <w:sectPr>
          <w:pgSz w:w="11900" w:h="16838" w:orient="portrait"/>
          <w:cols w:equalWidth="0" w:num="2">
            <w:col w:w="3760" w:space="540"/>
            <w:col w:w="5579"/>
          </w:cols>
          <w:pgMar w:left="580" w:top="131" w:right="1440" w:bottom="1440" w:gutter="0" w:footer="0" w:header="0"/>
          <w:type w:val="continuous"/>
        </w:sectPr>
      </w:pPr>
    </w:p>
    <w:p>
      <w:pPr>
        <w:spacing w:after="0" w:line="1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6" w:lineRule="auto"/>
        <w:rPr>
          <w:sz w:val="20"/>
          <w:szCs w:val="20"/>
          <w:color w:val="auto"/>
        </w:rPr>
      </w:pPr>
      <w:r>
        <w:rPr>
          <w:rFonts w:ascii="Arial" w:cs="Arial" w:eastAsia="Arial" w:hAnsi="Arial"/>
          <w:sz w:val="17"/>
          <w:szCs w:val="17"/>
          <w:color w:val="auto"/>
        </w:rPr>
        <w:t>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18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pacing w:after="0" w:line="88"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7"/>
          <w:szCs w:val="17"/>
          <w:color w:val="auto"/>
        </w:rPr>
        <w:t>Both we and our sponsor are affiliates of Chardan, the</w:t>
      </w:r>
    </w:p>
    <w:p>
      <w:pPr>
        <w:spacing w:after="0" w:line="27"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representative of the underwriters in this offering, and certain of our officers and directors are affiliated with Chardan. As a result, Chardan is deemed to have a “conflict of interest” within the meaning of FINRA Rule 5121(f)(5), or Rule 5121. Accordingly, this offering is being made in compliance with the applicable requirements of Rule 5121.</w:t>
      </w:r>
    </w:p>
    <w:p>
      <w:pPr>
        <w:spacing w:after="0" w:line="113"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30" w:lineRule="exact"/>
        <w:rPr>
          <w:sz w:val="20"/>
          <w:szCs w:val="20"/>
          <w:color w:val="auto"/>
        </w:rPr>
      </w:pPr>
    </w:p>
    <w:p>
      <w:pPr>
        <w:ind w:left="4300" w:right="399"/>
        <w:spacing w:after="0" w:line="271"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59"/>
        <w:spacing w:after="0" w:line="261" w:lineRule="auto"/>
        <w:rPr>
          <w:sz w:val="20"/>
          <w:szCs w:val="20"/>
          <w:color w:val="auto"/>
        </w:rPr>
      </w:pPr>
      <w:r>
        <w:rPr>
          <w:rFonts w:ascii="Arial" w:cs="Arial" w:eastAsia="Arial" w:hAnsi="Arial"/>
          <w:sz w:val="18"/>
          <w:szCs w:val="18"/>
          <w:color w:val="auto"/>
        </w:rPr>
        <w:t>opportunities to other entities to which they owe duties or clients of affiliates of our sponsor.</w:t>
      </w:r>
    </w:p>
    <w:p>
      <w:pPr>
        <w:spacing w:after="0" w:line="90" w:lineRule="exact"/>
        <w:rPr>
          <w:sz w:val="20"/>
          <w:szCs w:val="20"/>
          <w:color w:val="auto"/>
        </w:rPr>
      </w:pPr>
    </w:p>
    <w:p>
      <w:pPr>
        <w:ind w:left="4300" w:right="439"/>
        <w:spacing w:after="0" w:line="251"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18" w:lineRule="exact"/>
        <w:rPr>
          <w:sz w:val="20"/>
          <w:szCs w:val="20"/>
          <w:color w:val="auto"/>
        </w:rPr>
      </w:pPr>
    </w:p>
    <w:p>
      <w:pPr>
        <w:ind w:left="4300" w:right="539"/>
        <w:spacing w:after="0" w:line="252" w:lineRule="auto"/>
        <w:rPr>
          <w:sz w:val="20"/>
          <w:szCs w:val="20"/>
          <w:color w:val="auto"/>
        </w:rPr>
      </w:pPr>
      <w:r>
        <w:rPr>
          <w:rFonts w:ascii="Arial" w:cs="Arial" w:eastAsia="Arial" w:hAnsi="Arial"/>
          <w:sz w:val="17"/>
          <w:szCs w:val="17"/>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6" w:lineRule="exact"/>
        <w:rPr>
          <w:sz w:val="20"/>
          <w:szCs w:val="20"/>
          <w:color w:val="auto"/>
        </w:rPr>
      </w:pPr>
    </w:p>
    <w:p>
      <w:pPr>
        <w:ind w:left="4300" w:right="419"/>
        <w:spacing w:after="0" w:line="268"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addition, we may, at our option, pursue an Affiliated Joint</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Acquisition. We do not expect that we would pursue any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opportunity with an Affiliated SPAC. This would only occur,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though, if (i) permitted by applicable regulatory and other legal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limitations; (ii) we and Chardan considered a transaction to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mutually beneficial to us as well as the affiliated entity; and</w:t>
      </w:r>
    </w:p>
    <w:p>
      <w:pPr>
        <w:spacing w:after="0" w:line="9" w:lineRule="exact"/>
        <w:rPr>
          <w:sz w:val="20"/>
          <w:szCs w:val="20"/>
          <w:color w:val="auto"/>
        </w:rPr>
      </w:pPr>
    </w:p>
    <w:p>
      <w:pPr>
        <w:ind w:left="4300" w:right="879" w:firstLine="2"/>
        <w:spacing w:after="0" w:line="260" w:lineRule="auto"/>
        <w:tabs>
          <w:tab w:leader="none" w:pos="4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business reasons exist to do so, such as the strategic merits of including such</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54" w:lineRule="auto"/>
        <w:rPr>
          <w:sz w:val="20"/>
          <w:szCs w:val="20"/>
          <w:color w:val="auto"/>
        </w:rPr>
      </w:pPr>
      <w:r>
        <w:rPr>
          <w:rFonts w:ascii="Arial" w:cs="Arial" w:eastAsia="Arial" w:hAnsi="Arial"/>
          <w:sz w:val="18"/>
          <w:szCs w:val="18"/>
          <w:color w:val="auto"/>
        </w:rPr>
        <w:t>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14" w:lineRule="exact"/>
        <w:rPr>
          <w:sz w:val="20"/>
          <w:szCs w:val="20"/>
          <w:color w:val="auto"/>
        </w:rPr>
      </w:pPr>
    </w:p>
    <w:p>
      <w:pPr>
        <w:ind w:left="4300" w:right="399"/>
        <w:spacing w:after="0" w:line="255"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w:t>
      </w:r>
      <w:r>
        <w:rPr>
          <w:rFonts w:ascii="Arial" w:cs="Arial" w:eastAsia="Arial" w:hAnsi="Arial"/>
          <w:sz w:val="17"/>
          <w:szCs w:val="17"/>
          <w:color w:val="auto"/>
        </w:rPr>
        <w:t xml:space="preserve"> </w:t>
      </w:r>
      <w:r>
        <w:rPr>
          <w:rFonts w:ascii="Arial" w:cs="Arial" w:eastAsia="Arial" w:hAnsi="Arial"/>
          <w:sz w:val="17"/>
          <w:szCs w:val="17"/>
          <w:i w:val="1"/>
          <w:iCs w:val="1"/>
          <w:color w:val="auto"/>
        </w:rPr>
        <w:t>companies subject to Rule 419</w:t>
      </w:r>
      <w:r>
        <w:rPr>
          <w:rFonts w:ascii="Arial" w:cs="Arial" w:eastAsia="Arial" w:hAnsi="Arial"/>
          <w:sz w:val="17"/>
          <w:szCs w:val="17"/>
          <w:color w:val="auto"/>
        </w:rPr>
        <w:t>.” You should carefully consider these and the other risks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1280" w:right="39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102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1"/>
                <w:szCs w:val="21"/>
                <w:b w:val="1"/>
                <w:bCs w:val="1"/>
                <w:color w:val="auto"/>
                <w:w w:val="93"/>
                <w:vertAlign w:val="superscript"/>
              </w:rPr>
              <w:t>(1)</w:t>
            </w:r>
          </w:p>
        </w:tc>
        <w:tc>
          <w:tcPr>
            <w:tcW w:w="20" w:type="dxa"/>
            <w:vAlign w:val="bottom"/>
          </w:tcPr>
          <w:p>
            <w:pPr>
              <w:spacing w:after="0"/>
              <w:rPr>
                <w:sz w:val="20"/>
                <w:szCs w:val="20"/>
                <w:color w:val="auto"/>
              </w:rPr>
            </w:pPr>
          </w:p>
        </w:tc>
      </w:tr>
      <w:tr>
        <w:trPr>
          <w:trHeight w:val="25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28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(53,118)</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99,911,000</w:t>
            </w:r>
          </w:p>
        </w:tc>
      </w:tr>
      <w:tr>
        <w:trPr>
          <w:trHeight w:val="25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150,000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102,851,000</w:t>
            </w:r>
          </w:p>
        </w:tc>
        <w:tc>
          <w:tcPr>
            <w:tcW w:w="20" w:type="dxa"/>
            <w:vAlign w:val="bottom"/>
          </w:tcPr>
          <w:p>
            <w:pPr>
              <w:spacing w:after="0"/>
              <w:rPr>
                <w:sz w:val="22"/>
                <w:szCs w:val="22"/>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126,000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2,940,000</w:t>
            </w:r>
          </w:p>
        </w:tc>
      </w:tr>
      <w:tr>
        <w:trPr>
          <w:trHeight w:val="27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94,910,990</w:t>
            </w:r>
          </w:p>
        </w:tc>
        <w:tc>
          <w:tcPr>
            <w:tcW w:w="20" w:type="dxa"/>
            <w:vAlign w:val="bottom"/>
          </w:tcPr>
          <w:p>
            <w:pPr>
              <w:spacing w:after="0"/>
              <w:rPr>
                <w:sz w:val="23"/>
                <w:szCs w:val="23"/>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5,000,010</w:t>
            </w:r>
          </w:p>
        </w:tc>
      </w:tr>
    </w:tbl>
    <w:p>
      <w:pPr>
        <w:spacing w:after="0" w:line="377" w:lineRule="exact"/>
        <w:rPr>
          <w:sz w:val="20"/>
          <w:szCs w:val="20"/>
          <w:color w:val="auto"/>
        </w:rPr>
      </w:pPr>
    </w:p>
    <w:p>
      <w:pPr>
        <w:ind w:left="1640" w:right="399" w:hanging="362"/>
        <w:spacing w:after="0" w:line="263"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working capital and total assets amounts include the $3,902,000 we will receive from the sale of the private warrants, and the “as adjusted” total liabilities of $2,940,000 relates to the warrant liability.</w:t>
      </w:r>
    </w:p>
    <w:p>
      <w:pPr>
        <w:spacing w:after="0" w:line="1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“as adjusted” information gives effect to the sale of the units we are offering, including the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application of the related gross proceeds and the payment of the estimated remaining costs from such sale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the repayment of the accrued and other liabilities required to be repaid such that we have at least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of net tangible assets upon consummation of this offering and upon consummation of our initial</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business combination.</w:t>
      </w:r>
    </w:p>
    <w:p>
      <w:pPr>
        <w:spacing w:after="0" w:line="130"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The “as adjusted” working capital and total assets amounts include the $101,500,000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consummate our initial business combination only if we have net tangible assets of at least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either immediately prior to or upon such consummation and a majority of the outstanding shares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common stock voted are voted in favor of the business combination (if a vote is required or being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obtained).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CAUTIONARY NOTE REGARDING FORWARD-LOOKING STATEMENTS AND RISK FACTOR</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43"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86" w:lineRule="exact"/>
        <w:rPr>
          <w:sz w:val="20"/>
          <w:szCs w:val="20"/>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128" w:lineRule="exact"/>
        <w:rPr>
          <w:rFonts w:ascii="Arial" w:cs="Arial" w:eastAsia="Arial" w:hAnsi="Arial"/>
          <w:sz w:val="17"/>
          <w:szCs w:val="17"/>
          <w:color w:val="auto"/>
        </w:rPr>
      </w:pPr>
    </w:p>
    <w:p>
      <w:pPr>
        <w:ind w:left="1820" w:right="47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delisting of our securities from the Nasdaq or an inability to have our securities listed on Nasdaq following a business combination;</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1820" w:right="57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18" w:lineRule="exact"/>
        <w:rPr>
          <w:sz w:val="20"/>
          <w:szCs w:val="20"/>
          <w:color w:val="auto"/>
        </w:rPr>
      </w:pPr>
    </w:p>
    <w:p>
      <w:pPr>
        <w:ind w:left="1620" w:right="539" w:hanging="360"/>
        <w:spacing w:after="0" w:line="282" w:lineRule="auto"/>
        <w:tabs>
          <w:tab w:leader="none" w:pos="1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ind w:left="1260" w:right="559"/>
        <w:spacing w:after="0" w:line="248"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0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83" w:lineRule="exact"/>
        <w:rPr>
          <w:sz w:val="20"/>
          <w:szCs w:val="20"/>
          <w:color w:val="auto"/>
        </w:rPr>
      </w:pPr>
    </w:p>
    <w:p>
      <w:pPr>
        <w:ind w:left="1260" w:right="479"/>
        <w:spacing w:after="0" w:line="36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3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91"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14"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91"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$3,902,000 (or up to $4,127,000 depending on the extent to which the underwriters’ over-allotment option is exercised)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8" w:lineRule="exact"/>
        <w:rPr>
          <w:sz w:val="20"/>
          <w:szCs w:val="20"/>
          <w:color w:val="auto"/>
        </w:rPr>
      </w:pPr>
    </w:p>
    <w:p>
      <w:pPr>
        <w:ind w:left="1260" w:right="739"/>
        <w:spacing w:after="0" w:line="465"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82"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9" w:lineRule="auto"/>
        <w:rPr>
          <w:sz w:val="20"/>
          <w:szCs w:val="20"/>
          <w:color w:val="auto"/>
        </w:rPr>
      </w:pPr>
      <w:r>
        <w:rPr>
          <w:rFonts w:ascii="Arial" w:cs="Arial" w:eastAsia="Arial" w:hAnsi="Arial"/>
          <w:sz w:val="16"/>
          <w:szCs w:val="16"/>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7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12 months (or up to 18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1" w:lineRule="exact"/>
        <w:rPr>
          <w:sz w:val="20"/>
          <w:szCs w:val="20"/>
          <w:color w:val="auto"/>
        </w:rPr>
      </w:pPr>
    </w:p>
    <w:p>
      <w:pPr>
        <w:ind w:left="1260" w:right="459"/>
        <w:spacing w:after="0" w:line="284"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8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 -party financing being unavailable on terms acceptable to us or at all. Additionally, the continued outbreak of COVID -19 may negatively impact businesses we may seek to acquire. If we have not completed our initial business combination within such 12-month (or up to 18-month) period, we will:</w:t>
      </w:r>
    </w:p>
    <w:p>
      <w:pPr>
        <w:spacing w:after="0" w:line="11" w:lineRule="exact"/>
        <w:rPr>
          <w:sz w:val="20"/>
          <w:szCs w:val="20"/>
          <w:color w:val="auto"/>
        </w:rPr>
      </w:pPr>
    </w:p>
    <w:p>
      <w:pPr>
        <w:ind w:left="1260" w:right="419"/>
        <w:spacing w:after="0" w:line="250" w:lineRule="auto"/>
        <w:tabs>
          <w:tab w:leader="none" w:pos="14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$10.15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$10.15 per share” and other risk factors herein.</w:t>
      </w:r>
    </w:p>
    <w:p>
      <w:pPr>
        <w:spacing w:after="0" w:line="184"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 -19 pandemic has negatively impacted the global economy, disrupted global supply chains, lowered equity market valuations, created significant volatility and disruption in financial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2" w:lineRule="auto"/>
        <w:rPr>
          <w:sz w:val="20"/>
          <w:szCs w:val="20"/>
          <w:color w:val="auto"/>
        </w:rPr>
      </w:pPr>
      <w:r>
        <w:rPr>
          <w:rFonts w:ascii="Arial" w:cs="Arial" w:eastAsia="Arial" w:hAnsi="Arial"/>
          <w:sz w:val="17"/>
          <w:szCs w:val="17"/>
          <w:color w:val="auto"/>
        </w:rPr>
        <w:t>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9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2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87" w:lineRule="exact"/>
        <w:rPr>
          <w:sz w:val="20"/>
          <w:szCs w:val="20"/>
          <w:color w:val="auto"/>
        </w:rPr>
      </w:pPr>
    </w:p>
    <w:p>
      <w:pPr>
        <w:jc w:val="both"/>
        <w:ind w:left="1260" w:right="419"/>
        <w:spacing w:after="0" w:line="411"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2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2" w:lineRule="exact"/>
        <w:rPr>
          <w:sz w:val="20"/>
          <w:szCs w:val="20"/>
          <w:color w:val="auto"/>
        </w:rPr>
      </w:pPr>
    </w:p>
    <w:p>
      <w:pPr>
        <w:jc w:val="both"/>
        <w:ind w:left="1260" w:right="939"/>
        <w:spacing w:after="0" w:line="248"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01"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20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w:t>
      </w:r>
    </w:p>
    <w:p>
      <w:pPr>
        <w:spacing w:after="0" w:line="5"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12 months (or up to 18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You will not be entitled to protections normally afforded to investors of many other blank check companies.</w:t>
      </w:r>
    </w:p>
    <w:p>
      <w:pPr>
        <w:spacing w:after="0" w:line="181"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detailed comparison of our offering to offerings that comply with Rule 419, please see the section of this prospectus entitled “Proposed Business — Comparison to Offerings of Blank Check Companies Subject to Rule 419.”</w:t>
      </w:r>
    </w:p>
    <w:p>
      <w:pPr>
        <w:spacing w:after="0" w:line="182" w:lineRule="exact"/>
        <w:rPr>
          <w:sz w:val="20"/>
          <w:szCs w:val="20"/>
          <w:color w:val="auto"/>
        </w:rPr>
      </w:pPr>
    </w:p>
    <w:p>
      <w:pPr>
        <w:ind w:left="1260" w:right="539"/>
        <w:spacing w:after="0" w:line="368" w:lineRule="auto"/>
        <w:rPr>
          <w:sz w:val="20"/>
          <w:szCs w:val="20"/>
          <w:color w:val="auto"/>
        </w:rPr>
      </w:pPr>
      <w:r>
        <w:rPr>
          <w:rFonts w:ascii="Arial" w:cs="Arial" w:eastAsia="Arial" w:hAnsi="Arial"/>
          <w:sz w:val="13"/>
          <w:szCs w:val="13"/>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28"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93" w:lineRule="exact"/>
        <w:rPr>
          <w:sz w:val="20"/>
          <w:szCs w:val="20"/>
          <w:color w:val="auto"/>
        </w:rPr>
      </w:pPr>
    </w:p>
    <w:p>
      <w:pPr>
        <w:jc w:val="both"/>
        <w:ind w:left="1260" w:right="519"/>
        <w:spacing w:after="0" w:line="279" w:lineRule="auto"/>
        <w:rPr>
          <w:sz w:val="20"/>
          <w:szCs w:val="20"/>
          <w:color w:val="auto"/>
        </w:rPr>
      </w:pPr>
      <w:r>
        <w:rPr>
          <w:rFonts w:ascii="Arial" w:cs="Arial" w:eastAsia="Arial" w:hAnsi="Arial"/>
          <w:sz w:val="16"/>
          <w:szCs w:val="16"/>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12 months (or up to 18 months, as applicable), we may be unable to complete our initial business combination, in which case our public stockholders may only receive $10.15 per share, or less than such amount in certain circumstances, and our warrants will expire worthless.</w:t>
      </w:r>
    </w:p>
    <w:p>
      <w:pPr>
        <w:spacing w:after="0" w:line="92"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12 months (or up to</w:t>
      </w:r>
    </w:p>
    <w:p>
      <w:pPr>
        <w:spacing w:after="0" w:line="1"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18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12 months (or up to 18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89" w:lineRule="exact"/>
        <w:rPr>
          <w:sz w:val="20"/>
          <w:szCs w:val="20"/>
          <w:color w:val="auto"/>
        </w:rPr>
      </w:pPr>
    </w:p>
    <w:p>
      <w:pPr>
        <w:ind w:left="1260" w:right="479"/>
        <w:spacing w:after="0" w:line="297" w:lineRule="auto"/>
        <w:rPr>
          <w:sz w:val="20"/>
          <w:szCs w:val="20"/>
          <w:color w:val="auto"/>
        </w:rPr>
      </w:pPr>
      <w:r>
        <w:rPr>
          <w:rFonts w:ascii="Arial" w:cs="Arial" w:eastAsia="Arial" w:hAnsi="Arial"/>
          <w:sz w:val="15"/>
          <w:szCs w:val="15"/>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69"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Of the net proceeds of this offering and the sale of the private warrants, only approximately $ 1,327,000 will be available to us initially outside the trust account to fund our working capital requirements. In the event that our offering expenses exceed our estimate of $575,000,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$575,000,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89" w:lineRule="exact"/>
        <w:rPr>
          <w:sz w:val="20"/>
          <w:szCs w:val="20"/>
          <w:color w:val="auto"/>
        </w:rPr>
      </w:pPr>
    </w:p>
    <w:p>
      <w:pPr>
        <w:ind w:left="1260" w:right="499"/>
        <w:spacing w:after="0" w:line="389" w:lineRule="auto"/>
        <w:rPr>
          <w:sz w:val="20"/>
          <w:szCs w:val="20"/>
          <w:color w:val="auto"/>
        </w:rPr>
      </w:pPr>
      <w:r>
        <w:rPr>
          <w:rFonts w:ascii="Arial" w:cs="Arial" w:eastAsia="Arial" w:hAnsi="Arial"/>
          <w:sz w:val="13"/>
          <w:szCs w:val="13"/>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2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91" w:lineRule="exact"/>
        <w:rPr>
          <w:sz w:val="20"/>
          <w:szCs w:val="20"/>
          <w:color w:val="auto"/>
        </w:rPr>
      </w:pPr>
    </w:p>
    <w:p>
      <w:pPr>
        <w:ind w:left="1260" w:right="659"/>
        <w:spacing w:after="0" w:line="324"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per-share redemption amount received by stockholders may be less than $10.15 per share.</w:t>
      </w:r>
    </w:p>
    <w:p>
      <w:pPr>
        <w:spacing w:after="0" w:line="4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43"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jc w:val="both"/>
        <w:ind w:left="1260" w:right="419"/>
        <w:spacing w:after="0" w:line="294" w:lineRule="auto"/>
        <w:rPr>
          <w:sz w:val="20"/>
          <w:szCs w:val="20"/>
          <w:color w:val="auto"/>
        </w:rPr>
      </w:pPr>
      <w:r>
        <w:rPr>
          <w:rFonts w:ascii="Arial" w:cs="Arial" w:eastAsia="Arial" w:hAnsi="Arial"/>
          <w:sz w:val="16"/>
          <w:szCs w:val="16"/>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6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4" w:lineRule="exact"/>
        <w:rPr>
          <w:sz w:val="20"/>
          <w:szCs w:val="20"/>
          <w:color w:val="auto"/>
        </w:rPr>
      </w:pPr>
    </w:p>
    <w:p>
      <w:pPr>
        <w:ind w:left="1260" w:right="459"/>
        <w:spacing w:after="0" w:line="308"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7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12 months (or up to 18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12th month (or up to the 18th month, as applicable) from the closing of this offering in the event we do not complete our initial business combination and, therefore, we do not intend to comply with the foregoing procedures.</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12 months (or up to 18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0" w:lineRule="exact"/>
        <w:rPr>
          <w:sz w:val="20"/>
          <w:szCs w:val="20"/>
          <w:color w:val="auto"/>
        </w:rPr>
      </w:pPr>
    </w:p>
    <w:p>
      <w:pPr>
        <w:ind w:left="1260" w:right="1259"/>
        <w:spacing w:after="0" w:line="324" w:lineRule="auto"/>
        <w:rPr>
          <w:sz w:val="20"/>
          <w:szCs w:val="20"/>
          <w:color w:val="auto"/>
        </w:rPr>
      </w:pPr>
      <w:r>
        <w:rPr>
          <w:rFonts w:ascii="Arial" w:cs="Arial" w:eastAsia="Arial" w:hAnsi="Arial"/>
          <w:sz w:val="16"/>
          <w:szCs w:val="16"/>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4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5"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5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management’s area of expertise.</w:t>
      </w:r>
    </w:p>
    <w:p>
      <w:pPr>
        <w:spacing w:after="0" w:line="9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200" w:lineRule="exact"/>
        <w:rPr>
          <w:sz w:val="20"/>
          <w:szCs w:val="20"/>
          <w:color w:val="auto"/>
        </w:rPr>
      </w:pPr>
    </w:p>
    <w:p>
      <w:pPr>
        <w:ind w:left="1260" w:right="539"/>
        <w:spacing w:after="0" w:line="308"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7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business does not meet our general criteria and guidelines.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on the redemption of their shares. See “ — If third parties bring claims against us, the proceeds held in the trust account could be reduced and the per-share redemption amount received by stockholders may be less than $10.15 per share” and other risk factors below.</w:t>
      </w:r>
    </w:p>
    <w:p>
      <w:pPr>
        <w:spacing w:after="0" w:line="191" w:lineRule="exact"/>
        <w:rPr>
          <w:sz w:val="20"/>
          <w:szCs w:val="20"/>
          <w:color w:val="auto"/>
        </w:rPr>
      </w:pPr>
    </w:p>
    <w:p>
      <w:pPr>
        <w:ind w:left="1260" w:right="439"/>
        <w:spacing w:after="0" w:line="294" w:lineRule="auto"/>
        <w:rPr>
          <w:sz w:val="20"/>
          <w:szCs w:val="20"/>
          <w:color w:val="auto"/>
        </w:rPr>
      </w:pPr>
      <w:r>
        <w:rPr>
          <w:rFonts w:ascii="Arial" w:cs="Arial" w:eastAsia="Arial" w:hAnsi="Arial"/>
          <w:sz w:val="16"/>
          <w:szCs w:val="16"/>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66"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ind w:left="1260" w:right="619"/>
        <w:spacing w:after="0" w:line="322"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4" w:lineRule="exact"/>
        <w:rPr>
          <w:sz w:val="20"/>
          <w:szCs w:val="20"/>
          <w:color w:val="auto"/>
        </w:rPr>
      </w:pPr>
    </w:p>
    <w:p>
      <w:pPr>
        <w:ind w:left="1260" w:right="859"/>
        <w:spacing w:after="0" w:line="465"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99"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3"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92"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80"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0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99"/>
        <w:spacing w:after="0" w:line="261" w:lineRule="auto"/>
        <w:rPr>
          <w:sz w:val="20"/>
          <w:szCs w:val="20"/>
          <w:color w:val="auto"/>
        </w:rPr>
      </w:pPr>
      <w:r>
        <w:rPr>
          <w:rFonts w:ascii="Arial" w:cs="Arial" w:eastAsia="Arial" w:hAnsi="Arial"/>
          <w:sz w:val="18"/>
          <w:szCs w:val="18"/>
          <w:color w:val="auto"/>
        </w:rPr>
        <w:t>amend our charter or governing instruments or extend the time to consummate an initial business combination in order to effectuate our initial business combination.</w:t>
      </w:r>
    </w:p>
    <w:p>
      <w:pPr>
        <w:spacing w:after="0" w:line="171" w:lineRule="exact"/>
        <w:rPr>
          <w:sz w:val="20"/>
          <w:szCs w:val="20"/>
          <w:color w:val="auto"/>
        </w:rPr>
      </w:pPr>
    </w:p>
    <w:p>
      <w:pPr>
        <w:ind w:left="1260" w:right="479"/>
        <w:spacing w:after="0" w:line="293" w:lineRule="auto"/>
        <w:rPr>
          <w:sz w:val="20"/>
          <w:szCs w:val="20"/>
          <w:color w:val="auto"/>
        </w:rPr>
      </w:pPr>
      <w:r>
        <w:rPr>
          <w:rFonts w:ascii="Arial" w:cs="Arial" w:eastAsia="Arial" w:hAnsi="Arial"/>
          <w:sz w:val="15"/>
          <w:szCs w:val="15"/>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7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3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9"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183"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43"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w:t>
      </w:r>
    </w:p>
    <w:p>
      <w:pPr>
        <w:spacing w:after="0" w:line="1"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81"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0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$ 10.15 per share, or less in certain circumstances,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79"/>
        <w:spacing w:after="0" w:line="266"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75"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9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 -combination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91" w:lineRule="exact"/>
        <w:rPr>
          <w:sz w:val="20"/>
          <w:szCs w:val="20"/>
          <w:color w:val="auto"/>
        </w:rPr>
      </w:pPr>
    </w:p>
    <w:p>
      <w:pPr>
        <w:ind w:left="1260" w:right="1139"/>
        <w:spacing w:after="0" w:line="324" w:lineRule="auto"/>
        <w:rPr>
          <w:sz w:val="20"/>
          <w:szCs w:val="20"/>
          <w:color w:val="auto"/>
        </w:rPr>
      </w:pPr>
      <w:r>
        <w:rPr>
          <w:rFonts w:ascii="Arial" w:cs="Arial" w:eastAsia="Arial" w:hAnsi="Arial"/>
          <w:sz w:val="16"/>
          <w:szCs w:val="16"/>
          <w:b w:val="1"/>
          <w:bCs w:val="1"/>
          <w:i w:val="1"/>
          <w:iCs w:val="1"/>
          <w:color w:val="auto"/>
        </w:rPr>
        <w:t>Unlike other blank check companies, we may extend the time to complete a business combination by up to six months without a stockholder vote or your ability to redeem your shares.</w:t>
      </w:r>
    </w:p>
    <w:p>
      <w:pPr>
        <w:spacing w:after="0" w:line="5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 xml:space="preserve">We will have until 12 months from the closing of this offering to consummate an initial business combination. However, unlike other similarly structured blank check companies,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8"/>
          <w:szCs w:val="18"/>
          <w:i w:val="1"/>
          <w:iCs w:val="1"/>
          <w:color w:val="auto"/>
        </w:rPr>
        <w:t>provided that</w:t>
      </w:r>
      <w:r>
        <w:rPr>
          <w:rFonts w:ascii="Arial" w:cs="Arial" w:eastAsia="Arial" w:hAnsi="Arial"/>
          <w:sz w:val="18"/>
          <w:szCs w:val="18"/>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w:t>
      </w:r>
    </w:p>
    <w:p>
      <w:pPr>
        <w:spacing w:after="0" w:line="189"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07" w:lineRule="exact"/>
        <w:rPr>
          <w:sz w:val="20"/>
          <w:szCs w:val="20"/>
          <w:color w:val="auto"/>
        </w:rPr>
      </w:pPr>
    </w:p>
    <w:p>
      <w:pPr>
        <w:ind w:left="1260" w:right="839" w:firstLine="360"/>
        <w:spacing w:after="0" w:line="324"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62" w:lineRule="auto"/>
        <w:rPr>
          <w:sz w:val="20"/>
          <w:szCs w:val="20"/>
          <w:color w:val="auto"/>
        </w:rPr>
      </w:pPr>
      <w:r>
        <w:rPr>
          <w:rFonts w:ascii="Arial" w:cs="Arial" w:eastAsia="Arial" w:hAnsi="Arial"/>
          <w:sz w:val="17"/>
          <w:szCs w:val="17"/>
          <w:color w:val="auto"/>
        </w:rPr>
        <w:t>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9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 business combination. This could increase the cost of, delay or otherwise complicate or frustrate our ability to find a suitable target for and/or complete our initial business combination.</w:t>
      </w:r>
    </w:p>
    <w:p>
      <w:pPr>
        <w:spacing w:after="0" w:line="194"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12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1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91" w:lineRule="exact"/>
        <w:rPr>
          <w:sz w:val="20"/>
          <w:szCs w:val="20"/>
          <w:color w:val="auto"/>
        </w:rPr>
      </w:pPr>
    </w:p>
    <w:p>
      <w:pPr>
        <w:ind w:left="1260" w:right="539"/>
        <w:spacing w:after="0" w:line="362" w:lineRule="auto"/>
        <w:rPr>
          <w:sz w:val="20"/>
          <w:szCs w:val="20"/>
          <w:color w:val="auto"/>
        </w:rPr>
      </w:pPr>
      <w:r>
        <w:rPr>
          <w:rFonts w:ascii="Arial" w:cs="Arial" w:eastAsia="Arial" w:hAnsi="Arial"/>
          <w:sz w:val="15"/>
          <w:szCs w:val="15"/>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33"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0" w:lineRule="exact"/>
        <w:rPr>
          <w:sz w:val="20"/>
          <w:szCs w:val="20"/>
          <w:color w:val="auto"/>
        </w:rPr>
      </w:pPr>
    </w:p>
    <w:p>
      <w:pPr>
        <w:ind w:left="1800" w:right="65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7" w:lineRule="exact"/>
        <w:rPr>
          <w:sz w:val="20"/>
          <w:szCs w:val="20"/>
          <w:color w:val="auto"/>
        </w:rPr>
      </w:pPr>
    </w:p>
    <w:p>
      <w:pPr>
        <w:ind w:left="1260" w:right="459"/>
        <w:spacing w:after="0" w:line="465"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92"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00" w:lineRule="exact"/>
        <w:rPr>
          <w:sz w:val="20"/>
          <w:szCs w:val="20"/>
          <w:color w:val="auto"/>
        </w:rPr>
      </w:pPr>
    </w:p>
    <w:p>
      <w:pPr>
        <w:ind w:left="1800" w:right="5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80"/>
        <w:spacing w:after="0" w:line="311" w:lineRule="auto"/>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27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the net proceeds from this offering and the sale of the private warrants, $101,500,000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$116,725,000 if the underwriters’ over-allotment option is exercised in full) will be available to complete</w:t>
      </w:r>
    </w:p>
    <w:p>
      <w:pPr>
        <w:ind w:left="1260"/>
        <w:spacing w:after="0"/>
        <w:rPr>
          <w:sz w:val="20"/>
          <w:szCs w:val="20"/>
          <w:color w:val="auto"/>
        </w:rPr>
      </w:pPr>
      <w:r>
        <w:rPr>
          <w:rFonts w:ascii="Arial" w:cs="Arial" w:eastAsia="Arial" w:hAnsi="Arial"/>
          <w:sz w:val="18"/>
          <w:szCs w:val="18"/>
          <w:color w:val="auto"/>
        </w:rPr>
        <w:t>our initial business combination and pay related fees and expenses.</w:t>
      </w:r>
    </w:p>
    <w:p>
      <w:pPr>
        <w:spacing w:after="0" w:line="11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85"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4"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87"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9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$10.15 per share or which approximates the per-share amounts in our trust account at such time, which is generally approximately $10.15.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91"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ind w:left="1260" w:right="579"/>
        <w:spacing w:after="0" w:line="389"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5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74"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83"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committed to purchase 4,200,000 warrants (or up to 4,442,183 warrants depending on the extent to which the underwriters’ over-allotment option is exercised) at a price of approximately $0.93 per warrant ( $3,902,000 (or up to $4,127,000 depending on the extent to which the underwriters’ over-allotment option is exercised)) that will also be worthless if we do not consummate our initial business combination. Holders of founder shares and private warrants have agreed</w:t>
      </w:r>
    </w:p>
    <w:p>
      <w:pPr>
        <w:spacing w:after="0" w:line="5" w:lineRule="exact"/>
        <w:rPr>
          <w:sz w:val="20"/>
          <w:szCs w:val="20"/>
          <w:color w:val="auto"/>
        </w:rPr>
      </w:pPr>
    </w:p>
    <w:p>
      <w:pPr>
        <w:ind w:left="1260" w:right="519"/>
        <w:spacing w:after="0" w:line="252" w:lineRule="auto"/>
        <w:tabs>
          <w:tab w:leader="none" w:pos="15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54" w:lineRule="exact"/>
        <w:rPr>
          <w:sz w:val="20"/>
          <w:szCs w:val="20"/>
          <w:color w:val="auto"/>
        </w:rPr>
      </w:pPr>
    </w:p>
    <w:p>
      <w:pPr>
        <w:ind w:left="1260" w:right="519"/>
        <w:spacing w:after="0" w:line="284" w:lineRule="auto"/>
        <w:rPr>
          <w:sz w:val="20"/>
          <w:szCs w:val="20"/>
          <w:color w:val="auto"/>
        </w:rPr>
      </w:pPr>
      <w:r>
        <w:rPr>
          <w:rFonts w:ascii="Arial" w:cs="Arial" w:eastAsia="Arial" w:hAnsi="Arial"/>
          <w:sz w:val="16"/>
          <w:szCs w:val="16"/>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61"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 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6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64"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93"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7"/>
          <w:szCs w:val="17"/>
          <w:color w:val="auto"/>
        </w:rPr>
        <w:t>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0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2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12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1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01"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may acquire a target business through an Affiliated Joint Acquisition with one or more affiliates of Chardan.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This may result in conflicts of interest as well as dilutive issuances of our securities.</w:t>
      </w:r>
    </w:p>
    <w:p>
      <w:pPr>
        <w:spacing w:after="0" w:line="12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95" w:lineRule="exact"/>
        <w:rPr>
          <w:sz w:val="20"/>
          <w:szCs w:val="20"/>
          <w:color w:val="auto"/>
        </w:rPr>
      </w:pPr>
    </w:p>
    <w:p>
      <w:pPr>
        <w:ind w:left="1260" w:right="939"/>
        <w:spacing w:after="0" w:line="291" w:lineRule="auto"/>
        <w:rPr>
          <w:sz w:val="20"/>
          <w:szCs w:val="20"/>
          <w:color w:val="auto"/>
        </w:rPr>
      </w:pPr>
      <w:r>
        <w:rPr>
          <w:rFonts w:ascii="Arial" w:cs="Arial" w:eastAsia="Arial" w:hAnsi="Arial"/>
          <w:sz w:val="17"/>
          <w:szCs w:val="17"/>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7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w:t>
      </w:r>
    </w:p>
    <w:p>
      <w:pPr>
        <w:spacing w:after="0" w:line="17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III. Risks Relating to our Securities</w:t>
      </w:r>
    </w:p>
    <w:p>
      <w:pPr>
        <w:spacing w:after="0" w:line="229" w:lineRule="exact"/>
        <w:rPr>
          <w:sz w:val="20"/>
          <w:szCs w:val="20"/>
          <w:color w:val="auto"/>
        </w:rPr>
      </w:pPr>
    </w:p>
    <w:p>
      <w:pPr>
        <w:ind w:left="1260" w:right="479"/>
        <w:spacing w:after="0" w:line="340" w:lineRule="auto"/>
        <w:rPr>
          <w:sz w:val="20"/>
          <w:szCs w:val="20"/>
          <w:color w:val="auto"/>
        </w:rPr>
      </w:pPr>
      <w:r>
        <w:rPr>
          <w:rFonts w:ascii="Arial" w:cs="Arial" w:eastAsia="Arial" w:hAnsi="Arial"/>
          <w:sz w:val="15"/>
          <w:szCs w:val="15"/>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$10.15 per share.</w:t>
      </w:r>
    </w:p>
    <w:p>
      <w:pPr>
        <w:spacing w:after="0" w:line="6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net proceeds of this offering and certain proceeds from the sale of the private placement warrants, in the amount of $101,500,000 (or $116,725,000 if the over-allotment option is exercised in full),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$101,500,000 (or $116,725,000 if the over-allotment option is exercised in full) as a result of negative interest rates, the amount of funds in the trust account available for distribution to our public stockholders may be reduced below $10.15 per share.</w:t>
      </w:r>
    </w:p>
    <w:p>
      <w:pPr>
        <w:spacing w:after="0" w:line="180"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restrictions on the nature of our investments;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 transaction business or assets for the long term. We do not plan to buy businesses or assets with a view to resale or profit from their resale. We do not plan to buy unrelated businesses or assets or to be a passive investor.</w:t>
      </w:r>
    </w:p>
    <w:p>
      <w:pPr>
        <w:spacing w:after="0" w:line="100"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11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or</w:t>
      </w:r>
    </w:p>
    <w:p>
      <w:pPr>
        <w:spacing w:after="0" w:line="2" w:lineRule="exact"/>
        <w:rPr>
          <w:sz w:val="20"/>
          <w:szCs w:val="20"/>
          <w:color w:val="auto"/>
        </w:rPr>
      </w:pPr>
    </w:p>
    <w:p>
      <w:pPr>
        <w:ind w:left="1260" w:right="419"/>
        <w:spacing w:after="0" w:line="251" w:lineRule="auto"/>
        <w:tabs>
          <w:tab w:leader="none" w:pos="1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absent an initial business combination within 12 months (or up to 18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or less in certain circumstances, on the liquidation of our trust account and our warrants will expire worthless.</w:t>
      </w:r>
    </w:p>
    <w:p>
      <w:pPr>
        <w:spacing w:after="0" w:line="183" w:lineRule="exact"/>
        <w:rPr>
          <w:sz w:val="20"/>
          <w:szCs w:val="20"/>
          <w:color w:val="auto"/>
        </w:rPr>
      </w:pPr>
    </w:p>
    <w:p>
      <w:pPr>
        <w:jc w:val="both"/>
        <w:ind w:left="1260" w:right="479"/>
        <w:spacing w:after="0" w:line="32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62"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8" w:lineRule="exact"/>
        <w:rPr>
          <w:sz w:val="20"/>
          <w:szCs w:val="20"/>
          <w:color w:val="auto"/>
        </w:rPr>
      </w:pPr>
    </w:p>
    <w:p>
      <w:pPr>
        <w:ind w:left="1260" w:right="1119"/>
        <w:spacing w:after="0" w:line="342" w:lineRule="auto"/>
        <w:rPr>
          <w:sz w:val="20"/>
          <w:szCs w:val="20"/>
          <w:color w:val="auto"/>
        </w:rPr>
      </w:pPr>
      <w:r>
        <w:rPr>
          <w:rFonts w:ascii="Arial" w:cs="Arial" w:eastAsia="Arial" w:hAnsi="Arial"/>
          <w:sz w:val="16"/>
          <w:szCs w:val="16"/>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4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w:t>
      </w:r>
    </w:p>
    <w:p>
      <w:pPr>
        <w:spacing w:after="0" w:line="2"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15"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5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would be subject to regulation in each state in which we offer our securities, including in connection with our initial business combination.</w:t>
      </w:r>
    </w:p>
    <w:p>
      <w:pPr>
        <w:spacing w:after="0" w:line="170" w:lineRule="exact"/>
        <w:rPr>
          <w:sz w:val="20"/>
          <w:szCs w:val="20"/>
          <w:color w:val="auto"/>
        </w:rPr>
      </w:pPr>
    </w:p>
    <w:p>
      <w:pPr>
        <w:ind w:left="1260" w:right="719"/>
        <w:spacing w:after="0" w:line="342" w:lineRule="auto"/>
        <w:rPr>
          <w:sz w:val="20"/>
          <w:szCs w:val="20"/>
          <w:color w:val="auto"/>
        </w:rPr>
      </w:pPr>
      <w:r>
        <w:rPr>
          <w:rFonts w:ascii="Arial" w:cs="Arial" w:eastAsia="Arial" w:hAnsi="Arial"/>
          <w:sz w:val="16"/>
          <w:szCs w:val="16"/>
          <w:b w:val="1"/>
          <w:bCs w:val="1"/>
          <w:i w:val="1"/>
          <w:iCs w:val="1"/>
          <w:color w:val="auto"/>
        </w:rPr>
        <w:t>Our sponsor paid an aggregate of $25,000, or approximately $0.01 per founder share, and, accordingly, you will experience immediate and substantial dilution from the purchase of the founder shares.</w:t>
      </w:r>
    </w:p>
    <w:p>
      <w:pPr>
        <w:spacing w:after="0" w:line="4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84.1% (or $8.41 per share, assuming no exercise of the underwriters’ over-allotment option), the difference between the pro forma net tangible book value per share of $1.59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82" w:lineRule="exact"/>
        <w:rPr>
          <w:sz w:val="20"/>
          <w:szCs w:val="20"/>
          <w:color w:val="auto"/>
        </w:rPr>
      </w:pPr>
    </w:p>
    <w:p>
      <w:pPr>
        <w:jc w:val="both"/>
        <w:ind w:left="1260" w:right="499"/>
        <w:spacing w:after="0" w:line="311"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amended and restated certificate of incorporation will authorize the issuance of up to 50,000,000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par value $0.0001 per share, and 1,000,000 shares of preferred stock, par value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$0.0001 per share. Immediately after this offering, there will be 27,261,539 (assuming, in each case, that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underwriters have not exercised their over-allotment option) authorized but unissued shares of common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which amount takes into account the shares of common stock reserved for issuance upon exercise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warrants. Immediately after the consummation of this offering, there will be no shares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preferred stock issued and outstanding.</w:t>
      </w:r>
    </w:p>
    <w:p>
      <w:pPr>
        <w:spacing w:after="0" w:line="14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may significantly dilute the equity interest of investors in this offering;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04"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w:t>
      </w:r>
    </w:p>
    <w:p>
      <w:pPr>
        <w:spacing w:after="0" w:line="3" w:lineRule="exact"/>
        <w:rPr>
          <w:sz w:val="20"/>
          <w:szCs w:val="20"/>
          <w:color w:val="auto"/>
        </w:rPr>
      </w:pPr>
    </w:p>
    <w:p>
      <w:pPr>
        <w:ind w:left="1260" w:right="439"/>
        <w:spacing w:after="0" w:line="266" w:lineRule="auto"/>
        <w:tabs>
          <w:tab w:leader="none" w:pos="15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189"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89" w:lineRule="exact"/>
        <w:rPr>
          <w:sz w:val="20"/>
          <w:szCs w:val="20"/>
          <w:color w:val="auto"/>
        </w:rPr>
      </w:pPr>
    </w:p>
    <w:p>
      <w:pPr>
        <w:ind w:left="1260" w:right="539" w:firstLine="360"/>
        <w:spacing w:after="0" w:line="342" w:lineRule="auto"/>
        <w:rPr>
          <w:sz w:val="20"/>
          <w:szCs w:val="20"/>
          <w:color w:val="auto"/>
        </w:rPr>
      </w:pPr>
      <w:r>
        <w:rPr>
          <w:rFonts w:ascii="Arial" w:cs="Arial" w:eastAsia="Arial" w:hAnsi="Arial"/>
          <w:sz w:val="16"/>
          <w:szCs w:val="16"/>
          <w:color w:val="auto"/>
        </w:rPr>
        <w:t>There are circumstances in which the exercise of the public warrants may be required or permitted to be made on a cashless basis. First, if a registration statement covering the shares of common stock issuable</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94"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b w:val="1"/>
          <w:bCs w:val="1"/>
          <w:i w:val="1"/>
          <w:iCs w:val="1"/>
          <w:color w:val="auto"/>
        </w:rPr>
        <w:t>Since our sponsor paid only approximately $0.01 per share for the founder shares, certain of our officers and directors could potentially make a substantial profit even if we acquire a target business that subsequently declines in value.</w:t>
      </w:r>
    </w:p>
    <w:p>
      <w:pPr>
        <w:spacing w:after="0" w:line="10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2021, we effected a 2.875-for-1 stock split, resulting in 2,875,000 shares of common stock being held by our sponsor, resulting in a purchase price of approximately $ 0.01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80" w:lineRule="exact"/>
        <w:rPr>
          <w:sz w:val="20"/>
          <w:szCs w:val="20"/>
          <w:color w:val="auto"/>
        </w:rPr>
      </w:pPr>
    </w:p>
    <w:p>
      <w:pPr>
        <w:ind w:left="1260" w:right="779"/>
        <w:spacing w:after="0" w:line="381" w:lineRule="auto"/>
        <w:rPr>
          <w:sz w:val="20"/>
          <w:szCs w:val="20"/>
          <w:color w:val="auto"/>
        </w:rPr>
      </w:pPr>
      <w:r>
        <w:rPr>
          <w:rFonts w:ascii="Arial" w:cs="Arial" w:eastAsia="Arial" w:hAnsi="Arial"/>
          <w:sz w:val="15"/>
          <w:szCs w:val="15"/>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offering our units at an offering price of $10.00 per unit, implying an initial value of $10.00 per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share. However, prior to this offering, our sponsor paid a nominal aggregate purchase price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$25,000 for the founder shares, or approximately $0.003 per share. As a result, the value of your public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may be significantly diluted upon the consummation of our initial business combination, when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founder shares are converted into public shares. For example, the following table shows the dilutive effect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founder shares on the implied value of the public shares upon the consummation of our initial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assuming that our equity value at that time is $96,500,000, which is the amount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would have for our initial business combination in the trust account after payment of $3,500,000 pursuant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business combination marketing agreement, assuming the underwriters’ over-allotment option is not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exercised, no interest is earned on the funds held in the trust account, and no public shares are redeemed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connection with our initial business combination, and without taking into account any other potential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impacts on our valuation at such time, such as the trading price of our public shares, the business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transaction costs, any equity issued or cash paid to the target’s sellers or other third parties,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target’s business itself, including its assets, liabilities, management and prospects, as well as the value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public and private warrants. At such valuation, each of our shares of common stock would have 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implied value of $7.72 per share upon consummation of our initial business combination, which would be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22.8% decrease as compared to the initial implied value per public share of $10.00 (the price per unit in this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offering, assuming no value to the public warrants).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620" w:type="dxa"/>
        <w:tblCellMar>
          <w:top w:w="0" w:type="dxa"/>
          <w:left w:w="0" w:type="dxa"/>
          <w:bottom w:w="0" w:type="dxa"/>
          <w:right w:w="0" w:type="dxa"/>
        </w:tblCellMar>
      </w:tblPr>
      <w:tr>
        <w:trPr>
          <w:trHeight w:val="299"/>
        </w:trPr>
        <w:tc>
          <w:tcPr>
            <w:tcW w:w="6360" w:type="dxa"/>
            <w:vAlign w:val="bottom"/>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26"/>
                <w:szCs w:val="26"/>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w:t>
            </w:r>
          </w:p>
        </w:tc>
      </w:tr>
      <w:tr>
        <w:trPr>
          <w:trHeight w:val="250"/>
        </w:trPr>
        <w:tc>
          <w:tcPr>
            <w:tcW w:w="6580" w:type="dxa"/>
            <w:vAlign w:val="bottom"/>
            <w:gridSpan w:val="2"/>
          </w:tcPr>
          <w:p>
            <w:pPr>
              <w:spacing w:after="0"/>
              <w:rPr>
                <w:sz w:val="20"/>
                <w:szCs w:val="20"/>
                <w:color w:val="auto"/>
              </w:rPr>
            </w:pPr>
            <w:r>
              <w:rPr>
                <w:rFonts w:ascii="Arial" w:cs="Arial" w:eastAsia="Arial" w:hAnsi="Arial"/>
                <w:sz w:val="18"/>
                <w:szCs w:val="18"/>
                <w:color w:val="auto"/>
              </w:rPr>
              <w:t>Total shares</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12,500,000</w:t>
            </w:r>
          </w:p>
        </w:tc>
      </w:tr>
      <w:tr>
        <w:trPr>
          <w:trHeight w:val="229"/>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funds in trust available for initial business combination (less business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4"/>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combination marketing agreement)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96,500,000</w:t>
            </w:r>
          </w:p>
        </w:tc>
      </w:tr>
      <w:tr>
        <w:trPr>
          <w:trHeight w:val="257"/>
        </w:trPr>
        <w:tc>
          <w:tcPr>
            <w:tcW w:w="6580" w:type="dxa"/>
            <w:vAlign w:val="bottom"/>
            <w:gridSpan w:val="2"/>
          </w:tcPr>
          <w:p>
            <w:pPr>
              <w:spacing w:after="0"/>
              <w:rPr>
                <w:sz w:val="20"/>
                <w:szCs w:val="20"/>
                <w:color w:val="auto"/>
              </w:rPr>
            </w:pPr>
            <w:r>
              <w:rPr>
                <w:rFonts w:ascii="Arial" w:cs="Arial" w:eastAsia="Arial" w:hAnsi="Arial"/>
                <w:sz w:val="18"/>
                <w:szCs w:val="18"/>
                <w:color w:val="auto"/>
              </w:rPr>
              <w:t>Initial implied value per public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5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-942340</wp:posOffset>
            </wp:positionV>
            <wp:extent cx="474916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99" w:hanging="360"/>
        <w:spacing w:after="0" w:line="308"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Assumes the full forfeiture of 375,000 founder shares that are subject to forfeiture by our sponsor depending on the extent to which the underwriters’ over-allotment option is exercised.</w:t>
      </w:r>
    </w:p>
    <w:p>
      <w:pPr>
        <w:spacing w:after="0" w:line="146"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and its affiliates will have invested in us an aggregate of $ 3,927,000, comprised of the $25,000 purchase price for the founder shares and the $3,902,000 purchase price for the private placement warrants. Assuming a trading price of $10.00 per share upon consummation of our initial business combination, the 2,500,000 founder shares (assuming the underwriters’ option to purchase additional units is not exercised) would have an aggregate implied value of $25,000,000. Even if the trading price of our common stock was as low as $1.38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pacing w:after="0" w:line="185" w:lineRule="exact"/>
        <w:rPr>
          <w:sz w:val="20"/>
          <w:szCs w:val="20"/>
          <w:color w:val="auto"/>
        </w:rPr>
      </w:pPr>
    </w:p>
    <w:p>
      <w:pPr>
        <w:jc w:val="both"/>
        <w:ind w:left="1260" w:right="599"/>
        <w:spacing w:after="0" w:line="259"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06"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Following the consummation of this offering and the concurrent private placement of warrants, we will have 4,200,000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78" w:lineRule="exact"/>
        <w:rPr>
          <w:sz w:val="20"/>
          <w:szCs w:val="20"/>
          <w:color w:val="auto"/>
        </w:rPr>
      </w:pPr>
    </w:p>
    <w:p>
      <w:pPr>
        <w:ind w:left="1260" w:right="459"/>
        <w:spacing w:after="0" w:line="29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94" w:lineRule="exact"/>
        <w:rPr>
          <w:sz w:val="20"/>
          <w:szCs w:val="20"/>
          <w:color w:val="auto"/>
        </w:rPr>
      </w:pPr>
    </w:p>
    <w:p>
      <w:pPr>
        <w:jc w:val="both"/>
        <w:ind w:left="1260" w:right="539" w:firstLine="360"/>
        <w:spacing w:after="0" w:line="279"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11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8" w:lineRule="exact"/>
        <w:rPr>
          <w:sz w:val="20"/>
          <w:szCs w:val="20"/>
          <w:color w:val="auto"/>
        </w:rPr>
      </w:pPr>
    </w:p>
    <w:p>
      <w:pPr>
        <w:ind w:left="1260" w:right="739"/>
        <w:spacing w:after="0" w:line="308" w:lineRule="auto"/>
        <w:rPr>
          <w:sz w:val="20"/>
          <w:szCs w:val="20"/>
          <w:color w:val="auto"/>
        </w:rPr>
      </w:pPr>
      <w:r>
        <w:rPr>
          <w:rFonts w:ascii="Arial" w:cs="Arial" w:eastAsia="Arial" w:hAnsi="Arial"/>
          <w:sz w:val="15"/>
          <w:szCs w:val="15"/>
          <w:b w:val="1"/>
          <w:bCs w:val="1"/>
          <w:i w:val="1"/>
          <w:iCs w:val="1"/>
          <w:color w:val="auto"/>
        </w:rPr>
        <w:t>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w:t>
      </w:r>
    </w:p>
    <w:p>
      <w:pPr>
        <w:spacing w:after="0" w:line="7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choice-of -forum provision in our warrant agreement may (1) result in increased costs for investors to bring a claim or (2)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116" w:lineRule="exact"/>
        <w:rPr>
          <w:sz w:val="20"/>
          <w:szCs w:val="20"/>
          <w:color w:val="auto"/>
        </w:rPr>
      </w:pPr>
    </w:p>
    <w:p>
      <w:pPr>
        <w:jc w:val="both"/>
        <w:ind w:left="1260" w:right="439" w:firstLine="360"/>
        <w:spacing w:after="0" w:line="291" w:lineRule="auto"/>
        <w:rPr>
          <w:sz w:val="20"/>
          <w:szCs w:val="20"/>
          <w:color w:val="auto"/>
        </w:rPr>
      </w:pPr>
      <w:r>
        <w:rPr>
          <w:rFonts w:ascii="Arial" w:cs="Arial" w:eastAsia="Arial" w:hAnsi="Arial"/>
          <w:sz w:val="17"/>
          <w:szCs w:val="17"/>
          <w:color w:val="auto"/>
        </w:rPr>
        <w:t>Section 22 of the Securities Act creates concurrent jurisdiction for state and federal courts over all suits brought to enforce any duty or liability created by the Securities Act or the rules and regulations thereunder.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w:t>
      </w:r>
    </w:p>
    <w:p>
      <w:pPr>
        <w:spacing w:after="0" w:line="170"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91"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be issuing warrants to purchase 7,500,000 shares of our common stock (or up to 8,625,000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if the underwriters’ over-allotment option is exercised in full) as part of the units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offered by this prospectus and, simultaneously with the closing of this offering, we will be issuing, in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private placement,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initial stockholders currently own an aggregate of 2,875,000 founder shares. Such founder shares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include an aggregate of up to 375,000 shares that are subject to forfeiture to the extent that the underwriters’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option is not exercised in full or in part.</w:t>
      </w:r>
    </w:p>
    <w:p>
      <w:pPr>
        <w:spacing w:after="0" w:line="14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9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b w:val="1"/>
          <w:bCs w:val="1"/>
          <w:i w:val="1"/>
          <w:iCs w:val="1"/>
          <w:color w:val="auto"/>
        </w:rPr>
        <w:t>Because each unit contains three-quarters of one redeemable warrant and only a whole warrant may be exercised, the units may be worth less than units of other blank check companies.</w:t>
      </w:r>
    </w:p>
    <w:p>
      <w:pPr>
        <w:spacing w:after="0" w:line="66"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Each unit contains three-quarters of one redeemable warrant.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three-quarters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95"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w:t>
      </w:r>
    </w:p>
    <w:p>
      <w:pPr>
        <w:spacing w:after="0" w:line="104" w:lineRule="exact"/>
        <w:rPr>
          <w:sz w:val="20"/>
          <w:szCs w:val="20"/>
          <w:color w:val="auto"/>
        </w:rPr>
      </w:pPr>
    </w:p>
    <w:p>
      <w:pPr>
        <w:ind w:left="1800" w:right="539" w:hanging="180"/>
        <w:spacing w:after="0" w:line="254"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3" w:lineRule="exact"/>
        <w:rPr>
          <w:rFonts w:ascii="Arial" w:cs="Arial" w:eastAsia="Arial" w:hAnsi="Arial"/>
          <w:sz w:val="18"/>
          <w:szCs w:val="18"/>
          <w:color w:val="auto"/>
        </w:rPr>
      </w:pPr>
    </w:p>
    <w:p>
      <w:pPr>
        <w:ind w:left="1800" w:right="14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Value is below $9.20 per share (as adjusted for stock splits, stock dividends, reorganizations, recapitalizations and the like),</w:t>
      </w:r>
    </w:p>
    <w:p>
      <w:pPr>
        <w:spacing w:after="0" w:line="89"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9"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86"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auto"/>
        </w:rPr>
        <w:t>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68" w:lineRule="exact"/>
        <w:rPr>
          <w:sz w:val="20"/>
          <w:szCs w:val="20"/>
          <w:color w:val="auto"/>
        </w:rPr>
      </w:pPr>
    </w:p>
    <w:p>
      <w:pPr>
        <w:ind w:left="1800" w:right="12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2"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9"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0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three-quarters of one warrant to purchase common stock included in each unit</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 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188"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9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amended and restated and restated certificate of incorporation will require,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our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2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Further,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 In addition, our amended and restated certificate of incorporation, will state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3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IV.  General Risk Factors</w:t>
      </w:r>
    </w:p>
    <w:p>
      <w:pPr>
        <w:spacing w:after="0" w:line="229"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b w:val="1"/>
          <w:bCs w:val="1"/>
          <w:i w:val="1"/>
          <w:iCs w:val="1"/>
          <w:color w:val="auto"/>
        </w:rPr>
        <w:t>We are a company with no operating history and no revenues, and you have no basis on which to evaluate our ability to achieve our business objective.</w:t>
      </w:r>
    </w:p>
    <w:p>
      <w:pPr>
        <w:spacing w:after="0" w:line="103"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7"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89"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196"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ind w:left="1260" w:right="499"/>
        <w:spacing w:after="0" w:line="465"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0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92"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invest in new lines of business that could fail to attract or retain users or generate revenue;</w:t>
      </w:r>
    </w:p>
    <w:p>
      <w:pPr>
        <w:spacing w:after="0" w:line="142"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7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4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103"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76" w:lineRule="exact"/>
        <w:rPr>
          <w:sz w:val="20"/>
          <w:szCs w:val="20"/>
          <w:color w:val="auto"/>
        </w:rPr>
      </w:pPr>
    </w:p>
    <w:p>
      <w:pPr>
        <w:ind w:left="1260" w:right="659"/>
        <w:spacing w:after="0" w:line="327"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5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opted out of using the extended transition period difficult or impossible because of the potential differences in accounting standards used.</w:t>
      </w:r>
    </w:p>
    <w:p>
      <w:pPr>
        <w:spacing w:after="0" w:line="90"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w:t>
      </w:r>
    </w:p>
    <w:p>
      <w:pPr>
        <w:spacing w:after="0" w:line="2" w:lineRule="exact"/>
        <w:rPr>
          <w:sz w:val="20"/>
          <w:szCs w:val="20"/>
          <w:color w:val="auto"/>
        </w:rPr>
      </w:pPr>
    </w:p>
    <w:p>
      <w:pPr>
        <w:ind w:left="1260" w:right="479"/>
        <w:spacing w:after="0" w:line="238"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17" w:lineRule="exact"/>
        <w:rPr>
          <w:sz w:val="20"/>
          <w:szCs w:val="20"/>
          <w:color w:val="auto"/>
        </w:rPr>
      </w:pPr>
    </w:p>
    <w:p>
      <w:pPr>
        <w:ind w:left="1620" w:hanging="360"/>
        <w:spacing w:after="0"/>
        <w:tabs>
          <w:tab w:leader="none" w:pos="1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effect our initial business combination with a company located outside of the United States.</w:t>
      </w:r>
    </w:p>
    <w:p>
      <w:pPr>
        <w:spacing w:after="0" w:line="156"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74"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144" w:lineRule="exact"/>
        <w:rPr>
          <w:sz w:val="20"/>
          <w:szCs w:val="20"/>
          <w:color w:val="auto"/>
        </w:rPr>
      </w:pPr>
    </w:p>
    <w:p>
      <w:pPr>
        <w:ind w:left="1260" w:right="419" w:firstLine="360"/>
        <w:spacing w:after="0" w:line="276"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1" w:lineRule="exact"/>
        <w:rPr>
          <w:sz w:val="20"/>
          <w:szCs w:val="20"/>
          <w:color w:val="auto"/>
        </w:rPr>
      </w:pPr>
    </w:p>
    <w:p>
      <w:pPr>
        <w:ind w:left="1260" w:right="859"/>
        <w:spacing w:after="0" w:line="248"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14"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3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42"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60"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47"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4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59"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Currency policies may cause a target business’ ability to succeed in the international markets to be diminished.</w:t>
      </w:r>
    </w:p>
    <w:p>
      <w:pPr>
        <w:spacing w:after="0" w:line="13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46"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Because foreign law could govern our material agreements, we may not be able to enforce our rights within such jurisdiction or elsewhere.</w:t>
      </w:r>
    </w:p>
    <w:p>
      <w:pPr>
        <w:spacing w:after="0" w:line="4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Exercised</w:t>
            </w: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From offering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100,000,000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115,000,000</w:t>
            </w:r>
          </w:p>
        </w:tc>
      </w:tr>
      <w:tr>
        <w:trPr>
          <w:trHeight w:val="26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4,127,000</w:t>
            </w:r>
          </w:p>
        </w:tc>
        <w:tc>
          <w:tcPr>
            <w:tcW w:w="160" w:type="dxa"/>
            <w:vAlign w:val="bottom"/>
          </w:tcPr>
          <w:p>
            <w:pPr>
              <w:spacing w:after="0"/>
              <w:rPr>
                <w:sz w:val="22"/>
                <w:szCs w:val="22"/>
                <w:color w:val="auto"/>
              </w:rPr>
            </w:pP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Total gross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103,902,000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119,127,000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98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i w:val="1"/>
                <w:iCs w:val="1"/>
                <w:color w:val="auto"/>
              </w:rPr>
              <w:t>Offering expenses</w:t>
            </w:r>
            <w:r>
              <w:rPr>
                <w:rFonts w:ascii="Arial" w:cs="Arial" w:eastAsia="Arial" w:hAnsi="Arial"/>
                <w:sz w:val="25"/>
                <w:szCs w:val="25"/>
                <w:i w:val="1"/>
                <w:iCs w:val="1"/>
                <w:color w:val="auto"/>
                <w:vertAlign w:val="superscript"/>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5980" w:type="dxa"/>
            <w:vAlign w:val="bottom"/>
            <w:gridSpan w:val="3"/>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r>
      <w:tr>
        <w:trPr>
          <w:trHeight w:val="257"/>
        </w:trPr>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Company legal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fees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23,368</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23,368</w:t>
            </w:r>
          </w:p>
        </w:tc>
      </w:tr>
      <w:tr>
        <w:trPr>
          <w:trHeight w:val="264"/>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88,004</w:t>
            </w:r>
          </w:p>
        </w:tc>
        <w:tc>
          <w:tcPr>
            <w:tcW w:w="160" w:type="dxa"/>
            <w:vAlign w:val="bottom"/>
          </w:tcPr>
          <w:p>
            <w:pPr>
              <w:spacing w:after="0"/>
              <w:rPr>
                <w:sz w:val="22"/>
                <w:szCs w:val="22"/>
                <w:color w:val="auto"/>
              </w:rPr>
            </w:pP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575,000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83"/>
        </w:trPr>
        <w:tc>
          <w:tcPr>
            <w:tcW w:w="5980" w:type="dxa"/>
            <w:vAlign w:val="bottom"/>
            <w:gridSpan w:val="3"/>
          </w:tcPr>
          <w:p>
            <w:pPr>
              <w:spacing w:after="0" w:line="283" w:lineRule="exact"/>
              <w:rPr>
                <w:sz w:val="20"/>
                <w:szCs w:val="20"/>
                <w:color w:val="auto"/>
              </w:rPr>
            </w:pPr>
            <w:r>
              <w:rPr>
                <w:rFonts w:ascii="Arial" w:cs="Arial" w:eastAsia="Arial" w:hAnsi="Arial"/>
                <w:sz w:val="18"/>
                <w:szCs w:val="18"/>
                <w:color w:val="auto"/>
              </w:rPr>
              <w:t>Held in trust</w:t>
            </w:r>
            <w:r>
              <w:rPr>
                <w:rFonts w:ascii="Arial" w:cs="Arial" w:eastAsia="Arial" w:hAnsi="Arial"/>
                <w:sz w:val="26"/>
                <w:szCs w:val="26"/>
                <w:color w:val="auto"/>
                <w:vertAlign w:val="superscript"/>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101,500,000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116,725,000</w:t>
            </w:r>
          </w:p>
        </w:tc>
      </w:tr>
      <w:tr>
        <w:trPr>
          <w:trHeight w:val="27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160" w:type="dxa"/>
            <w:vAlign w:val="bottom"/>
          </w:tcPr>
          <w:p>
            <w:pPr>
              <w:spacing w:after="0"/>
              <w:rPr>
                <w:sz w:val="24"/>
                <w:szCs w:val="24"/>
                <w:color w:val="auto"/>
              </w:rPr>
            </w:pP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Total net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102,827,000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118,052,000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980" w:type="dxa"/>
            <w:vAlign w:val="bottom"/>
            <w:gridSpan w:val="3"/>
            <w:shd w:val="clear" w:color="auto" w:fill="CCEEFF"/>
          </w:tcPr>
          <w:p>
            <w:pPr>
              <w:spacing w:after="0" w:line="237" w:lineRule="exact"/>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6"/>
                <w:szCs w:val="26"/>
                <w:color w:val="auto"/>
                <w:vertAlign w:val="superscript"/>
              </w:rPr>
              <w:t>(3) (4)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w w:val="98"/>
              </w:rPr>
              <w:t>Legal, accounting and other third party expenses attendant to the search for</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target businesses and to the due diligence investigation, structuring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Due diligence of prospective target businesses by officers, directors and</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initial stockholders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Nasdaq continued listing fees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Director and officer liability insurance premiums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rPr>
              <w:t>Working capital to cover miscellaneous expenses, general corporate</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purposes, liquidation obligations and reserves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1,327,000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-1602105</wp:posOffset>
            </wp:positionV>
            <wp:extent cx="521208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52120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52120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4577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45688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99" w:hanging="360"/>
        <w:spacing w:after="0" w:line="259"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55"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43"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amount of proceeds not held in trust will remain constant at $1,327,000 even if the over-allotment is exercised.</w:t>
      </w:r>
    </w:p>
    <w:p>
      <w:pPr>
        <w:spacing w:after="0" w:line="21" w:lineRule="exact"/>
        <w:rPr>
          <w:rFonts w:ascii="Arial" w:cs="Arial" w:eastAsia="Arial" w:hAnsi="Arial"/>
          <w:sz w:val="18"/>
          <w:szCs w:val="18"/>
          <w:color w:val="auto"/>
        </w:rPr>
      </w:pPr>
    </w:p>
    <w:p>
      <w:pPr>
        <w:ind w:left="1620" w:right="499" w:hanging="360"/>
        <w:spacing w:after="0" w:line="25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 xml:space="preserve">A total of $10.15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 discussed below, none of the funds held in the trust account will be released from the trust account until the earlier of: (i) the consummation of our initial business combination within 12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principal or interest due on indebtedness incurred in consummating the initial business combination, to fund the purchase of other companies or for working capital.</w:t>
      </w:r>
    </w:p>
    <w:p>
      <w:pPr>
        <w:spacing w:after="0" w:line="8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11"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12 months (or up to 18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12 months (or up to 18 months, as applicable) of the closing of this offering and such amendment is duly approved. In no other circumstances will a public stockholder have any right or interest of any kind to or in the trust account.</w:t>
      </w:r>
    </w:p>
    <w:p>
      <w:pPr>
        <w:spacing w:after="0" w:line="127"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12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March 31, 2021, our net tangible book deficit was $(53,118) or approximately $(0.02) per share.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After giving effect to the sale of 10,000,000 shares of common stock included in the units we are offering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this prospectus and the proceeds received from the sale of the private warrants, the deduction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and estimated expenses of this offering, our pro forma net tangible book value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31, 2021 would have been $5,000,010 or $1.59 per share (or $1.41 per share if the underwriters’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if the underwriters’ over-allotment option is exercised in full), representing an immediate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net tangible book value of $1.61 per share (or $1.43 per share if the underwriters’ over-allotment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underwriters’ over-allotment option is exercised in full) to the initial stockholders and an immediate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dilution of $8.41 per share or 84.1% (or $8.59 per share or 85.9% if the underwriters’ over-allotment if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over-allotment option is exercised in full) to new investors not exercising their redemption/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tender rights. For purposes of presentation, our pro forma net tangible book value after this offering 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$94,910,990 (or $109,966,462 if the underwriters’ over-allotment if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in full) less than it otherwise would have been because, if we effect a business combination,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ability of public stockholders to exercise redemption rights or sell their shares to us in any tender offer may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result in the redemption or tender of up to 9,350,836 shares (or 10,834,134 if the underwriters’ over-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allotment if the underwriters’ over-allotment option is exercised in full) sold in this offering.</w:t>
      </w:r>
    </w:p>
    <w:p>
      <w:pPr>
        <w:spacing w:after="0" w:line="14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Without</w:t>
            </w:r>
          </w:p>
        </w:tc>
        <w:tc>
          <w:tcPr>
            <w:tcW w:w="78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8"/>
              </w:rPr>
              <w:t>With</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5600" w:type="dxa"/>
            <w:vAlign w:val="bottom"/>
          </w:tcPr>
          <w:p>
            <w:pPr>
              <w:spacing w:after="0"/>
              <w:rPr>
                <w:sz w:val="16"/>
                <w:szCs w:val="16"/>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Over-Allotment</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Over-Allotment</w:t>
            </w:r>
          </w:p>
        </w:tc>
      </w:tr>
      <w:tr>
        <w:trPr>
          <w:trHeight w:val="25"/>
        </w:trPr>
        <w:tc>
          <w:tcPr>
            <w:tcW w:w="5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$(0.02)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9"/>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new investors, private sales and capital</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6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1.41</w:t>
            </w: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8.59</w:t>
            </w:r>
          </w:p>
        </w:tc>
        <w:tc>
          <w:tcPr>
            <w:tcW w:w="160" w:type="dxa"/>
            <w:vAlign w:val="bottom"/>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86"/>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-367665</wp:posOffset>
            </wp:positionV>
            <wp:extent cx="4894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-1191260</wp:posOffset>
            </wp:positionV>
            <wp:extent cx="44488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12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6"/>
                <w:szCs w:val="16"/>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Borders>
              <w:right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10,000,000</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100,000,000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99.98%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940" w:type="dxa"/>
            <w:vAlign w:val="bottom"/>
            <w:shd w:val="clear" w:color="auto" w:fill="CCEEFF"/>
          </w:tcPr>
          <w:p>
            <w:pPr>
              <w:spacing w:after="0"/>
              <w:rPr>
                <w:sz w:val="24"/>
                <w:szCs w:val="24"/>
                <w:color w:val="auto"/>
              </w:rPr>
            </w:pPr>
          </w:p>
        </w:tc>
        <w:tc>
          <w:tcPr>
            <w:tcW w:w="1400" w:type="dxa"/>
            <w:vAlign w:val="bottom"/>
            <w:tcBorders>
              <w:right w:val="single" w:sz="8" w:color="CCEEFF"/>
            </w:tcBorders>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12,500,000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100,025,000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-290830</wp:posOffset>
            </wp:positionV>
            <wp:extent cx="12426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-290830</wp:posOffset>
            </wp:positionV>
            <wp:extent cx="196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2820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-641985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-641985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27686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-641985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as a result thereof.</w:t>
      </w:r>
    </w:p>
    <w:p>
      <w:pPr>
        <w:spacing w:after="0" w:line="11" w:lineRule="exact"/>
        <w:rPr>
          <w:rFonts w:ascii="Arial" w:cs="Arial" w:eastAsia="Arial" w:hAnsi="Arial"/>
          <w:sz w:val="17"/>
          <w:szCs w:val="17"/>
          <w:color w:val="auto"/>
        </w:rPr>
      </w:pPr>
    </w:p>
    <w:p>
      <w:pPr>
        <w:ind w:left="1620" w:right="559" w:hanging="360"/>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w:t>
            </w:r>
          </w:p>
        </w:tc>
      </w:tr>
      <w:tr>
        <w:trPr>
          <w:trHeight w:val="229"/>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spacing w:after="0" w:line="230" w:lineRule="exact"/>
              <w:rPr>
                <w:sz w:val="20"/>
                <w:szCs w:val="20"/>
                <w:color w:val="auto"/>
              </w:rPr>
            </w:pPr>
            <w:r>
              <w:rPr>
                <w:rFonts w:ascii="Arial" w:cs="Arial" w:eastAsia="Arial" w:hAnsi="Arial"/>
                <w:sz w:val="14"/>
                <w:szCs w:val="14"/>
                <w:b w:val="1"/>
                <w:bCs w:val="1"/>
                <w:color w:val="auto"/>
                <w:w w:val="86"/>
              </w:rPr>
              <w:t>Over-Allotment</w:t>
            </w:r>
            <w:r>
              <w:rPr>
                <w:rFonts w:ascii="Arial" w:cs="Arial" w:eastAsia="Arial" w:hAnsi="Arial"/>
                <w:sz w:val="21"/>
                <w:szCs w:val="21"/>
                <w:b w:val="1"/>
                <w:bCs w:val="1"/>
                <w:color w:val="auto"/>
                <w:w w:val="86"/>
                <w:vertAlign w:val="superscript"/>
              </w:rPr>
              <w:t>(1)</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Over-Allotment</w:t>
            </w:r>
          </w:p>
        </w:tc>
        <w:tc>
          <w:tcPr>
            <w:tcW w:w="60" w:type="dxa"/>
            <w:vAlign w:val="bottom"/>
          </w:tcPr>
          <w:p>
            <w:pPr>
              <w:spacing w:after="0"/>
              <w:rPr>
                <w:sz w:val="19"/>
                <w:szCs w:val="19"/>
                <w:color w:val="auto"/>
              </w:rPr>
            </w:pPr>
          </w:p>
        </w:tc>
      </w:tr>
      <w:tr>
        <w:trPr>
          <w:trHeight w:val="25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60" w:type="dxa"/>
            <w:vAlign w:val="bottom"/>
          </w:tcPr>
          <w:p>
            <w:pPr>
              <w:spacing w:after="0"/>
              <w:rPr>
                <w:sz w:val="21"/>
                <w:szCs w:val="21"/>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Net proceeds from this offering and private placement of private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66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102,827,000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118,052,000</w:t>
            </w:r>
          </w:p>
        </w:tc>
      </w:tr>
      <w:tr>
        <w:trPr>
          <w:trHeight w:val="23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Offering costs accrued for or paid in advance; excluding from</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tangible book value before this offering</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60" w:type="dxa"/>
            <w:vAlign w:val="bottom"/>
          </w:tcPr>
          <w:p>
            <w:pPr>
              <w:spacing w:after="0"/>
              <w:rPr>
                <w:sz w:val="21"/>
                <w:szCs w:val="21"/>
                <w:color w:val="auto"/>
              </w:rPr>
            </w:pPr>
          </w:p>
        </w:tc>
      </w:tr>
      <w:tr>
        <w:trPr>
          <w:trHeight w:val="283"/>
        </w:trPr>
        <w:tc>
          <w:tcPr>
            <w:tcW w:w="5660" w:type="dxa"/>
            <w:vAlign w:val="bottom"/>
            <w:gridSpan w:val="2"/>
          </w:tcPr>
          <w:p>
            <w:pPr>
              <w:spacing w:after="0" w:line="283"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6"/>
                <w:szCs w:val="26"/>
                <w:color w:val="auto"/>
                <w:vertAlign w:val="superscript"/>
              </w:rPr>
              <w:t>(2)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(2,940,000)</w:t>
            </w: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(3,109,528)</w:t>
            </w:r>
          </w:p>
        </w:tc>
      </w:tr>
      <w:tr>
        <w:trPr>
          <w:trHeight w:val="185"/>
        </w:trPr>
        <w:tc>
          <w:tcPr>
            <w:tcW w:w="5660" w:type="dxa"/>
            <w:vAlign w:val="bottom"/>
            <w:tcBorders>
              <w:top w:val="single" w:sz="8" w:color="CCEEFF"/>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5"/>
              </w:rPr>
              <w:t>Less: Proceeds held in trust subject to redemption to maintain net tangible</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308"/>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of $5,000,001</w:t>
            </w:r>
            <w:r>
              <w:rPr>
                <w:rFonts w:ascii="Arial" w:cs="Arial" w:eastAsia="Arial" w:hAnsi="Arial"/>
                <w:sz w:val="26"/>
                <w:szCs w:val="26"/>
                <w:color w:val="auto"/>
                <w:vertAlign w:val="superscript"/>
              </w:rPr>
              <w:t>(3)(4)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(94,910,990)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(109,966,462)</w:t>
            </w:r>
          </w:p>
        </w:tc>
        <w:tc>
          <w:tcPr>
            <w:tcW w:w="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9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5,000,010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5,000,010</w:t>
            </w:r>
          </w:p>
        </w:tc>
      </w:tr>
      <w:tr>
        <w:trPr>
          <w:trHeight w:val="21"/>
        </w:trPr>
        <w:tc>
          <w:tcPr>
            <w:tcW w:w="19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2,875,000</w:t>
            </w:r>
          </w:p>
        </w:tc>
      </w:tr>
      <w:tr>
        <w:trPr>
          <w:trHeight w:val="25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60" w:type="dxa"/>
            <w:vAlign w:val="bottom"/>
          </w:tcPr>
          <w:p>
            <w:pPr>
              <w:spacing w:after="0"/>
              <w:rPr>
                <w:sz w:val="22"/>
                <w:szCs w:val="22"/>
                <w:color w:val="auto"/>
              </w:rPr>
            </w:pPr>
          </w:p>
        </w:tc>
      </w:tr>
      <w:tr>
        <w:trPr>
          <w:trHeight w:val="263"/>
        </w:trPr>
        <w:tc>
          <w:tcPr>
            <w:tcW w:w="5660" w:type="dxa"/>
            <w:vAlign w:val="bottom"/>
            <w:gridSpan w:val="2"/>
          </w:tcPr>
          <w:p>
            <w:pPr>
              <w:spacing w:after="0"/>
              <w:rPr>
                <w:sz w:val="20"/>
                <w:szCs w:val="20"/>
                <w:color w:val="auto"/>
              </w:rPr>
            </w:pPr>
            <w:r>
              <w:rPr>
                <w:rFonts w:ascii="Arial" w:cs="Arial" w:eastAsia="Arial" w:hAnsi="Arial"/>
                <w:sz w:val="18"/>
                <w:szCs w:val="18"/>
                <w:color w:val="auto"/>
              </w:rPr>
              <w:t>Less: Shares subject to redemption/tender</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(9,350,836)</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(10,834,134)</w:t>
            </w: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3,149,164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3,540,866</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45345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45345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-2416810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-2416810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by us as a result thereof.</w:t>
      </w:r>
    </w:p>
    <w:p>
      <w:pPr>
        <w:spacing w:after="0" w:line="11" w:lineRule="exact"/>
        <w:rPr>
          <w:rFonts w:ascii="Arial" w:cs="Arial" w:eastAsia="Arial" w:hAnsi="Arial"/>
          <w:sz w:val="17"/>
          <w:szCs w:val="17"/>
          <w:color w:val="auto"/>
        </w:rPr>
      </w:pPr>
    </w:p>
    <w:p>
      <w:pPr>
        <w:ind w:left="1620" w:right="639" w:hanging="360"/>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24" w:lineRule="exact"/>
        <w:rPr>
          <w:rFonts w:ascii="Arial" w:cs="Arial" w:eastAsia="Arial" w:hAnsi="Arial"/>
          <w:sz w:val="18"/>
          <w:szCs w:val="18"/>
          <w:color w:val="auto"/>
        </w:rPr>
      </w:pPr>
    </w:p>
    <w:p>
      <w:pPr>
        <w:ind w:left="1620" w:right="519" w:hanging="360"/>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actual number of shares subject to redemption may exceed this amount so long as we have at least $5,000,001 immediately prior to or upon consummation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March 31, 2021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21"/>
                <w:szCs w:val="21"/>
                <w:b w:val="1"/>
                <w:bCs w:val="1"/>
                <w:color w:val="auto"/>
                <w:w w:val="91"/>
                <w:vertAlign w:val="superscript"/>
              </w:rPr>
              <w:t>(1)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gridSpan w:val="2"/>
            <w:shd w:val="clear" w:color="auto" w:fill="CCEEFF"/>
          </w:tcPr>
          <w:p>
            <w:pPr>
              <w:spacing w:after="0" w:line="277" w:lineRule="exact"/>
              <w:rPr>
                <w:sz w:val="20"/>
                <w:szCs w:val="20"/>
                <w:color w:val="auto"/>
              </w:rPr>
            </w:pPr>
            <w:r>
              <w:rPr>
                <w:rFonts w:ascii="Arial" w:cs="Arial" w:eastAsia="Arial" w:hAnsi="Arial"/>
                <w:sz w:val="18"/>
                <w:szCs w:val="18"/>
                <w:color w:val="auto"/>
              </w:rPr>
              <w:t>Promissory note – related party</w:t>
            </w:r>
            <w:r>
              <w:rPr>
                <w:rFonts w:ascii="Arial" w:cs="Arial" w:eastAsia="Arial" w:hAnsi="Arial"/>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60" w:type="dxa"/>
            <w:vAlign w:val="bottom"/>
            <w:gridSpan w:val="2"/>
          </w:tcPr>
          <w:p>
            <w:pPr>
              <w:spacing w:after="0" w:line="277" w:lineRule="exact"/>
              <w:rPr>
                <w:sz w:val="20"/>
                <w:szCs w:val="20"/>
                <w:color w:val="auto"/>
              </w:rPr>
            </w:pPr>
            <w:r>
              <w:rPr>
                <w:rFonts w:ascii="Arial" w:cs="Arial" w:eastAsia="Arial" w:hAnsi="Arial"/>
                <w:sz w:val="18"/>
                <w:szCs w:val="18"/>
                <w:color w:val="auto"/>
              </w:rPr>
              <w:t>Warrant liabilities</w:t>
            </w:r>
            <w:r>
              <w:rPr>
                <w:rFonts w:ascii="Arial" w:cs="Arial" w:eastAsia="Arial" w:hAnsi="Arial"/>
                <w:sz w:val="26"/>
                <w:szCs w:val="26"/>
                <w:color w:val="auto"/>
                <w:vertAlign w:val="superscript"/>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2,940,000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Shares of common stock, $0.0001 par value, none and 9,350,836 shares are</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redemption/tender,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94,910,990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Shares of common stock, $0.0001 par value, 50,000,000 shares authorized,</w:t>
            </w: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300" w:type="dxa"/>
            <w:vAlign w:val="bottom"/>
            <w:gridSpan w:val="4"/>
          </w:tcPr>
          <w:p>
            <w:pPr>
              <w:ind w:left="180"/>
              <w:spacing w:after="0" w:line="179" w:lineRule="exact"/>
              <w:rPr>
                <w:sz w:val="20"/>
                <w:szCs w:val="20"/>
                <w:color w:val="auto"/>
              </w:rPr>
            </w:pPr>
            <w:r>
              <w:rPr>
                <w:rFonts w:ascii="Arial" w:cs="Arial" w:eastAsia="Arial" w:hAnsi="Arial"/>
                <w:sz w:val="18"/>
                <w:szCs w:val="18"/>
                <w:color w:val="auto"/>
              </w:rPr>
              <w:t>2,875,000 shares issued and outstanding, actual; 50,000,000 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300" w:type="dxa"/>
            <w:vAlign w:val="bottom"/>
            <w:gridSpan w:val="4"/>
          </w:tcPr>
          <w:p>
            <w:pPr>
              <w:ind w:left="180"/>
              <w:spacing w:after="0" w:line="266" w:lineRule="exact"/>
              <w:rPr>
                <w:sz w:val="20"/>
                <w:szCs w:val="20"/>
                <w:color w:val="auto"/>
              </w:rPr>
            </w:pPr>
            <w:r>
              <w:rPr>
                <w:rFonts w:ascii="Arial" w:cs="Arial" w:eastAsia="Arial" w:hAnsi="Arial"/>
                <w:sz w:val="18"/>
                <w:szCs w:val="18"/>
                <w:color w:val="auto"/>
              </w:rPr>
              <w:t>authorized</w:t>
            </w:r>
            <w:r>
              <w:rPr>
                <w:rFonts w:ascii="Arial" w:cs="Arial" w:eastAsia="Arial" w:hAnsi="Arial"/>
                <w:sz w:val="26"/>
                <w:szCs w:val="26"/>
                <w:color w:val="auto"/>
                <w:vertAlign w:val="superscript"/>
              </w:rPr>
              <w:t>(6)</w:t>
            </w:r>
            <w:r>
              <w:rPr>
                <w:rFonts w:ascii="Arial" w:cs="Arial" w:eastAsia="Arial" w:hAnsi="Arial"/>
                <w:sz w:val="18"/>
                <w:szCs w:val="18"/>
                <w:color w:val="auto"/>
              </w:rPr>
              <w:t>, 3,149,164 shares issued and outstanding</w:t>
            </w:r>
            <w:r>
              <w:rPr>
                <w:rFonts w:ascii="Arial" w:cs="Arial" w:eastAsia="Arial" w:hAnsi="Arial"/>
                <w:sz w:val="26"/>
                <w:szCs w:val="26"/>
                <w:color w:val="auto"/>
                <w:vertAlign w:val="superscript"/>
              </w:rPr>
              <w:t>(4) (5)</w:t>
            </w:r>
            <w:r>
              <w:rPr>
                <w:rFonts w:ascii="Arial" w:cs="Arial" w:eastAsia="Arial" w:hAnsi="Arial"/>
                <w:sz w:val="18"/>
                <w:szCs w:val="18"/>
                <w:color w:val="auto"/>
              </w:rPr>
              <w:t xml:space="preserve"> (excluding</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ind w:left="180"/>
              <w:spacing w:after="0"/>
              <w:rPr>
                <w:sz w:val="20"/>
                <w:szCs w:val="20"/>
                <w:color w:val="auto"/>
              </w:rPr>
            </w:pPr>
            <w:r>
              <w:rPr>
                <w:rFonts w:ascii="Arial" w:cs="Arial" w:eastAsia="Arial" w:hAnsi="Arial"/>
                <w:sz w:val="18"/>
                <w:szCs w:val="18"/>
                <w:color w:val="auto"/>
              </w:rPr>
              <w:t>9,350,836 shares subject to possible redemption/tender), as adjusted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5,014,604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64"/>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0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$149,000</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102,851,000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45777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4577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-1739265</wp:posOffset>
            </wp:positionV>
            <wp:extent cx="4577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45688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3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$3,902,000 we will receive from the sale of the private warrants (assuming no exercise of the over-allotment option).</w:t>
      </w:r>
    </w:p>
    <w:p>
      <w:pPr>
        <w:spacing w:after="0" w:line="21" w:lineRule="exact"/>
        <w:rPr>
          <w:rFonts w:ascii="Arial" w:cs="Arial" w:eastAsia="Arial" w:hAnsi="Arial"/>
          <w:sz w:val="18"/>
          <w:szCs w:val="18"/>
          <w:color w:val="auto"/>
        </w:rPr>
      </w:pPr>
    </w:p>
    <w:p>
      <w:pPr>
        <w:jc w:val="both"/>
        <w:ind w:left="1620" w:right="579" w:hanging="360"/>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spacing w:after="0" w:line="48" w:lineRule="exact"/>
        <w:rPr>
          <w:rFonts w:ascii="Arial" w:cs="Arial" w:eastAsia="Arial" w:hAnsi="Arial"/>
          <w:sz w:val="18"/>
          <w:szCs w:val="18"/>
          <w:color w:val="auto"/>
        </w:rPr>
      </w:pPr>
    </w:p>
    <w:p>
      <w:pPr>
        <w:ind w:left="1620" w:right="639" w:hanging="360"/>
        <w:spacing w:after="0" w:line="259"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959" w:hanging="360"/>
        <w:spacing w:after="0" w:line="30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as a result thereof.</w:t>
      </w:r>
    </w:p>
    <w:p>
      <w:pPr>
        <w:spacing w:after="0" w:line="1"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45" w:lineRule="exact"/>
        <w:rPr>
          <w:rFonts w:ascii="Arial" w:cs="Arial" w:eastAsia="Arial" w:hAnsi="Arial"/>
          <w:sz w:val="17"/>
          <w:szCs w:val="17"/>
          <w:color w:val="auto"/>
        </w:rPr>
      </w:pPr>
    </w:p>
    <w:p>
      <w:pPr>
        <w:ind w:left="1620" w:right="479" w:hanging="360"/>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1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70"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15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62" w:lineRule="exact"/>
        <w:rPr>
          <w:sz w:val="20"/>
          <w:szCs w:val="20"/>
          <w:color w:val="auto"/>
        </w:rPr>
      </w:pPr>
    </w:p>
    <w:p>
      <w:pPr>
        <w:ind w:left="1800" w:right="8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7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75"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additional financing while such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ind w:left="1800" w:right="739" w:hanging="180"/>
        <w:spacing w:after="0" w:line="311" w:lineRule="auto"/>
        <w:tabs>
          <w:tab w:leader="none" w:pos="1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319" w:hanging="180"/>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45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35" w:lineRule="exact"/>
        <w:rPr>
          <w:sz w:val="20"/>
          <w:szCs w:val="20"/>
          <w:color w:val="auto"/>
        </w:rPr>
      </w:pPr>
    </w:p>
    <w:p>
      <w:pPr>
        <w:ind w:left="1260" w:right="459" w:firstLine="360"/>
        <w:spacing w:after="0" w:line="22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47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08"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7"/>
          <w:szCs w:val="17"/>
          <w:color w:val="auto"/>
        </w:rPr>
        <w:t>Our liquidity needs have been satisfied to date through receipt of $ 25,000 from the sale of the founder shares and loans from our sponsor in an aggregate amount of $250,000. We estimate that the net proceeds from (1) the sale of the units in this offering, after deducting offering expenses of approximately $575,000 and underwriting discounts and commissions of $500,000 and (2) the sale of the private warrants for a purchase price of $ 3,902,000 (or up to $4,127,000 depending on the extent to which the underwriters’ over-allotment option is exercised) will be $102,827,000 (or $118,052,000 if the over-allotment option is exercised in full). Of this amount, $101,500,000 (or $116,725,000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2a- 7 under the Investment Company Act which invest only in direct U.S. government treasury obligations. The remaining $1,327,000 (whether or not the over-allotment option is exercised in full) will not be held in the trust account.</w:t>
      </w:r>
    </w:p>
    <w:p>
      <w:pPr>
        <w:spacing w:after="0" w:line="11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1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Over the next 12 months (or up to 18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58" w:lineRule="exact"/>
        <w:rPr>
          <w:sz w:val="20"/>
          <w:szCs w:val="20"/>
          <w:color w:val="auto"/>
        </w:rPr>
      </w:pPr>
    </w:p>
    <w:p>
      <w:pPr>
        <w:ind w:left="1800" w:right="69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$250,000 of expenses for the due diligence and investigation of a target business by our officers, directors and initial stockholders;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$120,000 for the payment of the administrative fee to an affiliate of our sponsor (of $10,000 per month for up to 12 months);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$375,000 for director and officer liability insurance premiums;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$207,000 for general working capital that will be used for miscellaneous expenses</w:t>
      </w:r>
    </w:p>
    <w:p>
      <w:pPr>
        <w:spacing w:after="0" w:line="15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that our securities are first listed on the NASDAQ through the earlier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our initial business combination and our liquidation, we will pay our sponsor a total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 per month for office space, administrative and shared personnel support services. Upon completion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initial business combination or our liquidation, we will cease paying these monthly fees.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1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sponsor has agreed to loan us an aggregate of $250,000 on a non-interest bearing basis, for payment of offering expenses on our behalf.</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addition, Chardan NexTech 2 Warrant Holdings LLC, an affiliate of our sponsor, has committed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from us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 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 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share. These purchases will take place on a private placement basis simultaneously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this offering.</w:t>
      </w: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0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0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6"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documentation of accounting policies and procedures.</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left="1260" w:right="439" w:firstLine="360"/>
        <w:spacing w:after="0" w:line="276" w:lineRule="auto"/>
        <w:rPr>
          <w:sz w:val="20"/>
          <w:szCs w:val="20"/>
          <w:color w:val="auto"/>
        </w:rPr>
      </w:pPr>
      <w:r>
        <w:rPr>
          <w:rFonts w:ascii="Arial" w:cs="Arial" w:eastAsia="Arial" w:hAnsi="Arial"/>
          <w:sz w:val="16"/>
          <w:szCs w:val="16"/>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9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26" w:lineRule="exact"/>
        <w:rPr>
          <w:sz w:val="20"/>
          <w:szCs w:val="20"/>
          <w:color w:val="auto"/>
        </w:rPr>
      </w:pPr>
    </w:p>
    <w:p>
      <w:pPr>
        <w:jc w:val="both"/>
        <w:ind w:left="1260" w:right="459" w:firstLine="360"/>
        <w:spacing w:after="0" w:line="270"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Opportunity</w:t>
      </w:r>
    </w:p>
    <w:p>
      <w:pPr>
        <w:spacing w:after="0" w:line="14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Having founded the third -ever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 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1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Team</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color w:val="auto"/>
        </w:rPr>
        <w:t>of our sponsor.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 founder and managing partner of ATW Partners, a growth-focused investment firm. Mr. Propper also sits on the board of 340 Basics, Credit Sesame, and PierianDx among other boards.</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and CleanTech Acquisition Corp since May 2021.</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upon the effective date 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Chardan</w:t>
      </w:r>
    </w:p>
    <w:p>
      <w:pPr>
        <w:spacing w:after="0" w:line="144"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Chardan has an extensive track record in the special purpose acquisition company market as underwriter, sponsor and advisor. Since 2004, Chardan has been lead or co -lead underwriter on 82 special purpose acquisition company initial public offerings. Since 2018, Chardan has been a mergers and acquisition advisor</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1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6"/>
          <w:szCs w:val="16"/>
          <w:b w:val="1"/>
          <w:bCs w:val="1"/>
          <w:i w:val="1"/>
          <w:iCs w:val="1"/>
          <w:color w:val="auto"/>
        </w:rPr>
        <w:t xml:space="preserve">Jonathan C. “Jon” Biele </w:t>
      </w:r>
      <w:r>
        <w:rPr>
          <w:rFonts w:ascii="Arial" w:cs="Arial" w:eastAsia="Arial" w:hAnsi="Arial"/>
          <w:sz w:val="16"/>
          <w:szCs w:val="16"/>
          <w:color w:val="auto"/>
        </w:rPr>
        <w:t>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0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10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7" w:lineRule="auto"/>
        <w:rPr>
          <w:sz w:val="20"/>
          <w:szCs w:val="20"/>
          <w:color w:val="auto"/>
        </w:rPr>
      </w:pPr>
      <w:r>
        <w:rPr>
          <w:rFonts w:ascii="Arial" w:cs="Arial" w:eastAsia="Arial" w:hAnsi="Arial"/>
          <w:sz w:val="16"/>
          <w:szCs w:val="16"/>
          <w:color w:val="auto"/>
        </w:rPr>
        <w:t>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w:t>
      </w:r>
    </w:p>
    <w:p>
      <w:pPr>
        <w:spacing w:after="0" w:line="3" w:lineRule="exact"/>
        <w:rPr>
          <w:sz w:val="20"/>
          <w:szCs w:val="20"/>
          <w:color w:val="auto"/>
        </w:rPr>
      </w:pPr>
    </w:p>
    <w:p>
      <w:pPr>
        <w:ind w:left="1260" w:right="519"/>
        <w:spacing w:after="0" w:line="237" w:lineRule="auto"/>
        <w:tabs>
          <w:tab w:leader="none" w:pos="15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0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31"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16"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Todd Thomson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Mr. Thomson is currently the chief operating officer and chief financial officer of Kairos Ventures, an early- 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w:t>
      </w:r>
    </w:p>
    <w:p>
      <w:pPr>
        <w:spacing w:after="0" w:line="2"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0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79"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07"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20"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5"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17" w:lineRule="exact"/>
        <w:rPr>
          <w:sz w:val="20"/>
          <w:szCs w:val="20"/>
          <w:color w:val="auto"/>
        </w:rPr>
      </w:pPr>
    </w:p>
    <w:p>
      <w:pPr>
        <w:ind w:left="1800" w:right="7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w:t>
      </w:r>
    </w:p>
    <w:p>
      <w:pPr>
        <w:spacing w:after="0" w:line="75"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89" w:lineRule="exact"/>
        <w:rPr>
          <w:rFonts w:ascii="Arial" w:cs="Arial" w:eastAsia="Arial" w:hAnsi="Arial"/>
          <w:sz w:val="18"/>
          <w:szCs w:val="18"/>
          <w:color w:val="auto"/>
        </w:rPr>
      </w:pPr>
    </w:p>
    <w:p>
      <w:pPr>
        <w:jc w:val="both"/>
        <w:ind w:left="1800" w:right="109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30"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8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80" w:lineRule="exact"/>
        <w:rPr>
          <w:sz w:val="20"/>
          <w:szCs w:val="20"/>
          <w:color w:val="auto"/>
        </w:rPr>
      </w:pPr>
    </w:p>
    <w:p>
      <w:pPr>
        <w:ind w:left="1800" w:right="75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62" w:lineRule="exact"/>
        <w:rPr>
          <w:rFonts w:ascii="Arial" w:cs="Arial" w:eastAsia="Arial" w:hAnsi="Arial"/>
          <w:sz w:val="18"/>
          <w:szCs w:val="18"/>
          <w:color w:val="auto"/>
        </w:rPr>
      </w:pPr>
    </w:p>
    <w:p>
      <w:pPr>
        <w:jc w:val="both"/>
        <w:ind w:left="1800" w:right="43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Strategy</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10"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10"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prior consent of our sponsor. In addition, pursuant to Nasdaq rules, any initial business combination must be approved by a majority of our independent directors.</w:t>
      </w:r>
    </w:p>
    <w:p>
      <w:pPr>
        <w:spacing w:after="0" w:line="89"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2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05" w:lineRule="exact"/>
        <w:rPr>
          <w:sz w:val="20"/>
          <w:szCs w:val="20"/>
          <w:color w:val="auto"/>
        </w:rPr>
      </w:pPr>
    </w:p>
    <w:p>
      <w:pPr>
        <w:ind w:left="1260" w:right="959" w:firstLine="360"/>
        <w:spacing w:after="0" w:line="342"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acquired is what will be valued for purposes of the 80% test, provided that in the event that the business combination involves more than one target business, the 80% test will be based on the aggregate value of all of the target businesses.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29"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such companies and businesses, although we will not be permitted to effectuate our initial business combination with another blank check company or a similar company with nominal operations.</w:t>
      </w:r>
    </w:p>
    <w:p>
      <w:pPr>
        <w:spacing w:after="0" w:line="66"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2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2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4"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9" w:lineRule="auto"/>
        <w:rPr>
          <w:sz w:val="20"/>
          <w:szCs w:val="20"/>
          <w:color w:val="auto"/>
        </w:rPr>
      </w:pPr>
      <w:r>
        <w:rPr>
          <w:rFonts w:ascii="Arial" w:cs="Arial" w:eastAsia="Arial" w:hAnsi="Arial"/>
          <w:sz w:val="18"/>
          <w:szCs w:val="18"/>
          <w:color w:val="auto"/>
        </w:rPr>
        <w:t>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11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CleanTech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CleanTech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0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2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13"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2"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In evaluating a prospective target business, we expect to conduct a thorough due diligence review that will encompass, among other things, meetings with incumbent management and employees, document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reviews, interviews of customers and suppliers, inspection of facilities, as well as a review of financial and other information which will be made available to us.</w:t>
      </w:r>
    </w:p>
    <w:p>
      <w:pPr>
        <w:spacing w:after="0" w:line="9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81" w:lineRule="exact"/>
        <w:rPr>
          <w:sz w:val="20"/>
          <w:szCs w:val="20"/>
          <w:color w:val="auto"/>
        </w:rPr>
      </w:pPr>
    </w:p>
    <w:p>
      <w:pPr>
        <w:ind w:left="1800" w:right="55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6"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0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12 months (or up to 18 months, as applicable) from the closing of this offering in order to be able to receive a pro rata share of the trust account.</w:t>
      </w:r>
    </w:p>
    <w:p>
      <w:pPr>
        <w:spacing w:after="0" w:line="1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w:t>
      </w:r>
    </w:p>
    <w:p>
      <w:pPr>
        <w:ind w:left="1260" w:right="539"/>
        <w:spacing w:after="0" w:line="237" w:lineRule="auto"/>
        <w:tabs>
          <w:tab w:leader="none" w:pos="15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1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10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 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06"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10b- 5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w:t>
      </w:r>
    </w:p>
    <w:p>
      <w:pPr>
        <w:spacing w:after="0" w:line="2"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12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22"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0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31"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2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11"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Our amended and restated certificate of incorporation will provide that we may only redeem our public shares so long as our net tangible assets are at least $5,000,001 either immediately prior to or upon</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105"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 -current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 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 xml:space="preserve">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8"/>
          <w:szCs w:val="18"/>
          <w:i w:val="1"/>
          <w:iCs w:val="1"/>
          <w:color w:val="auto"/>
        </w:rPr>
        <w:t>provided that</w:t>
      </w:r>
      <w:r>
        <w:rPr>
          <w:rFonts w:ascii="Arial" w:cs="Arial" w:eastAsia="Arial" w:hAnsi="Arial"/>
          <w:sz w:val="18"/>
          <w:szCs w:val="18"/>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106"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12 months (or up to</w:t>
      </w:r>
    </w:p>
    <w:p>
      <w:pPr>
        <w:ind w:left="1260" w:right="499"/>
        <w:spacing w:after="0" w:line="253" w:lineRule="auto"/>
        <w:rPr>
          <w:sz w:val="20"/>
          <w:szCs w:val="20"/>
          <w:color w:val="auto"/>
        </w:rPr>
      </w:pPr>
      <w:r>
        <w:rPr>
          <w:rFonts w:ascii="Arial" w:cs="Arial" w:eastAsia="Arial" w:hAnsi="Arial"/>
          <w:sz w:val="18"/>
          <w:szCs w:val="18"/>
          <w:color w:val="auto"/>
        </w:rPr>
        <w:t>18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2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12"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stockholder’s pro rata share of the claim or the amount distributed to the stockholder, and any liability of the stockholder would be barred after the third anniversary of the dissolution.</w:t>
      </w:r>
    </w:p>
    <w:p>
      <w:pPr>
        <w:spacing w:after="0" w:line="9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12th month (or up to the 18th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8"/>
          <w:szCs w:val="18"/>
          <w:color w:val="auto"/>
        </w:rPr>
        <w:t>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0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$10.15.</w:t>
      </w:r>
    </w:p>
    <w:p>
      <w:pPr>
        <w:spacing w:after="0" w:line="9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75" w:lineRule="exact"/>
        <w:rPr>
          <w:sz w:val="20"/>
          <w:szCs w:val="20"/>
          <w:color w:val="auto"/>
        </w:rPr>
      </w:pPr>
    </w:p>
    <w:p>
      <w:pPr>
        <w:ind w:left="1800" w:right="459" w:hanging="180"/>
        <w:spacing w:after="0" w:line="275"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63" w:lineRule="auto"/>
        <w:rPr>
          <w:sz w:val="20"/>
          <w:szCs w:val="20"/>
          <w:color w:val="auto"/>
        </w:rPr>
      </w:pPr>
      <w:r>
        <w:rPr>
          <w:rFonts w:ascii="Arial" w:cs="Arial" w:eastAsia="Arial" w:hAnsi="Arial"/>
          <w:sz w:val="18"/>
          <w:szCs w:val="18"/>
          <w:color w:val="auto"/>
        </w:rPr>
        <w:t>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76" w:lineRule="exact"/>
        <w:rPr>
          <w:sz w:val="20"/>
          <w:szCs w:val="20"/>
          <w:color w:val="auto"/>
        </w:rPr>
      </w:pPr>
    </w:p>
    <w:p>
      <w:pPr>
        <w:ind w:left="1800" w:right="659" w:hanging="180"/>
        <w:spacing w:after="0" w:line="259"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78"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12 months (or up to 18 months, as applicable) of the closing of this offering, then our existence will terminate and we will distribute all amounts in the trust account to all of our public holders of shares of common stock;</w:t>
      </w:r>
    </w:p>
    <w:p>
      <w:pPr>
        <w:spacing w:after="0" w:line="57"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consummation of this offering, $101,500,000, or $116,725,000 if the over-allotment option is exercised in full, shall be placed into the trust account;</w:t>
      </w:r>
    </w:p>
    <w:p>
      <w:pPr>
        <w:spacing w:after="0" w:line="75"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79" w:lineRule="exact"/>
        <w:rPr>
          <w:sz w:val="20"/>
          <w:szCs w:val="20"/>
          <w:color w:val="auto"/>
        </w:rPr>
      </w:pPr>
    </w:p>
    <w:p>
      <w:pPr>
        <w:ind w:left="1800" w:right="103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75"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75" w:lineRule="exact"/>
        <w:rPr>
          <w:rFonts w:ascii="Arial" w:cs="Arial" w:eastAsia="Arial" w:hAnsi="Arial"/>
          <w:sz w:val="18"/>
          <w:szCs w:val="18"/>
          <w:color w:val="auto"/>
        </w:rPr>
      </w:pPr>
    </w:p>
    <w:p>
      <w:pPr>
        <w:ind w:left="1800" w:right="137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w:t>
      </w:r>
    </w:p>
    <w:p>
      <w:pPr>
        <w:spacing w:after="0" w:line="38"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89"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62" w:lineRule="exact"/>
        <w:rPr>
          <w:sz w:val="20"/>
          <w:szCs w:val="20"/>
          <w:color w:val="auto"/>
        </w:rPr>
      </w:pPr>
    </w:p>
    <w:p>
      <w:pPr>
        <w:jc w:val="both"/>
        <w:ind w:left="1800" w:right="47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5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25" w:lineRule="exact"/>
        <w:rPr>
          <w:sz w:val="20"/>
          <w:szCs w:val="20"/>
          <w:color w:val="auto"/>
        </w:rPr>
      </w:pPr>
    </w:p>
    <w:p>
      <w:pPr>
        <w:jc w:val="both"/>
        <w:ind w:left="1260" w:right="559" w:firstLine="360"/>
        <w:spacing w:after="0" w:line="235"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With funds available for an initial business combination initially in the amount of $97,997,000, after payment of the Marketing Fee of $3,500,000 (or $112,697,000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color w:val="auto"/>
        </w:rPr>
        <w:t>consideration to be paid to the target business to fit its needs and desires. However, we have not taken any steps to secure third party financing and there can be no assurance it will be available to us.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4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5"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will be required to comply with the internal control requirements of the Sarbanes -Oxley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0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8"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1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80"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12 months (or up to 18 months, as applicable) from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6"/>
              </w:rPr>
              <w:t>Redemptions at the time</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redemption price</w:t>
            </w:r>
          </w:p>
        </w:tc>
        <w:tc>
          <w:tcPr>
            <w:tcW w:w="1900" w:type="dxa"/>
            <w:vAlign w:val="bottom"/>
          </w:tcPr>
          <w:p>
            <w:pPr>
              <w:spacing w:after="0"/>
              <w:rPr>
                <w:sz w:val="20"/>
                <w:szCs w:val="20"/>
                <w:color w:val="auto"/>
              </w:rPr>
            </w:pPr>
            <w:r>
              <w:rPr>
                <w:rFonts w:ascii="Arial" w:cs="Arial" w:eastAsia="Arial" w:hAnsi="Arial"/>
                <w:sz w:val="18"/>
                <w:szCs w:val="18"/>
                <w:color w:val="auto"/>
              </w:rPr>
              <w:t>of our 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may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made pursuant to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tender offer or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connection with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 vote.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redemption price will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same whether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pursuant to a tender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offer or in connection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with a stockholder vote.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In either case, our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may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redeem their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shares for cash equal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aggregate amount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then on deposit in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trust account as of two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business days prior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the consummation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(which is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initially anticipated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 $10.15 per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share), including interest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earned on the funds held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the trust account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not previously released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us to pay our taxes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divided by the number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 then outstanding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subject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limitation that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may only redeem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so long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our net tangible assets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are at least $5,000,001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either immediately prior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or upon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consummation of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and any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limitations (including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but not limited to cash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requirements) agreed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connection with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negotiation of terms of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proposed initial business</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their affiliates may purchase shares in privately negotiated transactions or in the open market prior to or following completion of our initial business combination. There is no limit to the prices that our sponsor, directors, officers, advisors or their affiliates may pay in these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59"/>
        <w:spacing w:after="0" w:line="284" w:lineRule="auto"/>
        <w:rPr>
          <w:sz w:val="20"/>
          <w:szCs w:val="20"/>
          <w:color w:val="auto"/>
        </w:rPr>
      </w:pPr>
      <w:r>
        <w:rPr>
          <w:rFonts w:ascii="Arial" w:cs="Arial" w:eastAsia="Arial" w:hAnsi="Arial"/>
          <w:sz w:val="16"/>
          <w:szCs w:val="16"/>
          <w:color w:val="auto"/>
        </w:rPr>
        <w:t>If we are unable to complete our initial business combination within 12 months (or up to 18 months, as applicable)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5352" w:lineRule="exact"/>
        <w:rPr>
          <w:sz w:val="20"/>
          <w:szCs w:val="20"/>
          <w:color w:val="auto"/>
        </w:rPr>
      </w:pPr>
    </w:p>
    <w:p>
      <w:pPr>
        <w:sectPr>
          <w:pgSz w:w="11900" w:h="16838" w:orient="portrait"/>
          <w:cols w:equalWidth="0" w:num="3">
            <w:col w:w="5260" w:space="220"/>
            <w:col w:w="1880" w:space="220"/>
            <w:col w:w="2299"/>
          </w:cols>
          <w:pgMar w:left="580" w:top="131" w:right="1440" w:bottom="1440" w:gutter="0" w:footer="0" w:header="0"/>
        </w:sect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Impact to remaining</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redemptions in</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900" w:type="dxa"/>
            <w:vAlign w:val="bottom"/>
          </w:tcPr>
          <w:p>
            <w:pPr>
              <w:spacing w:after="0"/>
              <w:rPr>
                <w:sz w:val="20"/>
                <w:szCs w:val="20"/>
                <w:color w:val="auto"/>
              </w:rPr>
            </w:pPr>
            <w:r>
              <w:rPr>
                <w:rFonts w:ascii="Arial" w:cs="Arial" w:eastAsia="Arial" w:hAnsi="Arial"/>
                <w:sz w:val="18"/>
                <w:szCs w:val="18"/>
                <w:color w:val="auto"/>
              </w:rPr>
              <w:t>connection with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will reduce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the book value per share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for our remaining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who will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bear the burden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Marketing Fee, taxes</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200" w:lineRule="exact"/>
        <w:rPr>
          <w:sz w:val="20"/>
          <w:szCs w:val="20"/>
          <w:color w:val="auto"/>
        </w:rPr>
      </w:pPr>
    </w:p>
    <w:p>
      <w:pPr>
        <w:sectPr>
          <w:pgSz w:w="11900" w:h="16838" w:orient="portrait"/>
          <w:cols w:equalWidth="0" w:num="3">
            <w:col w:w="5260" w:space="220"/>
            <w:col w:w="1860" w:space="240"/>
            <w:col w:w="2299"/>
          </w:cols>
          <w:pgMar w:left="580" w:top="131"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9879"/>
          </w:cols>
          <w:pgMar w:left="580" w:top="131" w:right="1440" w:bottom="1440" w:gutter="0" w:footer="0" w:header="0"/>
          <w:type w:val="continuous"/>
        </w:sectPr>
      </w:pP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2600" w:type="dxa"/>
            <w:vAlign w:val="bottom"/>
          </w:tcPr>
          <w:p>
            <w:pPr>
              <w:ind w:left="660"/>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5"/>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$101,500,000 of the net offering</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proceeds and proceeds from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sale of the private warrants will</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be deposited into a trust account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 the United States, maintained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by Continental Stock Transfer &amp;</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Trust Company, acting as trustee.</w:t>
            </w:r>
          </w:p>
        </w:tc>
        <w:tc>
          <w:tcPr>
            <w:tcW w:w="0" w:type="dxa"/>
            <w:vAlign w:val="bottom"/>
          </w:tcPr>
          <w:p>
            <w:pPr>
              <w:spacing w:after="0"/>
              <w:rPr>
                <w:sz w:val="1"/>
                <w:szCs w:val="1"/>
                <w:color w:val="auto"/>
              </w:rPr>
            </w:pPr>
          </w:p>
        </w:tc>
      </w:tr>
      <w:tr>
        <w:trPr>
          <w:trHeight w:val="890"/>
        </w:trPr>
        <w:tc>
          <w:tcPr>
            <w:tcW w:w="280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2600" w:type="dxa"/>
            <w:vAlign w:val="bottom"/>
          </w:tcPr>
          <w:p>
            <w:pPr>
              <w:spacing w:after="0"/>
              <w:rPr>
                <w:sz w:val="20"/>
                <w:szCs w:val="20"/>
                <w:color w:val="auto"/>
              </w:rPr>
            </w:pPr>
            <w:r>
              <w:rPr>
                <w:rFonts w:ascii="Arial" w:cs="Arial" w:eastAsia="Arial" w:hAnsi="Arial"/>
                <w:sz w:val="18"/>
                <w:szCs w:val="18"/>
                <w:color w:val="auto"/>
              </w:rPr>
              <w:t>The $101,500,000 of the net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proceeds and proceeds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sale of the private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warrants held in trust will only be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invested in United States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government treasury bills, bonds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notes with a maturity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185 days or less or in money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market funds meeting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applicable conditions under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Rule 2a-7 promulgated under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Investment Company Act and that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 solely in United States</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459"/>
        <w:spacing w:after="0" w:line="287" w:lineRule="auto"/>
        <w:rPr>
          <w:sz w:val="20"/>
          <w:szCs w:val="20"/>
          <w:color w:val="auto"/>
        </w:rPr>
      </w:pPr>
      <w:r>
        <w:rPr>
          <w:rFonts w:ascii="Arial" w:cs="Arial" w:eastAsia="Arial" w:hAnsi="Arial"/>
          <w:sz w:val="16"/>
          <w:szCs w:val="16"/>
          <w:color w:val="auto"/>
        </w:rPr>
        <w:t>$89,550,000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ind w:right="459"/>
        <w:spacing w:after="0" w:line="253"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1274" w:lineRule="exact"/>
        <w:rPr>
          <w:sz w:val="20"/>
          <w:szCs w:val="20"/>
          <w:color w:val="auto"/>
        </w:rPr>
      </w:pPr>
    </w:p>
    <w:p>
      <w:pPr>
        <w:sectPr>
          <w:pgSz w:w="11900" w:h="16838" w:orient="portrait"/>
          <w:cols w:equalWidth="0" w:num="2">
            <w:col w:w="6660" w:space="220"/>
            <w:col w:w="2999"/>
          </w:cols>
          <w:pgMar w:left="580" w:top="131" w:right="1440" w:bottom="1440" w:gutter="0" w:footer="0" w:header="0"/>
          <w:type w:val="continuous"/>
        </w:sectPr>
      </w:pP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60"/>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initial target business that we acquire must have a fair market value equal to at least 80% of the balance in our trust account net of taxes payable at the time of the execution of a definitive agreement for our initial business combination.</w:t>
      </w:r>
    </w:p>
    <w:p>
      <w:pPr>
        <w:spacing w:after="0" w:line="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units may commence trading on or promptly after the date of this prospectus. The shares of common stock and warrants comprising the units will begin to trade 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 Chardan informs us of its decision to allow earlier separate trading (based upon its assessment of the relative strengths of the securities markets and small capitalization and blank check companies in general, and the trading pattern of, and demand for, our securities in particular), provided we have filed with the SEC a Current Report on Form 8-K, which includes an audited balance sheet reflecting our receipt of the proceeds of this offering.</w:t>
      </w:r>
    </w:p>
    <w:p>
      <w:pPr>
        <w:spacing w:after="0" w:line="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warrants cannot be exercised until the completion of a business combination and, accordingly, will be exercised only after the trust account has been terminated and distributed.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99"/>
        <w:spacing w:after="0" w:line="272" w:lineRule="auto"/>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19"/>
        <w:spacing w:after="0" w:line="273" w:lineRule="auto"/>
        <w:rPr>
          <w:sz w:val="20"/>
          <w:szCs w:val="20"/>
          <w:color w:val="auto"/>
        </w:rPr>
      </w:pPr>
      <w:r>
        <w:rPr>
          <w:rFonts w:ascii="Arial" w:cs="Arial" w:eastAsia="Arial" w:hAnsi="Arial"/>
          <w:sz w:val="17"/>
          <w:szCs w:val="17"/>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34" w:lineRule="exact"/>
        <w:rPr>
          <w:sz w:val="20"/>
          <w:szCs w:val="20"/>
          <w:color w:val="auto"/>
        </w:rPr>
      </w:pPr>
    </w:p>
    <w:p>
      <w:pPr>
        <w:ind w:right="499"/>
        <w:spacing w:after="0" w:line="254" w:lineRule="auto"/>
        <w:rPr>
          <w:sz w:val="20"/>
          <w:szCs w:val="20"/>
          <w:color w:val="auto"/>
        </w:rPr>
      </w:pPr>
      <w:r>
        <w:rPr>
          <w:rFonts w:ascii="Arial" w:cs="Arial" w:eastAsia="Arial" w:hAnsi="Arial"/>
          <w:sz w:val="18"/>
          <w:szCs w:val="18"/>
          <w:color w:val="auto"/>
        </w:rPr>
        <w:t>No trading of the units or the underlying securities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200" w:lineRule="exact"/>
        <w:rPr>
          <w:sz w:val="20"/>
          <w:szCs w:val="20"/>
          <w:color w:val="auto"/>
        </w:rPr>
      </w:pPr>
    </w:p>
    <w:p>
      <w:pPr>
        <w:sectPr>
          <w:pgSz w:w="11900" w:h="16838" w:orient="portrait"/>
          <w:cols w:equalWidth="0" w:num="3">
            <w:col w:w="3540" w:space="520"/>
            <w:col w:w="2580" w:space="240"/>
            <w:col w:w="2999"/>
          </w:cols>
          <w:pgMar w:left="580" w:top="131" w:right="1440" w:bottom="1440" w:gutter="0" w:footer="0" w:header="0"/>
        </w:sectPr>
      </w:pPr>
    </w:p>
    <w:p>
      <w:pPr>
        <w:spacing w:after="0" w:line="1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either (1) give 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stockholders the opportunity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vote on the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(2) provide our public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stockholders with the opportunity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to sell their public shares to us 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 tender offer for cash equal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 xml:space="preserve">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aggregate amount then on deposit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 the trust account, less taxes. If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hold a meeting to approve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proposed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send each stockholder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proxy statement containing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information required by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Under our certificate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incorporation, we must provide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least 10 days advance notice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any meeting of stockholders.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whether to exercise their rights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redeem their shares into cash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such a meeting or to remain an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investor in our company.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Alternatively, if we do not hold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meeting and instead conduct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tender offer, we will conduct such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tender offer in accordance with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the tender offer rules of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file tender offer documents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with the SEC which will contain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substantially the same financial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other information about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initial business combination as we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would have included in a proxy</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tender offer rules require us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 hold the tender offer open for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at least 20 business days.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whether they want to sell their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shares to us in the tender offer 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remain an investor in our</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62" w:lineRule="auto"/>
        <w:rPr>
          <w:sz w:val="20"/>
          <w:szCs w:val="20"/>
          <w:color w:val="auto"/>
        </w:rPr>
      </w:pPr>
      <w:r>
        <w:rPr>
          <w:rFonts w:ascii="Arial" w:cs="Arial" w:eastAsia="Arial" w:hAnsi="Arial"/>
          <w:sz w:val="17"/>
          <w:szCs w:val="17"/>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4547" w:lineRule="exact"/>
        <w:rPr>
          <w:sz w:val="20"/>
          <w:szCs w:val="20"/>
          <w:color w:val="auto"/>
        </w:rPr>
      </w:pPr>
    </w:p>
    <w:p>
      <w:pPr>
        <w:sectPr>
          <w:pgSz w:w="11900" w:h="16838" w:orient="portrait"/>
          <w:cols w:equalWidth="0" w:num="2">
            <w:col w:w="6660" w:space="220"/>
            <w:col w:w="2999"/>
          </w:cols>
          <w:pgMar w:left="580" w:top="131"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96"/>
              </w:rPr>
              <w:t>Business combination deadline</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Pursuant to our certificate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incorporation, if we do not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complete an initial business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combination within 12 months (or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up to 18 months, as applicable)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consummation of this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it will trigger 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automatic winding up, dissolution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liquidation.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59"/>
        <w:spacing w:after="0" w:line="254" w:lineRule="auto"/>
        <w:rPr>
          <w:sz w:val="20"/>
          <w:szCs w:val="20"/>
          <w:color w:val="auto"/>
        </w:rPr>
      </w:pPr>
      <w:r>
        <w:rPr>
          <w:rFonts w:ascii="Arial" w:cs="Arial" w:eastAsia="Arial" w:hAnsi="Arial"/>
          <w:sz w:val="18"/>
          <w:szCs w:val="18"/>
          <w:color w:val="auto"/>
        </w:rPr>
        <w:t>If an acquisition has not been consummated within 18 months after the effective date of the initial registration statement, funds held in the trust or escrow account would be returned to investors.</w:t>
      </w:r>
    </w:p>
    <w:p>
      <w:pPr>
        <w:spacing w:after="0" w:line="624" w:lineRule="exact"/>
        <w:rPr>
          <w:sz w:val="20"/>
          <w:szCs w:val="20"/>
          <w:color w:val="auto"/>
        </w:rPr>
      </w:pPr>
    </w:p>
    <w:p>
      <w:pPr>
        <w:sectPr>
          <w:pgSz w:w="11900" w:h="16838" w:orient="portrait"/>
          <w:cols w:equalWidth="0" w:num="2">
            <w:col w:w="6660" w:space="220"/>
            <w:col w:w="2999"/>
          </w:cols>
          <w:pgMar w:left="580" w:top="131" w:right="1440" w:bottom="1440" w:gutter="0" w:footer="0" w:header="0"/>
        </w:sectPr>
      </w:pPr>
    </w:p>
    <w:p>
      <w:pPr>
        <w:spacing w:after="0" w:line="268" w:lineRule="exact"/>
        <w:rPr>
          <w:sz w:val="20"/>
          <w:szCs w:val="20"/>
          <w:color w:val="auto"/>
        </w:rPr>
      </w:pPr>
    </w:p>
    <w:p>
      <w:pPr>
        <w:ind w:left="1260"/>
        <w:spacing w:after="0" w:line="258" w:lineRule="auto"/>
        <w:rPr>
          <w:sz w:val="20"/>
          <w:szCs w:val="20"/>
          <w:color w:val="auto"/>
        </w:rPr>
      </w:pPr>
      <w:r>
        <w:rPr>
          <w:rFonts w:ascii="Arial" w:cs="Arial" w:eastAsia="Arial" w:hAnsi="Arial"/>
          <w:sz w:val="18"/>
          <w:szCs w:val="18"/>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519"/>
        <w:spacing w:after="0" w:line="272" w:lineRule="auto"/>
        <w:rPr>
          <w:sz w:val="20"/>
          <w:szCs w:val="20"/>
          <w:color w:val="auto"/>
        </w:rPr>
      </w:pPr>
      <w:r>
        <w:rPr>
          <w:rFonts w:ascii="Arial" w:cs="Arial" w:eastAsia="Arial" w:hAnsi="Arial"/>
          <w:sz w:val="17"/>
          <w:szCs w:val="17"/>
          <w:color w:val="auto"/>
        </w:rPr>
        <w:t>Many blank check companies provide no restrictions on the ability of stockholders to redeem shares based on the number of shares held by such stockholders in connection with an initial business combination</w:t>
      </w:r>
    </w:p>
    <w:p>
      <w:pPr>
        <w:spacing w:after="0" w:line="5148" w:lineRule="exact"/>
        <w:rPr>
          <w:sz w:val="20"/>
          <w:szCs w:val="20"/>
          <w:color w:val="auto"/>
        </w:rPr>
      </w:pPr>
    </w:p>
    <w:p>
      <w:pPr>
        <w:sectPr>
          <w:pgSz w:w="11900" w:h="16838" w:orient="portrait"/>
          <w:cols w:equalWidth="0" w:num="3">
            <w:col w:w="3820" w:space="240"/>
            <w:col w:w="2580" w:space="240"/>
            <w:col w:w="299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59"/>
        <w:spacing w:after="0" w:line="268"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160" w:lineRule="exact"/>
        <w:rPr>
          <w:sz w:val="20"/>
          <w:szCs w:val="20"/>
          <w:color w:val="auto"/>
        </w:rPr>
      </w:pPr>
    </w:p>
    <w:p>
      <w:pPr>
        <w:sectPr>
          <w:pgSz w:w="11900" w:h="16838" w:orient="portrait"/>
          <w:cols w:equalWidth="0" w:num="3">
            <w:col w:w="3660" w:space="400"/>
            <w:col w:w="2600" w:space="220"/>
            <w:col w:w="299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Except for interest earned on the funds held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3"/>
              </w:rPr>
              <w:t>in the trust account that may be released to us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to pay our tax obligations, the proceeds from</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this offering and the sale of the private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warrants held in the trust account will not be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released until the earliest to occur of: (i)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(ii) the redemption of 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public shares properly submitted in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connection with a stockholder vote to amend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our amended and restated certificate of</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incorporation (A) to modify the substance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timing of our obligation to allow redemption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 connection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combination or to redeem 100% of our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if we do not complete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business combination within 12 months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up to 18 months, as applicable) from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closing of this offering or (B) with respect to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any other provision relating to stockholders’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rights or pre-business combination activity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and (iii) the redemption of 100% of our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5"/>
              </w:rPr>
              <w:t>public shares if we are unable to complete an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initial business combination within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required time frame (subject to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requirements of applicable law). On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all amounts held in the trust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account will be released to us, less amounts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released to a separate account controlled by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the trustee for disbursal to redeeming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stockholders. We will use these funds to pay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amounts due to any public stockholders who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exercise their redemption rights as described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above under “Redemption rights for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stockholders upon completion of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business combination,” to pay all or a portion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of the consideration payable to the target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owners of the target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and to pay other expenses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associated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including the Marketing Fee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pursuant to the Business Combination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Marketing Agreement described under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Underwriting (Conflicts of Interest)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Business Combination Marketing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54"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6660" w:space="220"/>
            <w:col w:w="299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tcPr>
          <w:p>
            <w:pPr>
              <w:ind w:left="26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5820" w:type="dxa"/>
            <w:vAlign w:val="bottom"/>
          </w:tcPr>
          <w:p>
            <w:pPr>
              <w:spacing w:after="0"/>
              <w:rPr>
                <w:sz w:val="20"/>
                <w:szCs w:val="20"/>
                <w:color w:val="auto"/>
              </w:rPr>
            </w:pPr>
            <w:r>
              <w:rPr>
                <w:rFonts w:ascii="Arial" w:cs="Arial" w:eastAsia="Arial" w:hAnsi="Arial"/>
                <w:sz w:val="18"/>
                <w:szCs w:val="18"/>
                <w:color w:val="auto"/>
              </w:rPr>
              <w:t>Co-Founder and Director Nominee (Chairman)</w:t>
            </w: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Jonas Grossman</w:t>
            </w:r>
          </w:p>
        </w:tc>
        <w:tc>
          <w:tcPr>
            <w:tcW w:w="5820" w:type="dxa"/>
            <w:vAlign w:val="bottom"/>
          </w:tcPr>
          <w:p>
            <w:pPr>
              <w:spacing w:after="0"/>
              <w:rPr>
                <w:sz w:val="20"/>
                <w:szCs w:val="20"/>
                <w:color w:val="auto"/>
              </w:rPr>
            </w:pPr>
            <w:r>
              <w:rPr>
                <w:rFonts w:ascii="Arial" w:cs="Arial" w:eastAsia="Arial" w:hAnsi="Arial"/>
                <w:sz w:val="18"/>
                <w:szCs w:val="18"/>
                <w:color w:val="auto"/>
                <w:w w:val="99"/>
              </w:rPr>
              <w:t>Co-Founder, Chief Executive Officer, President, Secretary, Treasurer and</w:t>
            </w: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and Director Nominee</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Hitesh Thakrar</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4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w:t>
      </w:r>
    </w:p>
    <w:p>
      <w:pPr>
        <w:spacing w:after="0" w:line="4"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13"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47, is our co-founder and has been our Chief Executive Officer and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June 2020 and our 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which announced its merger with Renovacor, Inc in March 2021.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Since May 2021, Mr. Grossman has served as a director of CleanTech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Since December 2006, Mr. Grossman has served as a founding partner for Cornix Advisors, LLC, a New York based hedge fund. From 2001 until 2003,</w:t>
      </w:r>
    </w:p>
    <w:p>
      <w:pPr>
        <w:spacing w:after="0" w:line="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for UNICEF since December 2016. We believe Mr. Grossman is qualified to serve on our board of directors because of his long-running capital markets experience as well as his previous company board positions.</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of directors upon the effective date of the registration statement of which this prospectus is a part.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Since March 2021, Mr. Weil has served as chief financial officer of Chardan NexTech Acquisition Corp.,</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he has agreed to serve on the board of directors. Mr. Weil has served as managing director and co-head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FinTech investment banking at Chardan, a New York headquartered broker/dealer, since March 2020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director of Ventoux CCM Acquisition Corp., a special purpose acquisition company, since</w:t>
      </w:r>
    </w:p>
    <w:p>
      <w:pPr>
        <w:ind w:left="1260"/>
        <w:spacing w:after="0"/>
        <w:rPr>
          <w:sz w:val="20"/>
          <w:szCs w:val="20"/>
          <w:color w:val="auto"/>
        </w:rPr>
      </w:pPr>
      <w:r>
        <w:rPr>
          <w:rFonts w:ascii="Arial" w:cs="Arial" w:eastAsia="Arial" w:hAnsi="Arial"/>
          <w:sz w:val="17"/>
          <w:szCs w:val="17"/>
          <w:color w:val="auto"/>
        </w:rPr>
        <w:t>December 2020. From January 2018 to March 2020, he served as managing director and head of insurtech</w:t>
      </w:r>
    </w:p>
    <w:p>
      <w:pPr>
        <w:spacing w:after="0" w:line="7" w:lineRule="exact"/>
        <w:rPr>
          <w:sz w:val="20"/>
          <w:szCs w:val="20"/>
          <w:color w:val="auto"/>
        </w:rPr>
      </w:pPr>
    </w:p>
    <w:p>
      <w:pPr>
        <w:ind w:left="1260" w:right="539"/>
        <w:spacing w:after="0" w:line="252" w:lineRule="auto"/>
        <w:rPr>
          <w:sz w:val="20"/>
          <w:szCs w:val="20"/>
          <w:color w:val="auto"/>
        </w:rPr>
      </w:pPr>
      <w:r>
        <w:rPr>
          <w:rFonts w:ascii="Arial" w:cs="Arial" w:eastAsia="Arial" w:hAnsi="Arial"/>
          <w:sz w:val="17"/>
          <w:szCs w:val="17"/>
          <w:color w:val="auto"/>
        </w:rPr>
        <w:t>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1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date of the registration statement of 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w:t>
      </w:r>
    </w:p>
    <w:p>
      <w:pPr>
        <w:spacing w:after="0" w:line="4"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color w:val="auto"/>
        </w:rPr>
        <w:t>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13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w:t>
      </w:r>
    </w:p>
    <w:p>
      <w:pPr>
        <w:spacing w:after="0" w:line="4"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18"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Ms. Jardins is the chief marketing officer of The</w:t>
      </w:r>
    </w:p>
    <w:p>
      <w:pPr>
        <w:spacing w:after="0" w:line="1" w:lineRule="exact"/>
        <w:rPr>
          <w:sz w:val="20"/>
          <w:szCs w:val="20"/>
          <w:color w:val="auto"/>
        </w:rPr>
      </w:pPr>
    </w:p>
    <w:p>
      <w:pPr>
        <w:ind w:left="1260" w:right="479"/>
        <w:spacing w:after="0" w:line="248" w:lineRule="auto"/>
        <w:tabs>
          <w:tab w:leader="none" w:pos="14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w:t>
      </w:r>
    </w:p>
    <w:p>
      <w:pPr>
        <w:spacing w:after="0" w:line="2" w:lineRule="exact"/>
        <w:rPr>
          <w:rFonts w:ascii="Arial" w:cs="Arial" w:eastAsia="Arial" w:hAnsi="Arial"/>
          <w:sz w:val="17"/>
          <w:szCs w:val="17"/>
          <w:color w:val="auto"/>
        </w:rPr>
      </w:pPr>
    </w:p>
    <w:p>
      <w:pPr>
        <w:ind w:left="1260" w:right="899"/>
        <w:spacing w:after="0" w:line="238" w:lineRule="auto"/>
        <w:rPr>
          <w:rFonts w:ascii="Arial" w:cs="Arial" w:eastAsia="Arial" w:hAnsi="Arial"/>
          <w:sz w:val="17"/>
          <w:szCs w:val="17"/>
          <w:color w:val="auto"/>
        </w:rPr>
      </w:pPr>
      <w:r>
        <w:rPr>
          <w:rFonts w:ascii="Arial" w:cs="Arial" w:eastAsia="Arial" w:hAnsi="Arial"/>
          <w:sz w:val="18"/>
          <w:szCs w:val="18"/>
          <w:color w:val="auto"/>
        </w:rPr>
        <w:t>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8"/>
          <w:szCs w:val="18"/>
          <w:b w:val="1"/>
          <w:bCs w:val="1"/>
          <w:color w:val="auto"/>
        </w:rPr>
        <w:t>e</w:t>
      </w:r>
      <w:r>
        <w:rPr>
          <w:rFonts w:ascii="Arial" w:cs="Arial" w:eastAsia="Arial" w:hAnsi="Arial"/>
          <w:sz w:val="18"/>
          <w:szCs w:val="18"/>
          <w:color w:val="auto"/>
        </w:rPr>
        <w:t xml:space="preserve"> technology</w:t>
      </w:r>
      <w:r>
        <w:rPr>
          <w:rFonts w:ascii="Arial" w:cs="Arial" w:eastAsia="Arial" w:hAnsi="Arial"/>
          <w:sz w:val="18"/>
          <w:szCs w:val="18"/>
          <w:b w:val="1"/>
          <w:bCs w:val="1"/>
          <w:color w:val="auto"/>
        </w:rPr>
        <w:t>.</w:t>
      </w:r>
    </w:p>
    <w:p>
      <w:pPr>
        <w:spacing w:after="0" w:line="121" w:lineRule="exact"/>
        <w:rPr>
          <w:sz w:val="20"/>
          <w:szCs w:val="20"/>
          <w:color w:val="auto"/>
        </w:rPr>
      </w:pPr>
    </w:p>
    <w:p>
      <w:pPr>
        <w:ind w:left="1260" w:right="639" w:firstLine="360"/>
        <w:spacing w:after="0" w:line="269" w:lineRule="auto"/>
        <w:rPr>
          <w:sz w:val="20"/>
          <w:szCs w:val="20"/>
          <w:color w:val="auto"/>
        </w:rPr>
      </w:pPr>
      <w:r>
        <w:rPr>
          <w:rFonts w:ascii="Arial" w:cs="Arial" w:eastAsia="Arial" w:hAnsi="Arial"/>
          <w:sz w:val="17"/>
          <w:szCs w:val="17"/>
          <w:b w:val="1"/>
          <w:bCs w:val="1"/>
          <w:i w:val="1"/>
          <w:iCs w:val="1"/>
          <w:color w:val="auto"/>
        </w:rPr>
        <w:t>Hitesh Thakrar</w:t>
      </w:r>
      <w:r>
        <w:rPr>
          <w:rFonts w:ascii="Arial" w:cs="Arial" w:eastAsia="Arial" w:hAnsi="Arial"/>
          <w:sz w:val="17"/>
          <w:szCs w:val="17"/>
          <w:color w:val="auto"/>
        </w:rPr>
        <w:t>, 59,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b w:val="1"/>
          <w:bCs w:val="1"/>
          <w:i w:val="1"/>
          <w:iCs w:val="1"/>
          <w:color w:val="auto"/>
        </w:rPr>
        <w:t>Todd Thomson</w:t>
      </w:r>
      <w:r>
        <w:rPr>
          <w:rFonts w:ascii="Arial" w:cs="Arial" w:eastAsia="Arial" w:hAnsi="Arial"/>
          <w:sz w:val="18"/>
          <w:szCs w:val="18"/>
          <w:color w:val="auto"/>
        </w:rPr>
        <w:t>, 60, 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He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w:t>
      </w:r>
    </w:p>
    <w:p>
      <w:pPr>
        <w:spacing w:after="0" w:line="1"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experience in public company corporate finance and early-stage investing.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24"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 and Director Compensation</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 However, in May and June 2021, our sponsor transferred 20,000 founder shares to each of Messrs. Biele, Boyle, Hardamon, Thakrar and Thomson and Ms. Jardins.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7"/>
          <w:szCs w:val="17"/>
          <w:color w:val="auto"/>
        </w:rPr>
        <w:t>Prior to the consummation of this offering, we will establish an audit committee of the board of directors. Messrs. Hardamon, Boyle and Grossman will serve as members of our audit committee, and</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07" w:lineRule="exact"/>
        <w:rPr>
          <w:sz w:val="20"/>
          <w:szCs w:val="20"/>
          <w:color w:val="auto"/>
        </w:rPr>
      </w:pPr>
    </w:p>
    <w:p>
      <w:pPr>
        <w:jc w:val="both"/>
        <w:ind w:left="1260" w:right="659" w:firstLine="36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Mr. Hardamon qualifies as an “audit committee financial expert” as defined in applicable SEC rules.</w:t>
      </w:r>
    </w:p>
    <w:p>
      <w:pPr>
        <w:spacing w:after="0" w:line="7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62" w:lineRule="exact"/>
        <w:rPr>
          <w:sz w:val="20"/>
          <w:szCs w:val="20"/>
          <w:color w:val="auto"/>
        </w:rPr>
      </w:pPr>
    </w:p>
    <w:p>
      <w:pPr>
        <w:ind w:left="1800" w:right="45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62"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pre-approving all audit and permitted non-audit services to be provided by the independent registered public accounting firm engaged by us, and establishing pre-approval policies and procedures;</w:t>
      </w:r>
    </w:p>
    <w:p>
      <w:pPr>
        <w:spacing w:after="0" w:line="38" w:lineRule="exact"/>
        <w:rPr>
          <w:rFonts w:ascii="Arial" w:cs="Arial" w:eastAsia="Arial" w:hAnsi="Arial"/>
          <w:sz w:val="17"/>
          <w:szCs w:val="17"/>
          <w:color w:val="auto"/>
        </w:rPr>
      </w:pPr>
    </w:p>
    <w:p>
      <w:pPr>
        <w:ind w:left="1800" w:right="51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setting clear hiring policies for employees or former employees of the independent registered public accounting firm, including but not limited to, as required by applicable laws and regulations;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42"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83"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 required to be disclosed pursuant to Item 404 of Regulation S-K promulgated by the SEC prior to us entering into such transaction; and</w:t>
      </w:r>
    </w:p>
    <w:p>
      <w:pPr>
        <w:spacing w:after="0" w:line="38" w:lineRule="exact"/>
        <w:rPr>
          <w:rFonts w:ascii="Arial" w:cs="Arial" w:eastAsia="Arial" w:hAnsi="Arial"/>
          <w:sz w:val="17"/>
          <w:szCs w:val="17"/>
          <w:color w:val="auto"/>
        </w:rPr>
      </w:pPr>
    </w:p>
    <w:p>
      <w:pPr>
        <w:ind w:left="1800" w:right="479" w:hanging="180"/>
        <w:spacing w:after="0" w:line="255"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Prior to the consummation of this offering, we will establish a compensation committee of the board of directors. Ms. Jardins, Mr. Biele and Mr. Thomson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will chair the compensation committee.</w:t>
      </w:r>
    </w:p>
    <w:p>
      <w:pPr>
        <w:spacing w:after="0" w:line="125"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62" w:lineRule="exact"/>
        <w:rPr>
          <w:sz w:val="20"/>
          <w:szCs w:val="20"/>
          <w:color w:val="auto"/>
        </w:rPr>
      </w:pPr>
    </w:p>
    <w:p>
      <w:pPr>
        <w:ind w:left="1800" w:right="51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do not have a standing nominating committee, although we intend to form a corporate governance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nominating committee as and when required to do so by law or Nasdaq rules. In accordance with</w:t>
      </w:r>
    </w:p>
    <w:p>
      <w:pPr>
        <w:ind w:left="1260"/>
        <w:spacing w:after="0"/>
        <w:rPr>
          <w:sz w:val="20"/>
          <w:szCs w:val="20"/>
          <w:color w:val="auto"/>
        </w:rPr>
      </w:pPr>
      <w:r>
        <w:rPr>
          <w:rFonts w:ascii="Arial" w:cs="Arial" w:eastAsia="Arial" w:hAnsi="Arial"/>
          <w:sz w:val="17"/>
          <w:szCs w:val="17"/>
          <w:color w:val="auto"/>
        </w:rPr>
        <w:t>Rule 5605 of the Nasdaq rules, a majority of the independent directors may recommend a director nominee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selection by the board of directors. The board of directors believes that the independent directors can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satisfactorily carry out the responsibility of properly selecting or approving director nominees without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formation of a standing nominating committee. All of our independent directors who will participate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consideration and recommendation of director nominees. In accordance with Rule 5605 of the Nasdaq rules,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of Messrs. Biele, Boyle, Hardamon, Thakrar and Thomson and Ms. Jardins is independent. As there is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standing nominating committee, we do not have a nominating committee charter in place.</w:t>
      </w:r>
    </w:p>
    <w:p>
      <w:pPr>
        <w:spacing w:after="0" w:line="12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94"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for more information.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79" w:lineRule="auto"/>
        <w:rPr>
          <w:sz w:val="20"/>
          <w:szCs w:val="20"/>
          <w:color w:val="auto"/>
        </w:rPr>
      </w:pPr>
      <w:r>
        <w:rPr>
          <w:rFonts w:ascii="Arial" w:cs="Arial" w:eastAsia="Arial" w:hAnsi="Arial"/>
          <w:sz w:val="17"/>
          <w:szCs w:val="17"/>
          <w:color w:val="auto"/>
        </w:rPr>
        <w:t>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9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1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16"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1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117" w:lineRule="exact"/>
        <w:rPr>
          <w:sz w:val="20"/>
          <w:szCs w:val="20"/>
          <w:color w:val="auto"/>
        </w:rPr>
      </w:pPr>
    </w:p>
    <w:p>
      <w:pPr>
        <w:ind w:left="1800" w:right="87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75" w:lineRule="exact"/>
        <w:rPr>
          <w:rFonts w:ascii="Arial" w:cs="Arial" w:eastAsia="Arial" w:hAnsi="Arial"/>
          <w:sz w:val="18"/>
          <w:szCs w:val="18"/>
          <w:color w:val="auto"/>
        </w:rPr>
      </w:pPr>
    </w:p>
    <w:p>
      <w:pPr>
        <w:ind w:left="1800" w:right="519" w:hanging="180"/>
        <w:spacing w:after="0" w:line="255"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97" w:lineRule="exact"/>
        <w:rPr>
          <w:rFonts w:ascii="Arial" w:cs="Arial" w:eastAsia="Arial" w:hAnsi="Arial"/>
          <w:sz w:val="18"/>
          <w:szCs w:val="18"/>
          <w:color w:val="auto"/>
        </w:rPr>
      </w:pPr>
    </w:p>
    <w:p>
      <w:pPr>
        <w:jc w:val="both"/>
        <w:ind w:left="1800" w:right="73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75"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86"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89" w:lineRule="exact"/>
        <w:rPr>
          <w:rFonts w:ascii="Arial" w:cs="Arial" w:eastAsia="Arial" w:hAnsi="Arial"/>
          <w:sz w:val="17"/>
          <w:szCs w:val="17"/>
          <w:color w:val="auto"/>
        </w:rPr>
      </w:pPr>
    </w:p>
    <w:p>
      <w:pPr>
        <w:ind w:left="1800" w:right="479" w:hanging="180"/>
        <w:spacing w:after="0" w:line="286"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57" w:lineRule="exact"/>
        <w:rPr>
          <w:rFonts w:ascii="Arial" w:cs="Arial" w:eastAsia="Arial" w:hAnsi="Arial"/>
          <w:sz w:val="17"/>
          <w:szCs w:val="17"/>
          <w:color w:val="auto"/>
        </w:rPr>
      </w:pPr>
    </w:p>
    <w:p>
      <w:pPr>
        <w:ind w:left="1800" w:right="419" w:hanging="180"/>
        <w:spacing w:after="0" w:line="25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73"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69" w:lineRule="exact"/>
        <w:rPr>
          <w:rFonts w:ascii="Arial" w:cs="Arial" w:eastAsia="Arial" w:hAnsi="Arial"/>
          <w:sz w:val="17"/>
          <w:szCs w:val="17"/>
          <w:color w:val="auto"/>
        </w:rPr>
      </w:pPr>
    </w:p>
    <w:p>
      <w:pPr>
        <w:ind w:left="1800" w:right="759" w:hanging="180"/>
        <w:spacing w:after="0" w:line="308"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sponsor intends to allocate up to 20,000 founder shares to each of our independent directors. Such securities will be worthless if we do not complete an initial business combination.</w:t>
      </w:r>
    </w:p>
    <w:p>
      <w:pPr>
        <w:spacing w:after="0" w:line="38" w:lineRule="exact"/>
        <w:rPr>
          <w:rFonts w:ascii="Arial" w:cs="Arial" w:eastAsia="Arial" w:hAnsi="Arial"/>
          <w:sz w:val="17"/>
          <w:szCs w:val="17"/>
          <w:color w:val="auto"/>
        </w:rPr>
      </w:pPr>
    </w:p>
    <w:p>
      <w:pPr>
        <w:ind w:left="1800" w:right="419" w:hanging="180"/>
        <w:spacing w:after="0" w:line="286"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57"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62" w:lineRule="exact"/>
        <w:rPr>
          <w:sz w:val="20"/>
          <w:szCs w:val="20"/>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12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33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Affiliated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057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340Basics d/b/a Nuvem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ATW Partners</w:t>
      </w:r>
    </w:p>
    <w:p>
      <w:pPr>
        <w:spacing w:after="0" w:line="9" w:lineRule="exact"/>
        <w:rPr>
          <w:sz w:val="20"/>
          <w:szCs w:val="20"/>
          <w:color w:val="auto"/>
        </w:rPr>
      </w:pPr>
    </w:p>
    <w:p>
      <w:pPr>
        <w:ind w:left="1260" w:right="60"/>
        <w:spacing w:after="0" w:line="250" w:lineRule="auto"/>
        <w:rPr>
          <w:sz w:val="20"/>
          <w:szCs w:val="20"/>
          <w:color w:val="auto"/>
        </w:rPr>
      </w:pPr>
      <w:r>
        <w:rPr>
          <w:rFonts w:ascii="Arial" w:cs="Arial" w:eastAsia="Arial" w:hAnsi="Arial"/>
          <w:sz w:val="18"/>
          <w:szCs w:val="18"/>
          <w:color w:val="auto"/>
        </w:rPr>
        <w:t>Chardan Capital Markets, LLC Chardan NexTech Acquisition Corp. China Networks International Holdings Ltd.</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Sesame,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PierianDx, Inc.</w:t>
      </w:r>
    </w:p>
    <w:p>
      <w:pPr>
        <w:spacing w:after="0" w:line="35" w:lineRule="exact"/>
        <w:rPr>
          <w:sz w:val="20"/>
          <w:szCs w:val="20"/>
          <w:color w:val="auto"/>
        </w:rPr>
      </w:pPr>
    </w:p>
    <w:p>
      <w:pPr>
        <w:ind w:left="1260"/>
        <w:spacing w:after="0" w:line="253" w:lineRule="auto"/>
        <w:rPr>
          <w:sz w:val="20"/>
          <w:szCs w:val="20"/>
          <w:color w:val="auto"/>
        </w:rPr>
      </w:pPr>
      <w:r>
        <w:rPr>
          <w:rFonts w:ascii="Arial" w:cs="Arial" w:eastAsia="Arial" w:hAnsi="Arial"/>
          <w:sz w:val="18"/>
          <w:szCs w:val="18"/>
          <w:color w:val="auto"/>
        </w:rPr>
        <w:t>Chardan Capital Markets, LLC Chardan Healthcare Acquisition 2 Corp. Chardan NexTech Acquisition Corp. CleanTech Acquisition Corp. Cornix Advisers, LLC</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BiomX,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Ventoux CCM Acquisition Corp.</w:t>
      </w:r>
    </w:p>
    <w:p>
      <w:pPr>
        <w:spacing w:after="0" w:line="49" w:lineRule="exact"/>
        <w:rPr>
          <w:sz w:val="20"/>
          <w:szCs w:val="20"/>
          <w:color w:val="auto"/>
        </w:rPr>
      </w:pPr>
    </w:p>
    <w:p>
      <w:pPr>
        <w:ind w:left="1260" w:right="280"/>
        <w:spacing w:after="0" w:line="286" w:lineRule="auto"/>
        <w:rPr>
          <w:sz w:val="20"/>
          <w:szCs w:val="20"/>
          <w:color w:val="auto"/>
        </w:rPr>
      </w:pPr>
      <w:r>
        <w:rPr>
          <w:rFonts w:ascii="Arial" w:cs="Arial" w:eastAsia="Arial" w:hAnsi="Arial"/>
          <w:sz w:val="17"/>
          <w:szCs w:val="17"/>
          <w:color w:val="auto"/>
        </w:rPr>
        <w:t>Chardan Capital Markets, LLC Chardan NexTech Acquisition Corp. Ventoux CCM Acquisition Corp.</w:t>
      </w: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PREEM Inc.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Corp.</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Development Group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Imprint LLC</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 Fund</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Syncona Limited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KQ Labs</w:t>
      </w:r>
    </w:p>
    <w:p>
      <w:pPr>
        <w:spacing w:after="0" w:line="49" w:lineRule="exact"/>
        <w:rPr>
          <w:sz w:val="20"/>
          <w:szCs w:val="20"/>
          <w:color w:val="auto"/>
        </w:rPr>
      </w:pPr>
    </w:p>
    <w:p>
      <w:pPr>
        <w:ind w:left="1260" w:right="280"/>
        <w:spacing w:after="0" w:line="308" w:lineRule="auto"/>
        <w:rPr>
          <w:sz w:val="20"/>
          <w:szCs w:val="20"/>
          <w:color w:val="auto"/>
        </w:rPr>
      </w:pPr>
      <w:r>
        <w:rPr>
          <w:rFonts w:ascii="Arial" w:cs="Arial" w:eastAsia="Arial" w:hAnsi="Arial"/>
          <w:sz w:val="17"/>
          <w:szCs w:val="17"/>
          <w:color w:val="auto"/>
        </w:rPr>
        <w:t>Kairos Ventures Investments, LLC Chardan NexTech Acquisition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8229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Kerry Propper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Jonas Grossman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00" w:lineRule="exact"/>
        <w:rPr>
          <w:sz w:val="20"/>
          <w:szCs w:val="20"/>
          <w:color w:val="auto"/>
        </w:rPr>
      </w:pPr>
    </w:p>
    <w:p>
      <w:pPr>
        <w:spacing w:after="0" w:line="295" w:lineRule="exact"/>
        <w:rPr>
          <w:sz w:val="20"/>
          <w:szCs w:val="20"/>
          <w:color w:val="auto"/>
        </w:rPr>
      </w:pPr>
    </w:p>
    <w:p>
      <w:pPr>
        <w:ind w:right="140"/>
        <w:spacing w:after="0" w:line="535" w:lineRule="auto"/>
        <w:rPr>
          <w:sz w:val="20"/>
          <w:szCs w:val="20"/>
          <w:color w:val="auto"/>
        </w:rPr>
      </w:pPr>
      <w:r>
        <w:rPr>
          <w:rFonts w:ascii="Arial" w:cs="Arial" w:eastAsia="Arial" w:hAnsi="Arial"/>
          <w:sz w:val="16"/>
          <w:szCs w:val="16"/>
          <w:color w:val="auto"/>
        </w:rPr>
        <w:t>Jonathan Biele Perry Boyle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Roderick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Hardamon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Jory Des Jardins</w:t>
      </w: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Hitesh Thakrar</w:t>
      </w: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Todd Thomson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Priority/Preference relative to</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Chardan NexTech Acquisition 2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57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1" w:lineRule="exact"/>
        <w:rPr>
          <w:sz w:val="20"/>
          <w:szCs w:val="20"/>
          <w:color w:val="auto"/>
        </w:rPr>
      </w:pPr>
    </w:p>
    <w:p>
      <w:pPr>
        <w:jc w:val="both"/>
        <w:ind w:right="419"/>
        <w:spacing w:after="0" w:line="254" w:lineRule="auto"/>
        <w:rPr>
          <w:sz w:val="20"/>
          <w:szCs w:val="20"/>
          <w:color w:val="auto"/>
        </w:rPr>
      </w:pPr>
      <w:r>
        <w:rPr>
          <w:rFonts w:ascii="Arial" w:cs="Arial" w:eastAsia="Arial" w:hAnsi="Arial"/>
          <w:sz w:val="18"/>
          <w:szCs w:val="18"/>
          <w:color w:val="auto"/>
        </w:rPr>
        <w:t>340Basics d/b/a Nuvem, ATW Partners, and Chardan Capital Markets, LLC, China Networks International Holdings Ltd., Credit Sesame, Inc., and PierianDx, Inc. will each have priority over us. We will have priority over Chardan NexTech Acquisition Corp.</w:t>
      </w:r>
    </w:p>
    <w:p>
      <w:pPr>
        <w:spacing w:after="0" w:line="235" w:lineRule="exact"/>
        <w:rPr>
          <w:sz w:val="20"/>
          <w:szCs w:val="20"/>
          <w:color w:val="auto"/>
        </w:rPr>
      </w:pPr>
    </w:p>
    <w:p>
      <w:pPr>
        <w:jc w:val="both"/>
        <w:ind w:right="419"/>
        <w:spacing w:after="0" w:line="272" w:lineRule="auto"/>
        <w:rPr>
          <w:sz w:val="20"/>
          <w:szCs w:val="20"/>
          <w:color w:val="auto"/>
        </w:rPr>
      </w:pPr>
      <w:r>
        <w:rPr>
          <w:rFonts w:ascii="Arial" w:cs="Arial" w:eastAsia="Arial" w:hAnsi="Arial"/>
          <w:sz w:val="17"/>
          <w:szCs w:val="17"/>
          <w:color w:val="auto"/>
        </w:rPr>
        <w:t>Chardan Capital Markets, LLC, Chardan Healthcare Acquisition 2 Corp., CleanTech Acquisition Corp., Cornix Advisers, LLC, BiomX, Inc. and Ventoux CCM Acquisition Corp. will each have priority over us. We will have priority over Chardan NexTech Acquisition Corp.</w:t>
      </w:r>
    </w:p>
    <w:p>
      <w:pPr>
        <w:spacing w:after="0" w:line="15" w:lineRule="exact"/>
        <w:rPr>
          <w:sz w:val="20"/>
          <w:szCs w:val="20"/>
          <w:color w:val="auto"/>
        </w:rPr>
      </w:pPr>
    </w:p>
    <w:p>
      <w:pPr>
        <w:jc w:val="both"/>
        <w:ind w:right="419"/>
        <w:spacing w:after="0" w:line="257" w:lineRule="auto"/>
        <w:rPr>
          <w:sz w:val="20"/>
          <w:szCs w:val="20"/>
          <w:color w:val="auto"/>
        </w:rPr>
      </w:pPr>
      <w:r>
        <w:rPr>
          <w:rFonts w:ascii="Arial" w:cs="Arial" w:eastAsia="Arial" w:hAnsi="Arial"/>
          <w:sz w:val="18"/>
          <w:szCs w:val="18"/>
          <w:color w:val="auto"/>
        </w:rPr>
        <w:t>Chardan Capital Markets, LLC, and Ventoux CCM Acquisition Corp. will each have priority over us. We will have priority over Chardan NexTech Acquisition Corp.</w:t>
      </w:r>
    </w:p>
    <w:p>
      <w:pPr>
        <w:spacing w:after="0" w:line="26" w:lineRule="exact"/>
        <w:rPr>
          <w:sz w:val="20"/>
          <w:szCs w:val="20"/>
          <w:color w:val="auto"/>
        </w:rPr>
      </w:pPr>
    </w:p>
    <w:p>
      <w:pPr>
        <w:ind w:right="419"/>
        <w:spacing w:after="0" w:line="279" w:lineRule="auto"/>
        <w:rPr>
          <w:sz w:val="20"/>
          <w:szCs w:val="20"/>
          <w:color w:val="auto"/>
        </w:rPr>
      </w:pPr>
      <w:r>
        <w:rPr>
          <w:rFonts w:ascii="Arial" w:cs="Arial" w:eastAsia="Arial" w:hAnsi="Arial"/>
          <w:sz w:val="18"/>
          <w:szCs w:val="18"/>
          <w:color w:val="auto"/>
        </w:rPr>
        <w:t>PREEM Inc. will have priority over us. We will have priority over Chardan NexTech Acquisition Corp.</w:t>
      </w:r>
    </w:p>
    <w:p>
      <w:pPr>
        <w:spacing w:after="0" w:line="7" w:lineRule="exact"/>
        <w:rPr>
          <w:sz w:val="20"/>
          <w:szCs w:val="20"/>
          <w:color w:val="auto"/>
        </w:rPr>
      </w:pPr>
    </w:p>
    <w:p>
      <w:pPr>
        <w:jc w:val="both"/>
        <w:ind w:right="419"/>
        <w:spacing w:after="0" w:line="263" w:lineRule="auto"/>
        <w:rPr>
          <w:sz w:val="20"/>
          <w:szCs w:val="20"/>
          <w:color w:val="auto"/>
        </w:rPr>
      </w:pPr>
      <w:r>
        <w:rPr>
          <w:rFonts w:ascii="Arial" w:cs="Arial" w:eastAsia="Arial" w:hAnsi="Arial"/>
          <w:sz w:val="18"/>
          <w:szCs w:val="18"/>
          <w:color w:val="auto"/>
        </w:rPr>
        <w:t>URGE Development Group and URGE Imprint LLC will each have priority over us.</w:t>
      </w:r>
    </w:p>
    <w:p>
      <w:pPr>
        <w:spacing w:after="0" w:line="22"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The @ Company and W Fund will each have priority over us.</w:t>
      </w:r>
    </w:p>
    <w:p>
      <w:pPr>
        <w:spacing w:after="0" w:line="8"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Syncona Limited and KQ Labs will each have priority over us.</w:t>
      </w:r>
    </w:p>
    <w:p>
      <w:pPr>
        <w:spacing w:after="0" w:line="8" w:lineRule="exact"/>
        <w:rPr>
          <w:sz w:val="20"/>
          <w:szCs w:val="20"/>
          <w:color w:val="auto"/>
        </w:rPr>
      </w:pPr>
    </w:p>
    <w:p>
      <w:pPr>
        <w:jc w:val="both"/>
        <w:ind w:right="419"/>
        <w:spacing w:after="0" w:line="259" w:lineRule="auto"/>
        <w:rPr>
          <w:sz w:val="20"/>
          <w:szCs w:val="20"/>
          <w:color w:val="auto"/>
        </w:rPr>
      </w:pPr>
      <w:r>
        <w:rPr>
          <w:rFonts w:ascii="Arial" w:cs="Arial" w:eastAsia="Arial" w:hAnsi="Arial"/>
          <w:sz w:val="18"/>
          <w:szCs w:val="18"/>
          <w:color w:val="auto"/>
        </w:rPr>
        <w:t>Kairos Ventures Investments, LLC will have priority over us. We will have priority over Chardan NexTech Acquisition Corp.</w:t>
      </w:r>
    </w:p>
    <w:p>
      <w:pPr>
        <w:spacing w:after="0" w:line="133" w:lineRule="exact"/>
        <w:rPr>
          <w:sz w:val="20"/>
          <w:szCs w:val="20"/>
          <w:color w:val="auto"/>
        </w:rPr>
      </w:pPr>
    </w:p>
    <w:p>
      <w:pPr>
        <w:sectPr>
          <w:pgSz w:w="11900" w:h="16838" w:orient="portrait"/>
          <w:cols w:equalWidth="0" w:num="3">
            <w:col w:w="4300" w:space="420"/>
            <w:col w:w="1240" w:space="260"/>
            <w:col w:w="3659"/>
          </w:cols>
          <w:pgMar w:left="580" w:top="131" w:right="1440" w:bottom="1440" w:gutter="0" w:footer="0" w:header="0"/>
        </w:sectPr>
      </w:pPr>
    </w:p>
    <w:p>
      <w:pPr>
        <w:ind w:left="1260" w:right="459" w:firstLine="360"/>
        <w:spacing w:after="0" w:line="255" w:lineRule="auto"/>
        <w:rPr>
          <w:sz w:val="20"/>
          <w:szCs w:val="20"/>
          <w:color w:val="auto"/>
        </w:rPr>
      </w:pPr>
      <w:r>
        <w:rPr>
          <w:rFonts w:ascii="Arial" w:cs="Arial" w:eastAsia="Arial" w:hAnsi="Arial"/>
          <w:sz w:val="18"/>
          <w:szCs w:val="18"/>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2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w:t>
      </w:r>
    </w:p>
    <w:p>
      <w:pPr>
        <w:sectPr>
          <w:pgSz w:w="11900" w:h="16838" w:orient="portrait"/>
          <w:cols w:equalWidth="0" w:num="1">
            <w:col w:w="9879"/>
          </w:cols>
          <w:pgMar w:left="580" w:top="131" w:right="1440" w:bottom="1440" w:gutter="0" w:footer="0" w:header="0"/>
          <w:type w:val="continuous"/>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9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1320"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79" w:lineRule="exact"/>
        <w:rPr>
          <w:sz w:val="20"/>
          <w:szCs w:val="20"/>
          <w:color w:val="auto"/>
        </w:rPr>
      </w:pPr>
    </w:p>
    <w:p>
      <w:pPr>
        <w:ind w:left="1800" w:right="1440"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62" w:lineRule="exact"/>
        <w:rPr>
          <w:rFonts w:ascii="Arial" w:cs="Arial" w:eastAsia="Arial" w:hAnsi="Arial"/>
          <w:sz w:val="18"/>
          <w:szCs w:val="18"/>
          <w:color w:val="auto"/>
        </w:rPr>
      </w:pPr>
    </w:p>
    <w:p>
      <w:pPr>
        <w:ind w:left="1800" w:right="1480"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58" w:lineRule="exact"/>
        <w:rPr>
          <w:sz w:val="20"/>
          <w:szCs w:val="20"/>
          <w:color w:val="auto"/>
        </w:rPr>
      </w:pPr>
    </w:p>
    <w:p>
      <w:pPr>
        <w:ind w:left="1260" w:right="1540"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19" w:lineRule="exact"/>
        <w:rPr>
          <w:sz w:val="20"/>
          <w:szCs w:val="20"/>
          <w:color w:val="auto"/>
        </w:rPr>
      </w:pPr>
    </w:p>
    <w:p>
      <w:pPr>
        <w:ind w:left="1260" w:right="1280" w:firstLine="360"/>
        <w:spacing w:after="0" w:line="266"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May and June 2021, our sponsor transferred 20,000 founder shares to each of Messrs. Biele, Boyle, Hardamon, Thakrar and Thomson and Ms. Jardins. In addition, Chardan NexTech 2 Warrant Holdings LLC, an affiliate of our sponsor, has committed, pursuant to a written agreement, to purchase an aggregate of 4,200,000 (or up to 4,442,183 depending on the extent to which the underwriters’ over-allotment option is exercised) private warrants for a purchase price of approximately $0.93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w:t>
      </w:r>
    </w:p>
    <w:p>
      <w:pPr>
        <w:spacing w:after="0" w:line="7" w:lineRule="exact"/>
        <w:rPr>
          <w:sz w:val="20"/>
          <w:szCs w:val="20"/>
          <w:color w:val="auto"/>
        </w:rPr>
      </w:pPr>
    </w:p>
    <w:p>
      <w:pPr>
        <w:ind w:left="1260" w:right="1320"/>
        <w:spacing w:after="0" w:line="277" w:lineRule="auto"/>
        <w:rPr>
          <w:sz w:val="20"/>
          <w:szCs w:val="20"/>
          <w:color w:val="auto"/>
        </w:rPr>
      </w:pPr>
      <w:r>
        <w:rPr>
          <w:rFonts w:ascii="Arial" w:cs="Arial" w:eastAsia="Arial" w:hAnsi="Arial"/>
          <w:sz w:val="17"/>
          <w:szCs w:val="17"/>
          <w:color w:val="auto"/>
        </w:rPr>
        <w:t>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Prior to Offering</w:t>
            </w:r>
          </w:p>
        </w:tc>
        <w:tc>
          <w:tcPr>
            <w:tcW w:w="220" w:type="dxa"/>
            <w:vAlign w:val="bottom"/>
          </w:tcPr>
          <w:p>
            <w:pPr>
              <w:spacing w:after="0"/>
              <w:rPr>
                <w:sz w:val="21"/>
                <w:szCs w:val="21"/>
                <w:color w:val="auto"/>
              </w:rPr>
            </w:pPr>
          </w:p>
        </w:tc>
        <w:tc>
          <w:tcPr>
            <w:tcW w:w="17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After Offering</w:t>
            </w:r>
            <w:r>
              <w:rPr>
                <w:rFonts w:ascii="Arial" w:cs="Arial" w:eastAsia="Arial" w:hAnsi="Arial"/>
                <w:sz w:val="21"/>
                <w:szCs w:val="21"/>
                <w:b w:val="1"/>
                <w:bCs w:val="1"/>
                <w:color w:val="auto"/>
                <w:vertAlign w:val="superscript"/>
              </w:rPr>
              <w:t>(2)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Approximate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Beneficially</w:t>
            </w: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Beneficially</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Common</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(2)</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9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Chardan NexTech Investments 2 LLC</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Kerry Propper</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Jonas Grossman</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Alex Weil</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Perry Boyle</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Jory Des Jardins</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Todd Thomson</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All officers and directors as a group (8 individuals)</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2,875,000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-2510790</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-2510790</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-2510790</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-2510790</wp:posOffset>
            </wp:positionV>
            <wp:extent cx="1289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8" w:name="page129"/>
    <w:bookmarkEnd w:id="1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779" w:hanging="360"/>
        <w:spacing w:after="0" w:line="25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Chardan NexTech Acquisition 2 Corp.,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w:t>
      </w:r>
    </w:p>
    <w:p>
      <w:pPr>
        <w:ind w:left="1620" w:hanging="360"/>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60" w:lineRule="exact"/>
        <w:rPr>
          <w:rFonts w:ascii="Arial" w:cs="Arial" w:eastAsia="Arial" w:hAnsi="Arial"/>
          <w:sz w:val="18"/>
          <w:szCs w:val="18"/>
          <w:color w:val="auto"/>
        </w:rPr>
      </w:pPr>
    </w:p>
    <w:p>
      <w:pPr>
        <w:ind w:left="1620" w:right="439" w:hanging="360"/>
        <w:spacing w:after="0" w:line="293"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9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addition, Chardan NexTech 2 Warrant Holdings LLC, an affiliate of our sponsor, has committed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from us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 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 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share. These purchases will take place on a private placement basis simultaneously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this offering.</w:t>
      </w:r>
    </w:p>
    <w:p>
      <w:pPr>
        <w:spacing w:after="0" w:line="14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 as applicable), the proceeds from the sale of the private warrants will be included in the liquidating distribution to the holders of our public shares.</w:t>
      </w:r>
    </w:p>
    <w:p>
      <w:pPr>
        <w:spacing w:after="0" w:line="10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91" w:lineRule="auto"/>
        <w:rPr>
          <w:sz w:val="20"/>
          <w:szCs w:val="20"/>
          <w:color w:val="auto"/>
        </w:rPr>
      </w:pPr>
      <w:r>
        <w:rPr>
          <w:rFonts w:ascii="Arial" w:cs="Arial" w:eastAsia="Arial" w:hAnsi="Arial"/>
          <w:sz w:val="17"/>
          <w:szCs w:val="17"/>
          <w:color w:val="auto"/>
        </w:rPr>
        <w:t>or any of its related persons will not be convertible into any of our securities and Chardan and its related persons will have no recourse with respect to their ability to convert their loans into any of our securities.</w:t>
      </w:r>
    </w:p>
    <w:p>
      <w:pPr>
        <w:spacing w:after="0" w:line="66"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$ 12.50 per share (as adjusted for share splits, share capitalizations, reorganizations and recapitalizations) for any 10 trading days within any 30-trading day period commencing after our initial business combination and</w:t>
      </w:r>
    </w:p>
    <w:p>
      <w:pPr>
        <w:spacing w:after="0" w:line="4" w:lineRule="exact"/>
        <w:rPr>
          <w:sz w:val="20"/>
          <w:szCs w:val="20"/>
          <w:color w:val="auto"/>
        </w:rPr>
      </w:pPr>
    </w:p>
    <w:p>
      <w:pPr>
        <w:ind w:left="1260" w:right="539"/>
        <w:spacing w:after="0" w:line="253" w:lineRule="auto"/>
        <w:tabs>
          <w:tab w:leader="none" w:pos="1529" w:val="left"/>
        </w:tabs>
        <w:numPr>
          <w:ilvl w:val="0"/>
          <w:numId w:val="68"/>
        </w:numPr>
        <w:rPr>
          <w:rFonts w:ascii="Arial" w:cs="Arial" w:eastAsia="Arial" w:hAnsi="Arial"/>
          <w:sz w:val="17"/>
          <w:szCs w:val="17"/>
          <w:color w:val="auto"/>
        </w:rPr>
      </w:pPr>
      <w:r>
        <w:rPr>
          <w:rFonts w:ascii="Arial" w:cs="Arial" w:eastAsia="Arial" w:hAnsi="Arial"/>
          <w:sz w:val="17"/>
          <w:szCs w:val="17"/>
          <w:color w:val="auto"/>
        </w:rPr>
        <w:t>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 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the underwriters determine the size of the offering should be increased (including pursuant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462(b) under the Securities Act) or decreased, a share capitalization or a contribution back to capital,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applicable, would be effectuated in order to maintain our initial stockholders’ ownership at 20%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shares issued and outstanding after the closing of this offering.</w:t>
      </w:r>
    </w:p>
    <w:p>
      <w:pPr>
        <w:spacing w:after="0" w:line="12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Chardan NexTech 2 Warrant Holdings LLC, an affiliate of our sponsor, has committed to purchase from us an aggregate of 4,200,000 (or up to 4,442,183 warrants depending on the extent to which the underwriters’ over-allotment option is exercised) at a price of approximately $0.93 per warrant ($3,902,000 (or up to $4,127,000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If we do not complete our initial business combination within 12 months from the closing of this offering (or up to 18 months from the closing of this offering if we extend the period of time to consummate a business combination by the maximum amount as described in more detail in this prospectus),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9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1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seven years from the effective date of the registration statement of which this prospectus forms a part, as long as Chardan or any of its related persons are beneficial owners of private warrants.</w:t>
      </w:r>
    </w:p>
    <w:p>
      <w:pPr>
        <w:spacing w:after="0" w:line="9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1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113"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We will reimburse our officers and directors for any reasonable out- of- pocket business expenses incurred by them in connection with certain activities on our behalf such as identifying and investigating possible target businesses and business combinations. There is no limit on the amount of out- 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99"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our securities are first listed on Nasdaq, we will pay an amount equal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 per month to our sponsor for office space, administrative and shared personnel support services.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Upon completion of our initial business combination or our liquidation, we will cease paying these monthly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fees. Accordingly, in the event the consummation of our initial business combination takes 12 months,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sponsor will be paid a total of $120,000 ($10,000 per month) and will be entitled to be reimbursed for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out-of-pocket expenses.</w:t>
      </w:r>
    </w:p>
    <w:p>
      <w:pPr>
        <w:spacing w:after="0" w:line="12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w:t>
      </w:r>
      <w:r>
        <w:rPr>
          <w:rFonts w:ascii="Arial" w:cs="Arial" w:eastAsia="Arial" w:hAnsi="Arial"/>
          <w:sz w:val="18"/>
          <w:szCs w:val="18"/>
          <w:i w:val="1"/>
          <w:iCs w:val="1"/>
          <w:color w:val="auto"/>
        </w:rPr>
        <w:t>Underwriting (Conflicts of Interest) —</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Marketing Agreement</w:t>
      </w:r>
      <w:r>
        <w:rPr>
          <w:rFonts w:ascii="Arial" w:cs="Arial" w:eastAsia="Arial" w:hAnsi="Arial"/>
          <w:sz w:val="18"/>
          <w:szCs w:val="18"/>
          <w:color w:val="auto"/>
        </w:rPr>
        <w:t>.” We will pay Chardan a cash fee for such services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our initial business combination in an amount equal to, in the aggregate, 3.5% of the gross proceeds of this offering. As a result, Chardan will not be entitled to such fee unless we consummate our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2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04"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84" w:lineRule="exact"/>
        <w:rPr>
          <w:sz w:val="20"/>
          <w:szCs w:val="20"/>
          <w:color w:val="auto"/>
        </w:rPr>
      </w:pPr>
    </w:p>
    <w:p>
      <w:pPr>
        <w:ind w:left="1800" w:right="47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to our sponsor for office space, administrative and shared personnel support services, in an amount equal to $10,000 per month;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sponsor intends to allocate up to 20,000 founder shares to each of our independent directors;</w:t>
      </w:r>
    </w:p>
    <w:p>
      <w:pPr>
        <w:spacing w:after="0" w:line="12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w:t>
      </w:r>
    </w:p>
    <w:p>
      <w:pPr>
        <w:spacing w:after="0" w:line="62"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79" w:lineRule="exact"/>
        <w:rPr>
          <w:rFonts w:ascii="Arial" w:cs="Arial" w:eastAsia="Arial" w:hAnsi="Arial"/>
          <w:sz w:val="18"/>
          <w:szCs w:val="18"/>
          <w:color w:val="auto"/>
        </w:rPr>
      </w:pPr>
    </w:p>
    <w:p>
      <w:pPr>
        <w:ind w:left="1800" w:right="439" w:hanging="180"/>
        <w:spacing w:after="0" w:line="279"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90"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Each unit consists of one share of common stock and three -quarters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w:t>
      </w:r>
    </w:p>
    <w:p>
      <w:pPr>
        <w:spacing w:after="0" w:line="126"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no event will the common stock and warrants be traded separately until we have filed with the SEC a Current Report on Form 8 -K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76" w:lineRule="exact"/>
        <w:rPr>
          <w:sz w:val="20"/>
          <w:szCs w:val="20"/>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06"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50% of the shares voted for the election of directors can elect all of the directors. Our stockholders are entitled to receive ratable dividends when, as and if declared by the board of directors out of funds legally available therefor.</w:t>
      </w:r>
    </w:p>
    <w:p>
      <w:pPr>
        <w:spacing w:after="0" w:line="10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27"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1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taken to approve our initial business combination. These quorum and voting thresholds, and the voting agreements of our initial stockholders, may make it more likely that we will consummate our initial business combination.</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21" w:lineRule="exact"/>
        <w:rPr>
          <w:sz w:val="20"/>
          <w:szCs w:val="20"/>
          <w:color w:val="auto"/>
        </w:rPr>
      </w:pPr>
    </w:p>
    <w:p>
      <w:pPr>
        <w:ind w:left="1260" w:right="619" w:firstLine="360"/>
        <w:spacing w:after="0" w:line="250" w:lineRule="auto"/>
        <w:rPr>
          <w:sz w:val="20"/>
          <w:szCs w:val="20"/>
          <w:color w:val="auto"/>
        </w:rPr>
      </w:pPr>
      <w:r>
        <w:rPr>
          <w:rFonts w:ascii="Arial" w:cs="Arial" w:eastAsia="Arial" w:hAnsi="Arial"/>
          <w:sz w:val="17"/>
          <w:szCs w:val="17"/>
          <w:color w:val="auto"/>
        </w:rPr>
        <w:t>Pursuant to our amended and restated certificate of incorporation, 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w:t>
      </w:r>
    </w:p>
    <w:p>
      <w:pPr>
        <w:spacing w:after="0" w:line="5" w:lineRule="exact"/>
        <w:rPr>
          <w:sz w:val="20"/>
          <w:szCs w:val="20"/>
          <w:color w:val="auto"/>
        </w:rPr>
      </w:pPr>
    </w:p>
    <w:p>
      <w:pPr>
        <w:ind w:left="1260" w:right="419"/>
        <w:spacing w:after="0" w:line="249" w:lineRule="auto"/>
        <w:rPr>
          <w:sz w:val="20"/>
          <w:szCs w:val="20"/>
          <w:color w:val="auto"/>
        </w:rPr>
      </w:pPr>
      <w:r>
        <w:rPr>
          <w:rFonts w:ascii="Arial" w:cs="Arial" w:eastAsia="Arial" w:hAnsi="Arial"/>
          <w:sz w:val="17"/>
          <w:szCs w:val="17"/>
          <w:color w:val="auto"/>
        </w:rPr>
        <w:t xml:space="preserve">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 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12 months from the closing of this offering (or up to 18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0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w:t>
      </w:r>
    </w:p>
    <w:p>
      <w:pPr>
        <w:spacing w:after="0" w:line="1" w:lineRule="exact"/>
        <w:rPr>
          <w:sz w:val="20"/>
          <w:szCs w:val="20"/>
          <w:color w:val="auto"/>
        </w:rPr>
      </w:pPr>
    </w:p>
    <w:p>
      <w:pPr>
        <w:ind w:left="1260" w:right="419"/>
        <w:spacing w:after="0" w:line="235" w:lineRule="auto"/>
        <w:tabs>
          <w:tab w:leader="none" w:pos="14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12 months (or up to 18 months, as applicable)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certain limited exceptions, 50% of the founder shares will not be transferred, assigned, sold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released from escrow until the earlier of (i) six months after the date of the consummation of a business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or (ii) the date on which the closing price of our shares of common stock equals or exceeds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$12.50 per share (as adjusted for stock splits, stock dividends, reorganizations and recapitalizations) for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 trading days within any 30-trading day period commencing after a business combination. The remaining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 of the founder shares will not be transferred, assigned, sold or released from escrow until 6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the date of the consummation of a business combination, or earlier, in either case, if, subsequent to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we consummate a subsequent liquidation, merger, stock exchange or other similar</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transaction which results in all of the stockholders having the right to exchange their shares of common stock for cash, securities or other property.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There are no shares of preferred stock outstanding as of the date of this prospectus. Our amended and restated certificate of incorporation to be filed with the State of Delaware will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four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1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0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17" w:lineRule="exact"/>
        <w:rPr>
          <w:sz w:val="20"/>
          <w:szCs w:val="20"/>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07"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22"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123"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0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18"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12 months (or up to 18 months, as applicable) from the closing of this offering or (ii) with respect to any other provision relating to stockholders’ rights or pre- 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3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22" w:lineRule="exact"/>
        <w:rPr>
          <w:sz w:val="20"/>
          <w:szCs w:val="20"/>
          <w:color w:val="auto"/>
        </w:rPr>
      </w:pPr>
    </w:p>
    <w:p>
      <w:pPr>
        <w:jc w:val="both"/>
        <w:ind w:left="1260" w:right="459" w:firstLine="360"/>
        <w:spacing w:after="0" w:line="257"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w:t>
      </w: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0" w:lineRule="auto"/>
        <w:rPr>
          <w:sz w:val="20"/>
          <w:szCs w:val="20"/>
          <w:color w:val="auto"/>
        </w:rPr>
      </w:pPr>
      <w:r>
        <w:rPr>
          <w:rFonts w:ascii="Arial" w:cs="Arial" w:eastAsia="Arial" w:hAnsi="Arial"/>
          <w:sz w:val="17"/>
          <w:szCs w:val="17"/>
          <w:color w:val="auto"/>
        </w:rPr>
        <w:t>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 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 Scholes model is an accepted pricing model for estimating fair market value where no quoted market price for an instrument is available.</w:t>
      </w:r>
    </w:p>
    <w:p>
      <w:pPr>
        <w:spacing w:after="0" w:line="113" w:lineRule="exact"/>
        <w:rPr>
          <w:sz w:val="20"/>
          <w:szCs w:val="20"/>
          <w:color w:val="auto"/>
        </w:rPr>
      </w:pPr>
    </w:p>
    <w:p>
      <w:pPr>
        <w:ind w:left="1260" w:right="639" w:firstLine="360"/>
        <w:spacing w:after="0" w:line="238"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26"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117"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97"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7"/>
          <w:szCs w:val="17"/>
          <w:i w:val="1"/>
          <w:iCs w:val="1"/>
          <w:color w:val="auto"/>
        </w:rPr>
        <w:t>Principal Stockholders — Restrictions on Transfers of Founder Shares and Private Warrants</w:t>
      </w:r>
      <w:r>
        <w:rPr>
          <w:rFonts w:ascii="Arial" w:cs="Arial" w:eastAsia="Arial" w:hAnsi="Arial"/>
          <w:sz w:val="17"/>
          <w:szCs w:val="17"/>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1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2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 (b) in the case of an individual, by gift to a member of the individual’s immediate family or to a trust, the beneficiary of which is a member of the individual’s immediate family, an</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84" w:lineRule="exact"/>
        <w:rPr>
          <w:sz w:val="20"/>
          <w:szCs w:val="20"/>
          <w:color w:val="auto"/>
        </w:rPr>
      </w:pPr>
    </w:p>
    <w:p>
      <w:pPr>
        <w:ind w:left="1800" w:right="419" w:hanging="180"/>
        <w:spacing w:after="0" w:line="268" w:lineRule="auto"/>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75"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70" w:lineRule="exact"/>
        <w:rPr>
          <w:rFonts w:ascii="Arial" w:cs="Arial" w:eastAsia="Arial" w:hAnsi="Arial"/>
          <w:sz w:val="18"/>
          <w:szCs w:val="18"/>
          <w:color w:val="auto"/>
        </w:rPr>
      </w:pPr>
    </w:p>
    <w:p>
      <w:pPr>
        <w:ind w:left="1800" w:right="479" w:hanging="180"/>
        <w:spacing w:after="0" w:line="25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88"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w:t>
      </w:r>
    </w:p>
    <w:p>
      <w:pPr>
        <w:spacing w:after="0" w:line="34" w:lineRule="exact"/>
        <w:rPr>
          <w:rFonts w:ascii="Arial" w:cs="Arial" w:eastAsia="Arial" w:hAnsi="Arial"/>
          <w:sz w:val="17"/>
          <w:szCs w:val="17"/>
          <w:color w:val="auto"/>
        </w:rPr>
      </w:pPr>
    </w:p>
    <w:p>
      <w:pPr>
        <w:ind w:left="1800" w:right="439"/>
        <w:spacing w:after="0" w:line="251" w:lineRule="auto"/>
        <w:rPr>
          <w:rFonts w:ascii="Arial" w:cs="Arial" w:eastAsia="Arial" w:hAnsi="Arial"/>
          <w:sz w:val="17"/>
          <w:szCs w:val="17"/>
          <w:color w:val="auto"/>
        </w:rPr>
      </w:pPr>
      <w:r>
        <w:rPr>
          <w:rFonts w:ascii="Arial" w:cs="Arial" w:eastAsia="Arial" w:hAnsi="Arial"/>
          <w:sz w:val="18"/>
          <w:szCs w:val="18"/>
          <w:color w:val="auto"/>
        </w:rPr>
        <w:t>(i)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89"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will not effect our initial business combination unless our sponsor approves of such transaction.</w:t>
      </w:r>
    </w:p>
    <w:p>
      <w:pPr>
        <w:spacing w:after="0" w:line="16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Certain Anti-Takeover Provisions of Delaware Law and our Certificate of Incorporation and By-Laws</w:t>
      </w:r>
    </w:p>
    <w:p>
      <w:pPr>
        <w:spacing w:after="0" w:line="169" w:lineRule="exact"/>
        <w:rPr>
          <w:sz w:val="20"/>
          <w:szCs w:val="20"/>
          <w:color w:val="auto"/>
        </w:rPr>
      </w:pPr>
    </w:p>
    <w:p>
      <w:pPr>
        <w:jc w:val="both"/>
        <w:ind w:left="1260" w:right="559" w:firstLine="360"/>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8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45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7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8"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16"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0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44"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Our amended and restated certificate of incorporation will require, subject to certain exceptions and unless we consent in writing to the selection of an alternative forum, the sole and exclusive forum for (a) any</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8" w:lineRule="auto"/>
        <w:rPr>
          <w:sz w:val="20"/>
          <w:szCs w:val="20"/>
          <w:color w:val="auto"/>
        </w:rPr>
      </w:pPr>
      <w:r>
        <w:rPr>
          <w:rFonts w:ascii="Arial" w:cs="Arial" w:eastAsia="Arial" w:hAnsi="Arial"/>
          <w:sz w:val="17"/>
          <w:szCs w:val="17"/>
          <w:color w:val="auto"/>
        </w:rPr>
        <w:t>derivative action or proceeding brought on our behalf, (b) any action asserting a claim of breach of a fiduciary duty owed by any current or former director, officer, employee, agent to us or out stockholders,</w:t>
      </w:r>
    </w:p>
    <w:p>
      <w:pPr>
        <w:spacing w:after="0" w:line="1" w:lineRule="exact"/>
        <w:rPr>
          <w:sz w:val="20"/>
          <w:szCs w:val="20"/>
          <w:color w:val="auto"/>
        </w:rPr>
      </w:pPr>
    </w:p>
    <w:p>
      <w:pPr>
        <w:ind w:left="1260" w:right="419"/>
        <w:spacing w:after="0" w:line="237" w:lineRule="auto"/>
        <w:tabs>
          <w:tab w:leader="none" w:pos="15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0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w:t>
      </w:r>
    </w:p>
    <w:p>
      <w:pPr>
        <w:spacing w:after="0" w:line="12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our amended and restated certificate of incorporationwill state that unless we consent in writing to the selection of an alternative forum, the federal district courts of the United States of America shall be the exclusive forum for resolution of any complaint asserting a cause of action arising under the Securities Act. Section 22 of the Securities Act creates a concurrent jurisdiction for federal and state courts over all suits brought to enforce any duty or liability created by the Securities Act or the rules and regulations thereunder.</w:t>
      </w:r>
    </w:p>
    <w:p>
      <w:pPr>
        <w:spacing w:after="0" w:line="12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 xml:space="preserve">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w:t>
      </w:r>
    </w:p>
    <w:p>
      <w:pPr>
        <w:spacing w:after="0" w:line="2"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0" w:lineRule="exact"/>
        <w:rPr>
          <w:sz w:val="20"/>
          <w:szCs w:val="20"/>
          <w:color w:val="auto"/>
        </w:rPr>
      </w:pPr>
    </w:p>
    <w:p>
      <w:pPr>
        <w:ind w:left="1800" w:hanging="180"/>
        <w:spacing w:after="0"/>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15"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 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three-quarters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63" w:lineRule="exact"/>
        <w:rPr>
          <w:sz w:val="20"/>
          <w:szCs w:val="20"/>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dealers or traders subject to a mark-to-market method of accounting with respect to the securities;</w:t>
      </w:r>
    </w:p>
    <w:p>
      <w:pPr>
        <w:spacing w:after="0" w:line="128" w:lineRule="exact"/>
        <w:rPr>
          <w:rFonts w:ascii="Arial" w:cs="Arial" w:eastAsia="Arial" w:hAnsi="Arial"/>
          <w:sz w:val="17"/>
          <w:szCs w:val="17"/>
          <w:color w:val="auto"/>
        </w:rPr>
      </w:pPr>
    </w:p>
    <w:p>
      <w:pPr>
        <w:ind w:left="1800" w:right="107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03"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25"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tax laws to your particular situation, as well as any tax consequences arising under the laws of any state, local or foreign jurisdiction.</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three-quarters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three-quarters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three-quarters of one warrant should be the holder’s initial tax basis in such share or three-quarters of one warrant, as the case may be. Any disposition of a unit should be treated for U.S. federal income tax purposes as a disposition of the share of common stock and three-quarters of one warrant comprising the unit, and the amount realized on the disposition should be allocated between the common stock and the three -quarters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1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63" w:lineRule="exact"/>
        <w:rPr>
          <w:sz w:val="20"/>
          <w:szCs w:val="20"/>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2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running of the holding period for the common stock is suspended, then non-corporate U.S. holders may not be able to satisfy the one-year holding period requirement for long -term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Generally, the amount of gain or loss recognized by a U.S. holder is equal to the difference between</w:t>
      </w:r>
    </w:p>
    <w:p>
      <w:pPr>
        <w:spacing w:after="0" w:line="23" w:lineRule="exact"/>
        <w:rPr>
          <w:sz w:val="20"/>
          <w:szCs w:val="20"/>
          <w:color w:val="auto"/>
        </w:rPr>
      </w:pPr>
    </w:p>
    <w:p>
      <w:pPr>
        <w:ind w:left="1260" w:right="499"/>
        <w:spacing w:after="0" w:line="236" w:lineRule="auto"/>
        <w:tabs>
          <w:tab w:leader="none" w:pos="14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three-quarters of one warrant or, as discussed below, the U.S. holder’s initial basis for common stock received upon exercise of warrants) less, in the case of a share of common stock, any prior distributions treated as a return of capital.</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the event that a U.S. holder’s common stock is redeemed pursuant to the redemption provisions described under the section of this prospectus entitled “Description of Securities —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16"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07"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3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6"/>
          <w:szCs w:val="16"/>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In general, any distributions (including constructive distributions) we make to a Non- 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 -U.S.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 -U.S. Holders — Possible Constructive Distributions” for potential U.S. federal tax consequences with respect to constructive distributions.</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 -U.S.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15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68" w:lineRule="exact"/>
        <w:rPr>
          <w:sz w:val="20"/>
          <w:szCs w:val="20"/>
          <w:color w:val="auto"/>
        </w:rPr>
      </w:pPr>
    </w:p>
    <w:p>
      <w:pPr>
        <w:ind w:left="1800" w:right="799" w:hanging="180"/>
        <w:spacing w:after="0" w:line="286"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57" w:lineRule="exact"/>
        <w:rPr>
          <w:rFonts w:ascii="Arial" w:cs="Arial" w:eastAsia="Arial" w:hAnsi="Arial"/>
          <w:sz w:val="17"/>
          <w:szCs w:val="17"/>
          <w:color w:val="auto"/>
        </w:rPr>
      </w:pPr>
    </w:p>
    <w:p>
      <w:pPr>
        <w:ind w:left="1800" w:right="459" w:hanging="180"/>
        <w:spacing w:after="0" w:line="296" w:lineRule="auto"/>
        <w:tabs>
          <w:tab w:leader="none" w:pos="1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70" w:lineRule="auto"/>
        <w:rPr>
          <w:sz w:val="20"/>
          <w:szCs w:val="20"/>
          <w:color w:val="auto"/>
        </w:rPr>
      </w:pPr>
      <w:r>
        <w:rPr>
          <w:rFonts w:ascii="Arial" w:cs="Arial" w:eastAsia="Arial" w:hAnsi="Arial"/>
          <w:sz w:val="17"/>
          <w:szCs w:val="17"/>
          <w:color w:val="auto"/>
        </w:rPr>
        <w:t>at any time within the shorter of the five -year period preceding the disposition or such Non- U.S. holder’s holding period for the shares of our common stock. There can be no assurance that our common stock will be treated as regularly traded on an established securities market for this purpose.</w:t>
      </w:r>
    </w:p>
    <w:p>
      <w:pPr>
        <w:spacing w:after="0" w:line="8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05"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w:t>
      </w:r>
    </w:p>
    <w:p>
      <w:pPr>
        <w:spacing w:after="0" w:line="2"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50 percent of the sum of the fair market value of our worldwide real property interests plus our other assets used or held for use in a trade or business, as determined for U.S. federal income tax purposes.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w:t>
      </w:r>
    </w:p>
    <w:p>
      <w:pPr>
        <w:spacing w:after="0" w:line="2"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7"/>
          <w:szCs w:val="17"/>
          <w:color w:val="auto"/>
        </w:rPr>
        <w:t>— Redemption of Common Stock” above, and the consequences of the redemption to the Non-U.S. holder will be as described above under “Non-U.S. Holders — Taxation of Distributions” and “Non-U.S. Holders</w:t>
      </w:r>
    </w:p>
    <w:p>
      <w:pPr>
        <w:spacing w:after="0" w:line="1" w:lineRule="exact"/>
        <w:rPr>
          <w:sz w:val="20"/>
          <w:szCs w:val="20"/>
          <w:color w:val="auto"/>
        </w:rPr>
      </w:pPr>
    </w:p>
    <w:p>
      <w:pPr>
        <w:ind w:left="1260" w:right="899"/>
        <w:spacing w:after="0" w:line="243" w:lineRule="auto"/>
        <w:rPr>
          <w:sz w:val="20"/>
          <w:szCs w:val="20"/>
          <w:color w:val="auto"/>
        </w:rPr>
      </w:pPr>
      <w:r>
        <w:rPr>
          <w:rFonts w:ascii="Arial" w:cs="Arial" w:eastAsia="Arial" w:hAnsi="Arial"/>
          <w:sz w:val="18"/>
          <w:szCs w:val="18"/>
          <w:color w:val="auto"/>
        </w:rPr>
        <w:t>— Gain on Sale, Taxable Exchange or Other Taxable Disposition of Common Stock and Warrants,” as applicable.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 -U.S.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color w:val="auto"/>
        </w:rPr>
        <w:t>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2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0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1280" w:firstLine="360"/>
        <w:spacing w:after="0" w:line="279"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10,000,000</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-393700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1760" w:firstLine="360"/>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ind w:left="1260" w:right="1260" w:firstLine="360"/>
        <w:spacing w:after="0" w:line="257"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Over-allotment Option</w:t>
      </w:r>
    </w:p>
    <w:p>
      <w:pPr>
        <w:spacing w:after="0" w:line="162" w:lineRule="exact"/>
        <w:rPr>
          <w:sz w:val="20"/>
          <w:szCs w:val="20"/>
          <w:color w:val="auto"/>
        </w:rPr>
      </w:pPr>
    </w:p>
    <w:p>
      <w:pPr>
        <w:ind w:left="1260" w:right="1320" w:firstLine="360"/>
        <w:spacing w:after="0" w:line="257"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48" w:lineRule="exact"/>
        <w:rPr>
          <w:sz w:val="20"/>
          <w:szCs w:val="20"/>
          <w:color w:val="auto"/>
        </w:rPr>
      </w:pPr>
    </w:p>
    <w:p>
      <w:pPr>
        <w:ind w:left="1260" w:right="1280" w:firstLine="360"/>
        <w:spacing w:after="0" w:line="268" w:lineRule="auto"/>
        <w:rPr>
          <w:sz w:val="20"/>
          <w:szCs w:val="20"/>
          <w:color w:val="auto"/>
        </w:rPr>
      </w:pPr>
      <w:r>
        <w:rPr>
          <w:rFonts w:ascii="Arial" w:cs="Arial" w:eastAsia="Arial" w:hAnsi="Arial"/>
          <w:sz w:val="17"/>
          <w:szCs w:val="17"/>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 independent underwriter. Any units sold by the underwriters to securities</w:t>
      </w:r>
    </w:p>
    <w:p>
      <w:pPr>
        <w:spacing w:after="0" w:line="3" w:lineRule="exact"/>
        <w:rPr>
          <w:sz w:val="20"/>
          <w:szCs w:val="20"/>
          <w:color w:val="auto"/>
        </w:rPr>
      </w:pPr>
    </w:p>
    <w:p>
      <w:pPr>
        <w:ind w:left="1260" w:right="1700"/>
        <w:spacing w:after="0" w:line="265" w:lineRule="auto"/>
        <w:rPr>
          <w:sz w:val="20"/>
          <w:szCs w:val="20"/>
          <w:color w:val="auto"/>
        </w:rPr>
      </w:pPr>
      <w:r>
        <w:rPr>
          <w:rFonts w:ascii="Arial" w:cs="Arial" w:eastAsia="Arial" w:hAnsi="Arial"/>
          <w:sz w:val="17"/>
          <w:szCs w:val="17"/>
          <w:color w:val="auto"/>
        </w:rPr>
        <w:t>dealers may be sold at a discount of up to $ per unit from the public offering price. Any of these securities dealers may resell any units purchased from the underwriters to other brokers or dealers at a</w:t>
      </w:r>
    </w:p>
    <w:p>
      <w:pPr>
        <w:ind w:left="1260" w:right="1360"/>
        <w:spacing w:after="0" w:line="250" w:lineRule="auto"/>
        <w:rPr>
          <w:sz w:val="20"/>
          <w:szCs w:val="20"/>
          <w:color w:val="auto"/>
        </w:rPr>
      </w:pPr>
      <w:r>
        <w:rPr>
          <w:rFonts w:ascii="Arial" w:cs="Arial" w:eastAsia="Arial" w:hAnsi="Arial"/>
          <w:sz w:val="18"/>
          <w:szCs w:val="18"/>
          <w:color w:val="auto"/>
        </w:rPr>
        <w:t>discount of up to $ per unit from the public offering price. If all of the units are not sold at the initial public offering price, the representative may change the offering price and the other selling terms.</w:t>
      </w:r>
    </w:p>
    <w:p>
      <w:pPr>
        <w:spacing w:after="0" w:line="1" w:lineRule="exact"/>
        <w:rPr>
          <w:sz w:val="20"/>
          <w:szCs w:val="20"/>
          <w:color w:val="auto"/>
        </w:rPr>
      </w:pPr>
    </w:p>
    <w:p>
      <w:pPr>
        <w:jc w:val="both"/>
        <w:ind w:left="1260" w:right="1500"/>
        <w:spacing w:after="0" w:line="255" w:lineRule="auto"/>
        <w:rPr>
          <w:sz w:val="20"/>
          <w:szCs w:val="20"/>
          <w:color w:val="auto"/>
        </w:rPr>
      </w:pPr>
      <w:r>
        <w:rPr>
          <w:rFonts w:ascii="Arial" w:cs="Arial" w:eastAsia="Arial" w:hAnsi="Arial"/>
          <w:sz w:val="18"/>
          <w:szCs w:val="18"/>
          <w:color w:val="auto"/>
        </w:rPr>
        <w:t>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00" w:type="dxa"/>
            <w:vAlign w:val="bottom"/>
          </w:tcPr>
          <w:p>
            <w:pPr>
              <w:spacing w:after="0"/>
              <w:rPr>
                <w:sz w:val="14"/>
                <w:szCs w:val="14"/>
                <w:color w:val="auto"/>
              </w:rPr>
            </w:pPr>
          </w:p>
        </w:tc>
        <w:tc>
          <w:tcPr>
            <w:tcW w:w="216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With</w:t>
            </w:r>
          </w:p>
        </w:tc>
      </w:tr>
      <w:tr>
        <w:trPr>
          <w:trHeight w:val="186"/>
        </w:trPr>
        <w:tc>
          <w:tcPr>
            <w:tcW w:w="12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Over-allotment</w:t>
            </w:r>
          </w:p>
        </w:tc>
        <w:tc>
          <w:tcPr>
            <w:tcW w:w="22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5"/>
              </w:rPr>
              <w:t>Over-allotment</w:t>
            </w:r>
          </w:p>
        </w:tc>
      </w:tr>
      <w:tr>
        <w:trPr>
          <w:trHeight w:val="25"/>
        </w:trPr>
        <w:tc>
          <w:tcPr>
            <w:tcW w:w="12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115,000,000</w:t>
            </w: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Discount and qualified independent underwriter fees</w:t>
            </w:r>
          </w:p>
        </w:tc>
        <w:tc>
          <w:tcPr>
            <w:tcW w:w="740" w:type="dxa"/>
            <w:vAlign w:val="bottom"/>
            <w:gridSpan w:val="2"/>
          </w:tcPr>
          <w:p>
            <w:pPr>
              <w:ind w:left="20"/>
              <w:spacing w:after="0" w:line="243" w:lineRule="exact"/>
              <w:rPr>
                <w:sz w:val="20"/>
                <w:szCs w:val="20"/>
                <w:color w:val="auto"/>
              </w:rPr>
            </w:pPr>
            <w:r>
              <w:rPr>
                <w:rFonts w:ascii="Arial" w:cs="Arial" w:eastAsia="Arial" w:hAnsi="Arial"/>
                <w:sz w:val="18"/>
                <w:szCs w:val="18"/>
                <w:color w:val="auto"/>
                <w:w w:val="91"/>
              </w:rPr>
              <w:t>$0.005</w:t>
            </w:r>
            <w:r>
              <w:rPr>
                <w:rFonts w:ascii="Arial" w:cs="Arial" w:eastAsia="Arial" w:hAnsi="Arial"/>
                <w:sz w:val="26"/>
                <w:szCs w:val="26"/>
                <w:color w:val="auto"/>
                <w:w w:val="91"/>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260"/>
              <w:spacing w:after="0"/>
              <w:rPr>
                <w:sz w:val="20"/>
                <w:szCs w:val="20"/>
                <w:color w:val="auto"/>
              </w:rPr>
            </w:pPr>
            <w:r>
              <w:rPr>
                <w:rFonts w:ascii="Arial" w:cs="Arial" w:eastAsia="Arial" w:hAnsi="Arial"/>
                <w:sz w:val="18"/>
                <w:szCs w:val="18"/>
                <w:color w:val="auto"/>
              </w:rPr>
              <w:t>500,000</w:t>
            </w:r>
          </w:p>
        </w:tc>
      </w:tr>
      <w:tr>
        <w:trPr>
          <w:trHeight w:val="256"/>
        </w:trPr>
        <w:tc>
          <w:tcPr>
            <w:tcW w:w="1260" w:type="dxa"/>
            <w:vAlign w:val="bottom"/>
          </w:tcPr>
          <w:p>
            <w:pPr>
              <w:spacing w:after="0"/>
              <w:rPr>
                <w:sz w:val="22"/>
                <w:szCs w:val="22"/>
                <w:color w:val="auto"/>
              </w:rPr>
            </w:pPr>
          </w:p>
        </w:tc>
        <w:tc>
          <w:tcPr>
            <w:tcW w:w="5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6"/>
                <w:szCs w:val="26"/>
                <w:color w:val="auto"/>
                <w:vertAlign w:val="superscript"/>
              </w:rPr>
              <w:t>(2)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$9.995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114,500,000</w:t>
            </w:r>
          </w:p>
        </w:tc>
        <w:tc>
          <w:tcPr>
            <w:tcW w:w="1260" w:type="dxa"/>
            <w:vAlign w:val="bottom"/>
          </w:tcPr>
          <w:p>
            <w:pPr>
              <w:spacing w:after="0"/>
              <w:rPr>
                <w:sz w:val="22"/>
                <w:szCs w:val="22"/>
                <w:color w:val="auto"/>
              </w:rPr>
            </w:pPr>
          </w:p>
        </w:tc>
      </w:tr>
      <w:tr>
        <w:trPr>
          <w:trHeight w:val="621"/>
        </w:trPr>
        <w:tc>
          <w:tcPr>
            <w:tcW w:w="1260" w:type="dxa"/>
            <w:vAlign w:val="bottom"/>
          </w:tcPr>
          <w:p>
            <w:pPr>
              <w:spacing w:after="0"/>
              <w:rPr>
                <w:sz w:val="24"/>
                <w:szCs w:val="24"/>
                <w:color w:val="auto"/>
              </w:rPr>
            </w:pPr>
          </w:p>
        </w:tc>
        <w:tc>
          <w:tcPr>
            <w:tcW w:w="5220" w:type="dxa"/>
            <w:vAlign w:val="bottom"/>
          </w:tcPr>
          <w:p>
            <w:pPr>
              <w:jc w:val="right"/>
              <w:ind w:right="910"/>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-1139190</wp:posOffset>
            </wp:positionV>
            <wp:extent cx="45688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8" w:name="page159"/>
    <w:bookmarkEnd w:id="1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right="419" w:hanging="360"/>
        <w:spacing w:after="0" w:line="308" w:lineRule="auto"/>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aggregate amount of the fee paid to the underwriters (including the amount payable to the qualified independent underwriter) remains constant at $500,000, even if the over-allotment option is exercised.</w:t>
      </w:r>
    </w:p>
    <w:p>
      <w:pPr>
        <w:spacing w:after="0" w:line="65" w:lineRule="exact"/>
        <w:rPr>
          <w:rFonts w:ascii="Arial" w:cs="Arial" w:eastAsia="Arial" w:hAnsi="Arial"/>
          <w:sz w:val="17"/>
          <w:szCs w:val="17"/>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offering expenses are estimated at $575,000.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90"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w:t>
      </w:r>
    </w:p>
    <w:p>
      <w:pPr>
        <w:ind w:left="1260" w:right="619"/>
        <w:spacing w:after="0" w:line="243" w:lineRule="auto"/>
        <w:rPr>
          <w:sz w:val="20"/>
          <w:szCs w:val="20"/>
          <w:color w:val="auto"/>
        </w:rPr>
      </w:pPr>
      <w:r>
        <w:rPr>
          <w:rFonts w:ascii="Arial" w:cs="Arial" w:eastAsia="Arial" w:hAnsi="Arial"/>
          <w:sz w:val="18"/>
          <w:szCs w:val="18"/>
          <w:color w:val="auto"/>
        </w:rPr>
        <w:t>Factors considered in determining the prices and terms of the units, including the shares of common stock and warrants underlying the units, include:</w:t>
      </w:r>
    </w:p>
    <w:p>
      <w:pPr>
        <w:spacing w:after="0" w:line="78" w:lineRule="exact"/>
        <w:rPr>
          <w:sz w:val="20"/>
          <w:szCs w:val="20"/>
          <w:color w:val="auto"/>
        </w:rPr>
      </w:pPr>
    </w:p>
    <w:p>
      <w:pPr>
        <w:ind w:left="1800" w:right="123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70" w:lineRule="exact"/>
        <w:rPr>
          <w:sz w:val="20"/>
          <w:szCs w:val="20"/>
          <w:color w:val="auto"/>
        </w:rPr>
      </w:pPr>
    </w:p>
    <w:p>
      <w:pPr>
        <w:ind w:left="1800" w:right="659" w:hanging="180"/>
        <w:spacing w:after="0" w:line="289" w:lineRule="auto"/>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Stabilizing Transactions</w:t>
      </w:r>
      <w:r>
        <w:rPr>
          <w:rFonts w:ascii="Arial" w:cs="Arial" w:eastAsia="Arial" w:hAnsi="Arial"/>
          <w:sz w:val="17"/>
          <w:szCs w:val="17"/>
          <w:color w:val="auto"/>
        </w:rPr>
        <w:t>. The underwriters may make bids or purchases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preventing or retarding a decline in the price of our units, as long as stabilizing bids do not exceed the offering price of $10.00 and the underwriters comply with all other applicable rules.</w:t>
      </w:r>
    </w:p>
    <w:p>
      <w:pPr>
        <w:spacing w:after="0" w:line="49"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Over-Allotments and Syndicate Coverage Transactions</w:t>
      </w:r>
      <w:r>
        <w:rPr>
          <w:rFonts w:ascii="Arial" w:cs="Arial" w:eastAsia="Arial" w:hAnsi="Arial"/>
          <w:sz w:val="17"/>
          <w:szCs w:val="17"/>
          <w:color w:val="auto"/>
        </w:rPr>
        <w:t>. The underwriters may create a short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19"/>
        <w:spacing w:after="0" w:line="261" w:lineRule="auto"/>
        <w:rPr>
          <w:sz w:val="20"/>
          <w:szCs w:val="20"/>
          <w:color w:val="auto"/>
        </w:rPr>
      </w:pPr>
      <w:r>
        <w:rPr>
          <w:rFonts w:ascii="Arial" w:cs="Arial" w:eastAsia="Arial" w:hAnsi="Arial"/>
          <w:sz w:val="18"/>
          <w:szCs w:val="18"/>
          <w:color w:val="auto"/>
        </w:rPr>
        <w:t>more than the over-allotment option, the naked short must be covered by purchases in the aftermarket, which could be at prices above the offering price.</w:t>
      </w:r>
    </w:p>
    <w:p>
      <w:pPr>
        <w:spacing w:after="0" w:line="45" w:lineRule="exact"/>
        <w:rPr>
          <w:sz w:val="20"/>
          <w:szCs w:val="20"/>
          <w:color w:val="auto"/>
        </w:rPr>
      </w:pPr>
    </w:p>
    <w:p>
      <w:pPr>
        <w:ind w:left="1800" w:right="419" w:hanging="180"/>
        <w:spacing w:after="0" w:line="266"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units originally sold by the syndicate member are purchased in a stabilizing or syndicate covering transaction to cover syndicate short positions.</w:t>
      </w:r>
    </w:p>
    <w:p>
      <w:pPr>
        <w:spacing w:after="0" w:line="11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4" w:lineRule="exact"/>
        <w:rPr>
          <w:sz w:val="20"/>
          <w:szCs w:val="20"/>
          <w:color w:val="auto"/>
        </w:rPr>
      </w:pPr>
    </w:p>
    <w:p>
      <w:pPr>
        <w:jc w:val="both"/>
        <w:ind w:left="1260" w:right="439" w:firstLine="360"/>
        <w:spacing w:after="0" w:line="261" w:lineRule="auto"/>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90"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4,200,000 (or up to 4,442,183 warrants depending on the extent to which the underwriters’ over-allotment option is exercised) at a price of approximately $0.93 per warrant ( $3,902,000 (or up to $4,127,000 depending on the extent to which the underwriters’ over-allotment option is exercised))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 our</w:t>
      </w:r>
      <w:r>
        <w:rPr>
          <w:rFonts w:ascii="Arial" w:cs="Arial" w:eastAsia="Arial" w:hAnsi="Arial"/>
          <w:sz w:val="17"/>
          <w:szCs w:val="17"/>
          <w:color w:val="auto"/>
        </w:rPr>
        <w:t xml:space="preserve"> Securities — </w:t>
      </w:r>
      <w:r>
        <w:rPr>
          <w:rFonts w:ascii="Arial" w:cs="Arial" w:eastAsia="Arial" w:hAnsi="Arial"/>
          <w:sz w:val="17"/>
          <w:szCs w:val="17"/>
          <w:i w:val="1"/>
          <w:iCs w:val="1"/>
          <w:color w:val="auto"/>
        </w:rPr>
        <w:t>Registration Rights</w:t>
      </w:r>
      <w:r>
        <w:rPr>
          <w:rFonts w:ascii="Arial" w:cs="Arial" w:eastAsia="Arial" w:hAnsi="Arial"/>
          <w:sz w:val="17"/>
          <w:szCs w:val="17"/>
          <w:color w:val="auto"/>
        </w:rPr>
        <w:t xml:space="preserve"> .” The demand and piggyback registration rights being granted to our sponsor are subject to FINRA Rule 5110(g) and will be in compliance with FINRA Rule 5110.05.</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114"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Terms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4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76" w:lineRule="exact"/>
        <w:rPr>
          <w:sz w:val="20"/>
          <w:szCs w:val="20"/>
          <w:color w:val="auto"/>
        </w:rPr>
      </w:pPr>
    </w:p>
    <w:p>
      <w:pPr>
        <w:ind w:left="1800" w:right="103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30"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purchaser acknowledges and consents to the provision of specified information concerning its purchase of our securities to the regulatory authority that by law is entitled to collect the information.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5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Suite 1903, Box 5520, Queen Street West, Toronto, Ontario, M5H 3S8, Telephone: (416) 593-8086,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(416) 593-8252.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6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which contains the Form S-1 and other reports, proxy and information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46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97"/>
              </w:rPr>
              <w:t>CHARDAN NEXTECH ACQUISITION 2 CORP.</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8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9"/>
        </w:trPr>
        <w:tc>
          <w:tcPr>
            <w:tcW w:w="4420" w:type="dxa"/>
            <w:vAlign w:val="bottom"/>
            <w:tcBorders>
              <w:bottom w:val="single" w:sz="8" w:color="0000EE"/>
            </w:tcBorders>
            <w:gridSpan w:val="3"/>
            <w:shd w:val="clear" w:color="auto" w:fill="CCEEFF"/>
          </w:tcPr>
          <w:p>
            <w:pPr>
              <w:spacing w:after="0" w:line="162" w:lineRule="exact"/>
              <w:rPr>
                <w:rFonts w:ascii="Arial" w:cs="Arial" w:eastAsia="Arial" w:hAnsi="Arial"/>
                <w:sz w:val="18"/>
                <w:szCs w:val="18"/>
                <w:color w:val="0000EE"/>
                <w:w w:val="95"/>
              </w:rPr>
            </w:pPr>
            <w:hyperlink w:anchor="page164">
              <w:r>
                <w:rPr>
                  <w:rFonts w:ascii="Arial" w:cs="Arial" w:eastAsia="Arial" w:hAnsi="Arial"/>
                  <w:sz w:val="18"/>
                  <w:szCs w:val="18"/>
                  <w:color w:val="0000EE"/>
                  <w:w w:val="95"/>
                </w:rPr>
                <w:t>Report of Independent Registered Public Accounting Firm</w:t>
              </w:r>
            </w:hyperlink>
          </w:p>
        </w:tc>
        <w:tc>
          <w:tcPr>
            <w:tcW w:w="3220" w:type="dxa"/>
            <w:vAlign w:val="bottom"/>
            <w:tcBorders>
              <w:bottom w:val="single" w:sz="8" w:color="CCEEFF"/>
            </w:tcBorders>
            <w:gridSpan w:val="6"/>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0000EE"/>
            </w:tcBorders>
            <w:shd w:val="clear" w:color="auto" w:fill="CCEEFF"/>
          </w:tcPr>
          <w:p>
            <w:pPr>
              <w:spacing w:after="0" w:line="162"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F-2</w:t>
              </w:r>
            </w:hyperlink>
          </w:p>
        </w:tc>
      </w:tr>
      <w:tr>
        <w:trPr>
          <w:trHeight w:val="230"/>
        </w:trPr>
        <w:tc>
          <w:tcPr>
            <w:tcW w:w="7640" w:type="dxa"/>
            <w:vAlign w:val="bottom"/>
            <w:gridSpan w:val="9"/>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Balance Sheets as of March 31, 2021 (unaudited) and December 31, 2020</w:t>
              </w:r>
            </w:hyperlink>
          </w:p>
        </w:tc>
        <w:tc>
          <w:tcPr>
            <w:tcW w:w="560" w:type="dxa"/>
            <w:vAlign w:val="bottom"/>
            <w:gridSpan w:val="2"/>
          </w:tcPr>
          <w:p>
            <w:pPr>
              <w:ind w:left="300"/>
              <w:spacing w:after="0"/>
              <w:rPr>
                <w:rFonts w:ascii="Arial" w:cs="Arial" w:eastAsia="Arial" w:hAnsi="Arial"/>
                <w:sz w:val="18"/>
                <w:szCs w:val="18"/>
                <w:color w:val="0000EE"/>
                <w:w w:val="88"/>
              </w:rPr>
            </w:pPr>
            <w:hyperlink w:anchor="page165">
              <w:r>
                <w:rPr>
                  <w:rFonts w:ascii="Arial" w:cs="Arial" w:eastAsia="Arial" w:hAnsi="Arial"/>
                  <w:sz w:val="18"/>
                  <w:szCs w:val="18"/>
                  <w:color w:val="0000EE"/>
                  <w:w w:val="88"/>
                </w:rPr>
                <w:t>F-3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16"/>
        </w:trPr>
        <w:tc>
          <w:tcPr>
            <w:tcW w:w="75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Statements of Operations for the three months ended March 31, 2021 (unaudited) and for the period</w:t>
              </w:r>
            </w:hyperlink>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F-4</w:t>
              </w:r>
            </w:hyperlink>
          </w:p>
        </w:tc>
      </w:tr>
      <w:tr>
        <w:trPr>
          <w:trHeight w:val="216"/>
        </w:trPr>
        <w:tc>
          <w:tcPr>
            <w:tcW w:w="68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Statements of Changes in Stockholder’s Equity for the three months ended March 31, 2021</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60" w:type="dxa"/>
            <w:vAlign w:val="bottom"/>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(unaudited) and for the period from June 23, 2020 (inception) through December 31, 2020</w:t>
              </w:r>
            </w:hyperlink>
          </w:p>
        </w:tc>
        <w:tc>
          <w:tcPr>
            <w:tcW w:w="560" w:type="dxa"/>
            <w:vAlign w:val="bottom"/>
            <w:gridSpan w:val="2"/>
          </w:tcPr>
          <w:p>
            <w:pPr>
              <w:ind w:left="300"/>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F-5</w:t>
              </w:r>
            </w:hyperlink>
          </w:p>
        </w:tc>
      </w:tr>
      <w:tr>
        <w:trPr>
          <w:trHeight w:val="34"/>
        </w:trPr>
        <w:tc>
          <w:tcPr>
            <w:tcW w:w="180" w:type="dxa"/>
            <w:vAlign w:val="bottom"/>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r>
      <w:tr>
        <w:trPr>
          <w:trHeight w:val="216"/>
        </w:trPr>
        <w:tc>
          <w:tcPr>
            <w:tcW w:w="764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4"/>
              </w:rPr>
            </w:pPr>
            <w:hyperlink w:anchor="page168">
              <w:r>
                <w:rPr>
                  <w:rFonts w:ascii="Arial" w:cs="Arial" w:eastAsia="Arial" w:hAnsi="Arial"/>
                  <w:sz w:val="18"/>
                  <w:szCs w:val="18"/>
                  <w:color w:val="0000EE"/>
                  <w:w w:val="94"/>
                </w:rPr>
                <w:t>Statements of Cash Flows for the three months ended March 31, 2021 (unaudited) and for the period</w:t>
              </w:r>
            </w:hyperlink>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F-6</w:t>
              </w:r>
            </w:hyperlink>
          </w:p>
        </w:tc>
      </w:tr>
      <w:tr>
        <w:trPr>
          <w:trHeight w:val="229"/>
        </w:trPr>
        <w:tc>
          <w:tcPr>
            <w:tcW w:w="2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Notes to Financial Statements</w:t>
              </w:r>
            </w:hyperlink>
          </w:p>
        </w:tc>
        <w:tc>
          <w:tcPr>
            <w:tcW w:w="5380" w:type="dxa"/>
            <w:vAlign w:val="bottom"/>
            <w:gridSpan w:val="7"/>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69">
              <w:r>
                <w:rPr>
                  <w:rFonts w:ascii="Arial" w:cs="Arial" w:eastAsia="Arial" w:hAnsi="Arial"/>
                  <w:sz w:val="18"/>
                  <w:szCs w:val="18"/>
                  <w:color w:val="0000EE"/>
                  <w:w w:val="88"/>
                </w:rPr>
                <w:t>F-7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BALANCE SHEETS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March 31, 2021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assets – cash</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25,000</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63"/>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 – related party</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126,000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5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2"/>
        </w:trPr>
        <w:tc>
          <w:tcPr>
            <w:tcW w:w="596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w w:val="95"/>
              </w:rPr>
              <w:t>Common stock, $0.0001 par value; 5,000,000 shares authorized; 2,875,000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94"/>
        </w:trPr>
        <w:tc>
          <w:tcPr>
            <w:tcW w:w="5960" w:type="dxa"/>
            <w:vAlign w:val="bottom"/>
            <w:gridSpan w:val="2"/>
            <w:shd w:val="clear" w:color="auto" w:fill="CCEEFF"/>
          </w:tcPr>
          <w:p>
            <w:pPr>
              <w:ind w:left="36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24,712</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7"/>
        </w:trPr>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24,000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24,000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303"/>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-3145155</wp:posOffset>
            </wp:positionV>
            <wp:extent cx="46716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9"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OPERATIONS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Period from</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23, 2020</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5"/>
              </w:rPr>
              <w:t>March 31, 2021    (inception) Through</w:t>
            </w:r>
          </w:p>
        </w:tc>
      </w:tr>
      <w:tr>
        <w:trPr>
          <w:trHeight w:val="186"/>
        </w:trPr>
        <w:tc>
          <w:tcPr>
            <w:tcW w:w="1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(unaudited)</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2020</w:t>
            </w:r>
          </w:p>
        </w:tc>
      </w:tr>
      <w:tr>
        <w:trPr>
          <w:trHeight w:val="26"/>
        </w:trPr>
        <w:tc>
          <w:tcPr>
            <w:tcW w:w="19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70"/>
        </w:trPr>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71"/>
        </w:trPr>
        <w:tc>
          <w:tcPr>
            <w:tcW w:w="558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r>
      <w:tr>
        <w:trPr>
          <w:trHeight w:val="21"/>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44316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01" w:lineRule="exact"/>
        <w:rPr>
          <w:sz w:val="20"/>
          <w:szCs w:val="20"/>
          <w:color w:val="auto"/>
        </w:rPr>
      </w:pPr>
    </w:p>
    <w:p>
      <w:pPr>
        <w:ind w:left="1620" w:right="479" w:hanging="360"/>
        <w:spacing w:after="0" w:line="27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THREE MONTHS ENDED MARCH 31, 2021 (UNAUDITED) AND FOR THE PERIOD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FROM JUNE 23, 2020 (INCEPTION) THROUGH DECEMBER 31, 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5"/>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6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common stock to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6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2,875,000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24,712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2,875,000</w:t>
            </w:r>
          </w:p>
        </w:tc>
        <w:tc>
          <w:tcPr>
            <w:tcW w:w="28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$288</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0"/>
              </w:rPr>
              <w:t>24,712</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2,875,000</w:t>
            </w:r>
          </w:p>
        </w:tc>
        <w:tc>
          <w:tcPr>
            <w:tcW w:w="280" w:type="dxa"/>
            <w:vAlign w:val="bottom"/>
            <w:vMerge w:val="restart"/>
          </w:tcPr>
          <w:p>
            <w:pPr>
              <w:spacing w:after="0"/>
              <w:rPr>
                <w:sz w:val="19"/>
                <w:szCs w:val="19"/>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4"/>
              </w:rPr>
              <w:t>$288</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24,712</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-1447800</wp:posOffset>
            </wp:positionV>
            <wp:extent cx="46716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9"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from June 23,</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For the three</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March 31, 2021</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(unaudited)</w:t>
            </w:r>
          </w:p>
        </w:tc>
        <w:tc>
          <w:tcPr>
            <w:tcW w:w="8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(77,118)</w:t>
            </w: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(77,118)</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125,000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to Sponsor</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47,882</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34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72,882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5212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45859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06"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ability to commence operations is contingent upon obtaining adequate financial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resources through a Proposed Public Offering of 10,000,000 units (the “Units” and, with respect to the</w:t>
      </w:r>
    </w:p>
    <w:p>
      <w:pPr>
        <w:ind w:left="1260"/>
        <w:spacing w:after="0" w:line="234" w:lineRule="auto"/>
        <w:rPr>
          <w:sz w:val="20"/>
          <w:szCs w:val="20"/>
          <w:color w:val="auto"/>
        </w:rPr>
      </w:pPr>
      <w:r>
        <w:rPr>
          <w:rFonts w:ascii="Arial" w:cs="Arial" w:eastAsia="Arial" w:hAnsi="Arial"/>
          <w:sz w:val="18"/>
          <w:szCs w:val="18"/>
          <w:color w:val="auto"/>
        </w:rPr>
        <w:t>shares of common stock included in the Units being offered, the “Public Shares”) at $10.00 per Unit (or</w:t>
      </w:r>
    </w:p>
    <w:p>
      <w:pPr>
        <w:ind w:left="1260"/>
        <w:spacing w:after="0" w:line="235" w:lineRule="auto"/>
        <w:rPr>
          <w:sz w:val="20"/>
          <w:szCs w:val="20"/>
          <w:color w:val="auto"/>
        </w:rPr>
      </w:pPr>
      <w:r>
        <w:rPr>
          <w:rFonts w:ascii="Arial" w:cs="Arial" w:eastAsia="Arial" w:hAnsi="Arial"/>
          <w:sz w:val="18"/>
          <w:szCs w:val="18"/>
          <w:color w:val="auto"/>
        </w:rPr>
        <w:t>11,500,000 Units if the underwriters’ over-allotment option is exercised in full), which is discussed 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Note 3, and the sale of 4,200,000 warrants (or 4,442,183 warrants if the underwriters’ over-allotment option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 exercised in full) (the “Private Warrants”), at a price of approximately $0.93 per Private Warrant, in a</w:t>
      </w:r>
    </w:p>
    <w:p>
      <w:pPr>
        <w:ind w:left="1260"/>
        <w:spacing w:after="0" w:line="234" w:lineRule="auto"/>
        <w:rPr>
          <w:sz w:val="20"/>
          <w:szCs w:val="20"/>
          <w:color w:val="auto"/>
        </w:rPr>
      </w:pPr>
      <w:r>
        <w:rPr>
          <w:rFonts w:ascii="Arial" w:cs="Arial" w:eastAsia="Arial" w:hAnsi="Arial"/>
          <w:sz w:val="18"/>
          <w:szCs w:val="18"/>
          <w:color w:val="auto"/>
        </w:rPr>
        <w:t>private placement to Chardan NexTech 2 Warrant Holdings LLC, an affiliate of Chardan NexTech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Investments 2 LLC (the “Sponsor”), that will close simultaneously with the Proposed Public Offering.</w:t>
      </w:r>
    </w:p>
    <w:p>
      <w:pPr>
        <w:spacing w:after="0" w:line="11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$10.15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 -ended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12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1259"/>
        <w:spacing w:after="0" w:line="261" w:lineRule="auto"/>
        <w:rPr>
          <w:sz w:val="20"/>
          <w:szCs w:val="20"/>
          <w:color w:val="auto"/>
        </w:rPr>
      </w:pPr>
      <w:r>
        <w:rPr>
          <w:rFonts w:ascii="Arial" w:cs="Arial" w:eastAsia="Arial" w:hAnsi="Arial"/>
          <w:sz w:val="18"/>
          <w:szCs w:val="18"/>
          <w:color w:val="auto"/>
        </w:rPr>
        <w:t xml:space="preserve">Accounting Standards Board’s (“FASB”)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2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will have 12 months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07"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479"/>
        <w:spacing w:after="0" w:line="237" w:lineRule="auto"/>
        <w:rPr>
          <w:sz w:val="20"/>
          <w:szCs w:val="20"/>
          <w:color w:val="auto"/>
        </w:rPr>
      </w:pPr>
      <w:r>
        <w:rPr>
          <w:rFonts w:ascii="Arial" w:cs="Arial" w:eastAsia="Arial" w:hAnsi="Arial"/>
          <w:sz w:val="17"/>
          <w:szCs w:val="17"/>
          <w:color w:val="auto"/>
        </w:rPr>
        <w:t>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left="1260" w:right="619" w:firstLine="360"/>
        <w:spacing w:after="0" w:line="235"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07" w:lineRule="exact"/>
        <w:rPr>
          <w:sz w:val="20"/>
          <w:szCs w:val="20"/>
          <w:color w:val="auto"/>
        </w:rPr>
      </w:pPr>
    </w:p>
    <w:p>
      <w:pPr>
        <w:ind w:left="1260" w:right="419" w:firstLine="360"/>
        <w:spacing w:after="0" w:line="225" w:lineRule="auto"/>
        <w:rPr>
          <w:sz w:val="20"/>
          <w:szCs w:val="20"/>
          <w:color w:val="auto"/>
        </w:rPr>
      </w:pPr>
      <w:r>
        <w:rPr>
          <w:rFonts w:ascii="Arial" w:cs="Arial" w:eastAsia="Arial" w:hAnsi="Arial"/>
          <w:sz w:val="18"/>
          <w:szCs w:val="18"/>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8"/>
          <w:szCs w:val="18"/>
          <w:i w:val="1"/>
          <w:iCs w:val="1"/>
          <w:color w:val="auto"/>
        </w:rPr>
        <w:t>Disclosures of Uncertainties about an Entity’s Ability to Continue as a Going Concern</w:t>
      </w:r>
      <w:r>
        <w:rPr>
          <w:rFonts w:ascii="Arial" w:cs="Arial" w:eastAsia="Arial" w:hAnsi="Arial"/>
          <w:sz w:val="18"/>
          <w:szCs w:val="18"/>
          <w:color w:val="auto"/>
        </w:rPr>
        <w:t>,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the Company has access to funds 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ind w:left="1260" w:right="439" w:firstLine="360"/>
        <w:spacing w:after="0" w:line="22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contingent assets and liabilities at the date of the financial statements and the reported amounts of expenses during the reporting periods.</w:t>
      </w:r>
    </w:p>
    <w:p>
      <w:pPr>
        <w:spacing w:after="0" w:line="9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2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5). At March 31, 2021 and December 31, 2020, the Company did not have any dilutive securities and other contracts</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that could, potentially, be exercised or converted into common stock and then share in the earnings of the Company. As a result, diluted loss per common share is the same as basic loss per common share for the periods presented.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FASB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approximates the carrying amounts represented in the accompanying balance sheet, primarily due to their short-term nature.</w:t>
      </w:r>
    </w:p>
    <w:p>
      <w:pPr>
        <w:spacing w:after="0" w:line="10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28"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16"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Level 3 — Inputs to the fair value measurement are unobservable inputs, such as estimates, assumptions, and valuation techniques when little or no market data exists for the assets or liabilities.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 Liabilities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ASC 480,</w:t>
      </w:r>
    </w:p>
    <w:p>
      <w:pPr>
        <w:ind w:left="1260" w:right="479"/>
        <w:spacing w:after="0" w:line="290" w:lineRule="auto"/>
        <w:rPr>
          <w:sz w:val="20"/>
          <w:szCs w:val="20"/>
          <w:color w:val="auto"/>
        </w:rPr>
      </w:pP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(“ASC 480”) and ASC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(“ASC 815”).</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assessment considers whether the warrants are freestanding financial instruments pursuant to ASC 480,</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8"/>
          <w:szCs w:val="18"/>
          <w:i w:val="1"/>
          <w:iCs w:val="1"/>
          <w:color w:val="auto"/>
        </w:rPr>
        <w:t xml:space="preserve">Derivatives and Hedging — Contracts in Entity’s Own Equity </w:t>
      </w:r>
      <w:r>
        <w:rPr>
          <w:rFonts w:ascii="Arial" w:cs="Arial" w:eastAsia="Arial" w:hAnsi="Arial"/>
          <w:sz w:val="18"/>
          <w:szCs w:val="18"/>
          <w:color w:val="auto"/>
        </w:rPr>
        <w:t>(“ASC 815”), under which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changes in fair value recognized in the statements of operations in the period of change.</w:t>
      </w:r>
    </w:p>
    <w:p>
      <w:pPr>
        <w:spacing w:after="0" w:line="12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PROPOSED PUBLIC OFFERING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Proposed Public Offering, the Company will offer for sale up to 10,000,000 Units (or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11,500,000 Units if the underwriters’ over-allotment option is exercised in full) at a purchase price of</w:t>
      </w:r>
    </w:p>
    <w:p>
      <w:pPr>
        <w:ind w:left="1260"/>
        <w:spacing w:after="0"/>
        <w:rPr>
          <w:sz w:val="20"/>
          <w:szCs w:val="20"/>
          <w:color w:val="auto"/>
        </w:rPr>
      </w:pPr>
      <w:r>
        <w:rPr>
          <w:rFonts w:ascii="Arial" w:cs="Arial" w:eastAsia="Arial" w:hAnsi="Arial"/>
          <w:sz w:val="17"/>
          <w:szCs w:val="17"/>
          <w:color w:val="auto"/>
        </w:rPr>
        <w:t>$10.00 per Unit. Each Unit will consist of one share of common stock, $0.0001 par value, and three-quarters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one redeemable warrant (“Public Warrant”). Each whole Public Warrant will entitle the holder to</w:t>
      </w:r>
    </w:p>
    <w:p>
      <w:pPr>
        <w:ind w:left="1260"/>
        <w:spacing w:after="0"/>
        <w:rPr>
          <w:sz w:val="20"/>
          <w:szCs w:val="20"/>
          <w:color w:val="auto"/>
        </w:rPr>
      </w:pPr>
      <w:r>
        <w:rPr>
          <w:rFonts w:ascii="Arial" w:cs="Arial" w:eastAsia="Arial" w:hAnsi="Arial"/>
          <w:sz w:val="18"/>
          <w:szCs w:val="18"/>
          <w:color w:val="auto"/>
        </w:rPr>
        <w:t>purchase one share of common stock at an exercise price of $11.50 per whole share (see Note 7).</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Chardan NexTech 2 Warrant Holdings LLC has agreed to purchase an aggregate of 4,200,000 (or up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4,442,183 depending on the extent to which the underwriters’ over-allotment option is exercised) Private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Warrants at a price of approximately $0.93 per Private Warrant, for an aggregate purchase price of</w:t>
      </w:r>
    </w:p>
    <w:p>
      <w:pPr>
        <w:ind w:left="1260"/>
        <w:spacing w:after="0"/>
        <w:rPr>
          <w:sz w:val="20"/>
          <w:szCs w:val="20"/>
          <w:color w:val="auto"/>
        </w:rPr>
      </w:pPr>
      <w:r>
        <w:rPr>
          <w:rFonts w:ascii="Arial" w:cs="Arial" w:eastAsia="Arial" w:hAnsi="Arial"/>
          <w:sz w:val="17"/>
          <w:szCs w:val="17"/>
          <w:color w:val="auto"/>
        </w:rPr>
        <w:t>$3,902,000, (or up to $4,127,000 if the underwrites) in a private placement that will occur simultaneously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the closing of the Proposed Public Offering. Each of the Private Warrants is exercisable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one share of common stock at a price of $11.50 per share, subject to adjustment (see Note 7). The proceeds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the sale of the Private Warrants will be added to the net proceeds from the Proposed Public Offering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held in the Trust Account. If the Company does not complete a Business Combination within the</w:t>
      </w:r>
    </w:p>
    <w:p>
      <w:pPr>
        <w:ind w:left="1260"/>
        <w:spacing w:after="0"/>
        <w:rPr>
          <w:sz w:val="20"/>
          <w:szCs w:val="20"/>
          <w:color w:val="auto"/>
        </w:rPr>
      </w:pPr>
      <w:r>
        <w:rPr>
          <w:rFonts w:ascii="Arial" w:cs="Arial" w:eastAsia="Arial" w:hAnsi="Arial"/>
          <w:sz w:val="17"/>
          <w:szCs w:val="17"/>
          <w:color w:val="auto"/>
        </w:rPr>
        <w:t>Combination Period, the proceeds from the sale of the Private Warrants will be used to fund the redemption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Public Shares (subject to the requirements of applicable law) and the Private Warrants will expire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worthless. The Company classifies the outstanding Private Placement Warrants as warrant liabilities on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 in accordance with the guidance contained in ASC 815-40.</w:t>
      </w:r>
    </w:p>
    <w:p>
      <w:pPr>
        <w:spacing w:after="0" w:line="11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4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initial stockholders will collectively own, on an as -converted basis, 20% of the Company’s issued and outstanding shares after the Proposed Public Offering (assuming the Sponsor does not purchase any Public Shares in the Proposed Public Offering).</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162"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1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WARRANTS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4,200,000 (or up to 4,442,183 depending on the extent to which the underwriters’ over-allotment option is exercised) Private Warrants at a price of approximately $0.93 per Private Warrant, for an aggregate purchase price of $3,902,000 (or up to $4,127,000 depending on the extent to which the underwriters’ over-allotment option is exercised),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18" w:lineRule="exact"/>
        <w:rPr>
          <w:sz w:val="20"/>
          <w:szCs w:val="20"/>
          <w:color w:val="auto"/>
        </w:rPr>
      </w:pPr>
    </w:p>
    <w:p>
      <w:pPr>
        <w:ind w:left="1260" w:right="1039" w:firstLine="360"/>
        <w:spacing w:after="0" w:line="24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26"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1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Company will account for the 4,200,000 (or up to 4,442,183 depending on the extent to which the underwriters’ over-allotment option is exercised)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0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STOCKHOLDER’S EQUITY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Common stock — </w:t>
      </w:r>
      <w:r>
        <w:rPr>
          <w:rFonts w:ascii="Arial" w:cs="Arial" w:eastAsia="Arial" w:hAnsi="Arial"/>
          <w:sz w:val="18"/>
          <w:szCs w:val="18"/>
          <w:color w:val="auto"/>
        </w:rPr>
        <w:t>The Company is authorized to issue 5,000,000 shares of common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On March 31, 2021 and December 31, 2020, 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2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0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SUBSEQUENT EVENTS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June 4,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19"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All share and per-share amounts have been retroactively restated to reflect the stock split.</w:t>
      </w:r>
    </w:p>
    <w:p>
      <w:pPr>
        <w:spacing w:after="0" w:line="10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25" w:lineRule="exact"/>
        <w:rPr>
          <w:sz w:val="20"/>
          <w:szCs w:val="20"/>
          <w:color w:val="auto"/>
        </w:rPr>
      </w:pPr>
    </w:p>
    <w:p>
      <w:pPr>
        <w:jc w:val="both"/>
        <w:ind w:left="1260" w:right="479" w:firstLine="360"/>
        <w:spacing w:after="0" w:line="342" w:lineRule="auto"/>
        <w:rPr>
          <w:sz w:val="20"/>
          <w:szCs w:val="20"/>
          <w:color w:val="auto"/>
        </w:rPr>
      </w:pPr>
      <w:r>
        <w:rPr>
          <w:rFonts w:ascii="Arial" w:cs="Arial" w:eastAsia="Arial" w:hAnsi="Arial"/>
          <w:sz w:val="16"/>
          <w:szCs w:val="16"/>
          <w:color w:val="auto"/>
        </w:rPr>
        <w:t>In May and June 2021, our sponsor transferred 20,000 Founder Shares to each of Messrs. Biele, Boyle, Hardamon, Thakrar and Thomson and Ms. Jardins, for an aggregate of 120,000 Founder Shares transferred.</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20"/>
        <w:spacing w:after="0"/>
        <w:rPr>
          <w:sz w:val="20"/>
          <w:szCs w:val="20"/>
          <w:color w:val="auto"/>
        </w:rPr>
      </w:pPr>
      <w:r>
        <w:rPr>
          <w:rFonts w:ascii="Arial" w:cs="Arial" w:eastAsia="Arial" w:hAnsi="Arial"/>
          <w:sz w:val="28"/>
          <w:szCs w:val="28"/>
          <w:b w:val="1"/>
          <w:bCs w:val="1"/>
          <w:color w:val="auto"/>
        </w:rPr>
        <w:t>Chardan NexTech Acquisition 2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688975</wp:posOffset>
            </wp:positionV>
            <wp:extent cx="12344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214630</wp:posOffset>
            </wp:positionV>
            <wp:extent cx="12344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32"/>
          <w:szCs w:val="3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1285875</wp:posOffset>
            </wp:positionV>
            <wp:extent cx="52120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1329055</wp:posOffset>
            </wp:positionV>
            <wp:extent cx="52120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1581785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23,368</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32,628</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Transfer agent</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88,004</w:t>
            </w: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575,000</w:t>
            </w:r>
          </w:p>
        </w:tc>
      </w:tr>
      <w:tr>
        <w:trPr>
          <w:trHeight w:val="20"/>
        </w:trPr>
        <w:tc>
          <w:tcPr>
            <w:tcW w:w="6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01"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17" w:lineRule="exact"/>
        <w:rPr>
          <w:sz w:val="20"/>
          <w:szCs w:val="20"/>
          <w:color w:val="auto"/>
        </w:rPr>
      </w:pPr>
    </w:p>
    <w:p>
      <w:pPr>
        <w:ind w:left="1980" w:right="479" w:hanging="360"/>
        <w:spacing w:after="0" w:line="268"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58" w:lineRule="exact"/>
        <w:rPr>
          <w:rFonts w:ascii="Arial" w:cs="Arial" w:eastAsia="Arial" w:hAnsi="Arial"/>
          <w:sz w:val="17"/>
          <w:szCs w:val="17"/>
          <w:color w:val="auto"/>
        </w:rPr>
      </w:pPr>
    </w:p>
    <w:p>
      <w:pPr>
        <w:ind w:left="1980" w:right="419" w:hanging="360"/>
        <w:spacing w:after="0" w:line="253"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39" w:lineRule="auto"/>
        <w:rPr>
          <w:sz w:val="20"/>
          <w:szCs w:val="20"/>
          <w:color w:val="auto"/>
        </w:rPr>
      </w:pPr>
      <w:r>
        <w:rPr>
          <w:rFonts w:ascii="Arial" w:cs="Arial" w:eastAsia="Arial" w:hAnsi="Arial"/>
          <w:sz w:val="18"/>
          <w:szCs w:val="18"/>
          <w:color w:val="auto"/>
        </w:rPr>
        <w:t>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9" w:lineRule="exact"/>
        <w:rPr>
          <w:sz w:val="20"/>
          <w:szCs w:val="20"/>
          <w:color w:val="auto"/>
        </w:rPr>
      </w:pPr>
    </w:p>
    <w:p>
      <w:pPr>
        <w:ind w:left="1980" w:right="679" w:hanging="360"/>
        <w:spacing w:after="0" w:line="274"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the extent that a present or former director or officer of a corporation has been successful on the merits or otherwise in defense of any action, suit or proceeding referred to in subsections</w:t>
      </w:r>
    </w:p>
    <w:p>
      <w:pPr>
        <w:jc w:val="both"/>
        <w:ind w:left="1980" w:right="499"/>
        <w:spacing w:after="0" w:line="255" w:lineRule="auto"/>
        <w:rPr>
          <w:rFonts w:ascii="Arial" w:cs="Arial" w:eastAsia="Arial" w:hAnsi="Arial"/>
          <w:sz w:val="17"/>
          <w:szCs w:val="17"/>
          <w:color w:val="auto"/>
        </w:rPr>
      </w:pPr>
      <w:r>
        <w:rPr>
          <w:rFonts w:ascii="Arial" w:cs="Arial" w:eastAsia="Arial" w:hAnsi="Arial"/>
          <w:sz w:val="18"/>
          <w:szCs w:val="18"/>
          <w:color w:val="auto"/>
        </w:rPr>
        <w:t>(a) and (b) of this section, or in defense of any claim, issue or matter therein, such person shall be indemnified against expenses (including attorneys’ fees) actually and reasonably incurred by such person in connection therewith.</w:t>
      </w:r>
    </w:p>
    <w:p>
      <w:pPr>
        <w:spacing w:after="0" w:line="81" w:lineRule="exact"/>
        <w:rPr>
          <w:rFonts w:ascii="Arial" w:cs="Arial" w:eastAsia="Arial" w:hAnsi="Arial"/>
          <w:sz w:val="17"/>
          <w:szCs w:val="17"/>
          <w:color w:val="auto"/>
        </w:rPr>
      </w:pPr>
    </w:p>
    <w:p>
      <w:pPr>
        <w:ind w:left="1980" w:right="439" w:hanging="360"/>
        <w:spacing w:after="0" w:line="267"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w:t>
      </w:r>
    </w:p>
    <w:p>
      <w:pPr>
        <w:spacing w:after="0" w:line="4" w:lineRule="exact"/>
        <w:rPr>
          <w:rFonts w:ascii="Arial" w:cs="Arial" w:eastAsia="Arial" w:hAnsi="Arial"/>
          <w:sz w:val="17"/>
          <w:szCs w:val="17"/>
          <w:color w:val="auto"/>
        </w:rPr>
      </w:pPr>
    </w:p>
    <w:p>
      <w:pPr>
        <w:ind w:left="1980" w:right="679"/>
        <w:spacing w:after="0" w:line="255" w:lineRule="auto"/>
        <w:rPr>
          <w:rFonts w:ascii="Arial" w:cs="Arial" w:eastAsia="Arial" w:hAnsi="Arial"/>
          <w:sz w:val="17"/>
          <w:szCs w:val="17"/>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81" w:lineRule="exact"/>
        <w:rPr>
          <w:rFonts w:ascii="Arial" w:cs="Arial" w:eastAsia="Arial" w:hAnsi="Arial"/>
          <w:sz w:val="17"/>
          <w:szCs w:val="17"/>
          <w:color w:val="auto"/>
        </w:rPr>
      </w:pPr>
    </w:p>
    <w:p>
      <w:pPr>
        <w:ind w:left="1980" w:right="419" w:hanging="360"/>
        <w:spacing w:after="0" w:line="254"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83" w:lineRule="exact"/>
        <w:rPr>
          <w:rFonts w:ascii="Arial" w:cs="Arial" w:eastAsia="Arial" w:hAnsi="Arial"/>
          <w:sz w:val="18"/>
          <w:szCs w:val="18"/>
          <w:color w:val="auto"/>
        </w:rPr>
      </w:pPr>
    </w:p>
    <w:p>
      <w:pPr>
        <w:ind w:left="1980" w:right="479" w:hanging="360"/>
        <w:spacing w:after="0" w:line="269"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3" w:lineRule="exact"/>
        <w:rPr>
          <w:rFonts w:ascii="Arial" w:cs="Arial" w:eastAsia="Arial" w:hAnsi="Arial"/>
          <w:sz w:val="17"/>
          <w:szCs w:val="17"/>
          <w:color w:val="auto"/>
        </w:rPr>
      </w:pPr>
    </w:p>
    <w:p>
      <w:pPr>
        <w:ind w:left="1980" w:right="439" w:hanging="360"/>
        <w:spacing w:after="0" w:line="254"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6"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57" w:lineRule="auto"/>
        <w:rPr>
          <w:sz w:val="20"/>
          <w:szCs w:val="20"/>
          <w:color w:val="auto"/>
        </w:rPr>
      </w:pPr>
      <w:r>
        <w:rPr>
          <w:rFonts w:ascii="Arial" w:cs="Arial" w:eastAsia="Arial" w:hAnsi="Arial"/>
          <w:sz w:val="18"/>
          <w:szCs w:val="18"/>
          <w:color w:val="auto"/>
        </w:rPr>
        <w:t>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0" w:lineRule="exact"/>
        <w:rPr>
          <w:sz w:val="20"/>
          <w:szCs w:val="20"/>
          <w:color w:val="auto"/>
        </w:rPr>
      </w:pPr>
    </w:p>
    <w:p>
      <w:pPr>
        <w:ind w:left="1980" w:right="419" w:hanging="360"/>
        <w:spacing w:after="0" w:line="253"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88" w:lineRule="exact"/>
        <w:rPr>
          <w:rFonts w:ascii="Arial" w:cs="Arial" w:eastAsia="Arial" w:hAnsi="Arial"/>
          <w:sz w:val="18"/>
          <w:szCs w:val="18"/>
          <w:color w:val="auto"/>
        </w:rPr>
      </w:pPr>
    </w:p>
    <w:p>
      <w:pPr>
        <w:ind w:left="1980" w:right="419" w:hanging="360"/>
        <w:spacing w:after="0" w:line="259"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2" w:lineRule="exact"/>
        <w:rPr>
          <w:rFonts w:ascii="Arial" w:cs="Arial" w:eastAsia="Arial" w:hAnsi="Arial"/>
          <w:sz w:val="18"/>
          <w:szCs w:val="18"/>
          <w:color w:val="auto"/>
        </w:rPr>
      </w:pPr>
    </w:p>
    <w:p>
      <w:pPr>
        <w:ind w:left="1980" w:right="659" w:hanging="360"/>
        <w:spacing w:after="0" w:line="25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07"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inconsistent therewith, will (unless otherwise required by law) be prospective only, except to the extent such amendment or change in law permits us to further limit or eliminate the liability of directors on a retroactive basis.</w:t>
      </w:r>
    </w:p>
    <w:p>
      <w:pPr>
        <w:spacing w:after="0" w:line="10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2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to the fullest extent permitted under Delaware law and to advance expenses incurred as a result of any proceeding against them as to which they could be indemnified.</w:t>
      </w:r>
    </w:p>
    <w:p>
      <w:pPr>
        <w:spacing w:after="0" w:line="8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27"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4,200,000 warrants (or up to 4,442,183 warrants depending on the extent to which the underwriters’ over-allotment option is exercised) at a price of approximately $0.93 per warrant ($3,902,000 (or up to $4,127,000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620"/>
        <w:spacing w:after="0"/>
        <w:tabs>
          <w:tab w:leader="none" w:pos="1960" w:val="left"/>
          <w:tab w:leader="none" w:pos="2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7"/>
          <w:szCs w:val="17"/>
          <w:color w:val="auto"/>
        </w:rPr>
        <w:t>The following exhibits are filed as part of this registration statement:</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30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6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89">
              <w:r>
                <w:rPr>
                  <w:rFonts w:ascii="Arial" w:cs="Arial" w:eastAsia="Arial" w:hAnsi="Arial"/>
                  <w:sz w:val="18"/>
                  <w:szCs w:val="18"/>
                  <w:color w:val="0000EE"/>
                  <w:w w:val="96"/>
                </w:rPr>
                <w:t>Form of Underwriting Agreement.</w:t>
              </w:r>
            </w:hyperlink>
          </w:p>
        </w:tc>
        <w:tc>
          <w:tcPr>
            <w:tcW w:w="4700" w:type="dxa"/>
            <w:vAlign w:val="bottom"/>
            <w:gridSpan w:val="9"/>
          </w:tcPr>
          <w:p>
            <w:pPr>
              <w:spacing w:after="0"/>
              <w:rPr>
                <w:sz w:val="18"/>
                <w:szCs w:val="18"/>
                <w:color w:val="auto"/>
              </w:rPr>
            </w:pPr>
          </w:p>
        </w:tc>
      </w:tr>
      <w:tr>
        <w:trPr>
          <w:trHeight w:val="223"/>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7300" w:type="dxa"/>
            <w:vAlign w:val="bottom"/>
            <w:gridSpan w:val="17"/>
          </w:tcPr>
          <w:p>
            <w:pPr>
              <w:spacing w:after="0"/>
              <w:rPr>
                <w:rFonts w:ascii="Arial" w:cs="Arial" w:eastAsia="Arial" w:hAnsi="Arial"/>
                <w:sz w:val="18"/>
                <w:szCs w:val="18"/>
                <w:color w:val="0000EE"/>
              </w:rPr>
            </w:pPr>
            <w:hyperlink r:id="rId297">
              <w:r>
                <w:rPr>
                  <w:rFonts w:ascii="Arial" w:cs="Arial" w:eastAsia="Arial" w:hAnsi="Arial"/>
                  <w:sz w:val="18"/>
                  <w:szCs w:val="18"/>
                  <w:color w:val="0000EE"/>
                </w:rPr>
                <w:t>Form of Business Combination Marketing Agreement by and between the Registrant and</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r:id="rId297">
              <w:r>
                <w:rPr>
                  <w:rFonts w:ascii="Arial" w:cs="Arial" w:eastAsia="Arial" w:hAnsi="Arial"/>
                  <w:sz w:val="18"/>
                  <w:szCs w:val="18"/>
                  <w:color w:val="0000EE"/>
                  <w:w w:val="95"/>
                </w:rPr>
                <w:t>Chardan Capital Markets LLC.</w:t>
              </w:r>
            </w:hyperlink>
          </w:p>
        </w:tc>
        <w:tc>
          <w:tcPr>
            <w:tcW w:w="4360" w:type="dxa"/>
            <w:vAlign w:val="bottom"/>
            <w:tcBorders>
              <w:top w:val="single" w:sz="8" w:color="0000EE"/>
            </w:tcBorders>
            <w:gridSpan w:val="6"/>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180" w:type="dxa"/>
            <w:vAlign w:val="bottom"/>
            <w:tcBorders>
              <w:bottom w:val="single" w:sz="8" w:color="0000EE"/>
            </w:tcBorders>
            <w:gridSpan w:val="5"/>
          </w:tcPr>
          <w:p>
            <w:pPr>
              <w:spacing w:after="0"/>
              <w:rPr>
                <w:rFonts w:ascii="Arial" w:cs="Arial" w:eastAsia="Arial" w:hAnsi="Arial"/>
                <w:sz w:val="18"/>
                <w:szCs w:val="18"/>
                <w:color w:val="0000EE"/>
                <w:w w:val="99"/>
              </w:rPr>
            </w:pPr>
            <w:hyperlink r:id="rId298">
              <w:r>
                <w:rPr>
                  <w:rFonts w:ascii="Arial" w:cs="Arial" w:eastAsia="Arial" w:hAnsi="Arial"/>
                  <w:sz w:val="18"/>
                  <w:szCs w:val="18"/>
                  <w:color w:val="0000EE"/>
                  <w:w w:val="99"/>
                </w:rPr>
                <w:t>Certificate of Incorporation.</w:t>
              </w:r>
            </w:hyperlink>
          </w:p>
        </w:tc>
        <w:tc>
          <w:tcPr>
            <w:tcW w:w="5120" w:type="dxa"/>
            <w:vAlign w:val="bottom"/>
            <w:gridSpan w:val="12"/>
          </w:tcPr>
          <w:p>
            <w:pPr>
              <w:spacing w:after="0"/>
              <w:rPr>
                <w:sz w:val="21"/>
                <w:szCs w:val="21"/>
                <w:color w:val="auto"/>
              </w:rPr>
            </w:pPr>
          </w:p>
        </w:tc>
      </w:tr>
      <w:tr>
        <w:trPr>
          <w:trHeight w:val="237"/>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4620" w:type="dxa"/>
            <w:vAlign w:val="bottom"/>
            <w:tcBorders>
              <w:bottom w:val="single" w:sz="8" w:color="0000EE"/>
            </w:tcBorders>
            <w:gridSpan w:val="12"/>
          </w:tcPr>
          <w:p>
            <w:pPr>
              <w:spacing w:after="0"/>
              <w:rPr>
                <w:rFonts w:ascii="Arial" w:cs="Arial" w:eastAsia="Arial" w:hAnsi="Arial"/>
                <w:sz w:val="18"/>
                <w:szCs w:val="18"/>
                <w:color w:val="0000EE"/>
                <w:w w:val="96"/>
              </w:rPr>
            </w:pPr>
            <w:hyperlink r:id="rId299">
              <w:r>
                <w:rPr>
                  <w:rFonts w:ascii="Arial" w:cs="Arial" w:eastAsia="Arial" w:hAnsi="Arial"/>
                  <w:sz w:val="18"/>
                  <w:szCs w:val="18"/>
                  <w:color w:val="0000EE"/>
                  <w:w w:val="96"/>
                </w:rPr>
                <w:t>Certificate of Amendment to the Certificate of Incorporation.</w:t>
              </w:r>
            </w:hyperlink>
          </w:p>
        </w:tc>
        <w:tc>
          <w:tcPr>
            <w:tcW w:w="2680" w:type="dxa"/>
            <w:vAlign w:val="bottom"/>
            <w:gridSpan w:val="5"/>
          </w:tcPr>
          <w:p>
            <w:pPr>
              <w:spacing w:after="0"/>
              <w:rPr>
                <w:sz w:val="20"/>
                <w:szCs w:val="20"/>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rPr>
            </w:pPr>
            <w:hyperlink r:id="rId300">
              <w:r>
                <w:rPr>
                  <w:rFonts w:ascii="Arial" w:cs="Arial" w:eastAsia="Arial" w:hAnsi="Arial"/>
                  <w:sz w:val="18"/>
                  <w:szCs w:val="18"/>
                  <w:color w:val="0000EE"/>
                </w:rPr>
                <w:t>Form of Amended and Restated Certificate of Incorporation.</w:t>
              </w:r>
            </w:hyperlink>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301">
              <w:r>
                <w:rPr>
                  <w:rFonts w:ascii="Arial" w:cs="Arial" w:eastAsia="Arial" w:hAnsi="Arial"/>
                  <w:sz w:val="18"/>
                  <w:szCs w:val="18"/>
                  <w:color w:val="0000EE"/>
                  <w:w w:val="93"/>
                </w:rPr>
                <w:t>Bylaws.</w:t>
              </w:r>
            </w:hyperlink>
          </w:p>
        </w:tc>
        <w:tc>
          <w:tcPr>
            <w:tcW w:w="3960" w:type="dxa"/>
            <w:vAlign w:val="bottom"/>
            <w:tcBorders>
              <w:top w:val="single" w:sz="8" w:color="0000EE"/>
            </w:tcBorders>
            <w:gridSpan w:val="10"/>
          </w:tcPr>
          <w:p>
            <w:pPr>
              <w:spacing w:after="0"/>
              <w:rPr>
                <w:sz w:val="21"/>
                <w:szCs w:val="21"/>
                <w:color w:val="auto"/>
              </w:rPr>
            </w:pPr>
          </w:p>
        </w:tc>
        <w:tc>
          <w:tcPr>
            <w:tcW w:w="2740" w:type="dxa"/>
            <w:vAlign w:val="bottom"/>
            <w:gridSpan w:val="6"/>
          </w:tcPr>
          <w:p>
            <w:pPr>
              <w:spacing w:after="0"/>
              <w:rPr>
                <w:sz w:val="21"/>
                <w:szCs w:val="21"/>
                <w:color w:val="auto"/>
              </w:rPr>
            </w:pPr>
          </w:p>
        </w:tc>
      </w:tr>
      <w:tr>
        <w:trPr>
          <w:trHeight w:val="25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Specimen Unit Certificate.</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840" w:type="dxa"/>
            <w:vAlign w:val="bottom"/>
            <w:tcBorders>
              <w:bottom w:val="single" w:sz="8" w:color="0000EE"/>
            </w:tcBorders>
            <w:gridSpan w:val="10"/>
          </w:tcPr>
          <w:p>
            <w:pPr>
              <w:spacing w:after="0"/>
              <w:rPr>
                <w:rFonts w:ascii="Arial" w:cs="Arial" w:eastAsia="Arial" w:hAnsi="Arial"/>
                <w:sz w:val="18"/>
                <w:szCs w:val="18"/>
                <w:color w:val="0000EE"/>
                <w:w w:val="94"/>
              </w:rPr>
            </w:pPr>
            <w:hyperlink r:id="rId302">
              <w:r>
                <w:rPr>
                  <w:rFonts w:ascii="Arial" w:cs="Arial" w:eastAsia="Arial" w:hAnsi="Arial"/>
                  <w:sz w:val="18"/>
                  <w:szCs w:val="18"/>
                  <w:color w:val="0000EE"/>
                  <w:w w:val="94"/>
                </w:rPr>
                <w:t>Specimen Common Stock Certificate.</w:t>
              </w:r>
            </w:hyperlink>
          </w:p>
        </w:tc>
        <w:tc>
          <w:tcPr>
            <w:tcW w:w="4460" w:type="dxa"/>
            <w:vAlign w:val="bottom"/>
            <w:gridSpan w:val="7"/>
          </w:tcPr>
          <w:p>
            <w:pPr>
              <w:spacing w:after="0"/>
              <w:rPr>
                <w:sz w:val="21"/>
                <w:szCs w:val="21"/>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4"/>
              </w:rPr>
            </w:pPr>
            <w:hyperlink r:id="rId303">
              <w:r>
                <w:rPr>
                  <w:rFonts w:ascii="Arial" w:cs="Arial" w:eastAsia="Arial" w:hAnsi="Arial"/>
                  <w:sz w:val="18"/>
                  <w:szCs w:val="18"/>
                  <w:color w:val="0000EE"/>
                  <w:w w:val="94"/>
                </w:rPr>
                <w:t>Specimen Warrant Certificate.</w:t>
              </w:r>
            </w:hyperlink>
          </w:p>
        </w:tc>
        <w:tc>
          <w:tcPr>
            <w:tcW w:w="5020" w:type="dxa"/>
            <w:vAlign w:val="bottom"/>
            <w:gridSpan w:val="11"/>
          </w:tcPr>
          <w:p>
            <w:pPr>
              <w:spacing w:after="0"/>
              <w:rPr>
                <w:sz w:val="21"/>
                <w:szCs w:val="21"/>
                <w:color w:val="auto"/>
              </w:rPr>
            </w:pPr>
          </w:p>
        </w:tc>
      </w:tr>
      <w:tr>
        <w:trPr>
          <w:trHeight w:val="237"/>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69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32">
              <w:r>
                <w:rPr>
                  <w:rFonts w:ascii="Arial" w:cs="Arial" w:eastAsia="Arial" w:hAnsi="Arial"/>
                  <w:sz w:val="18"/>
                  <w:szCs w:val="18"/>
                  <w:color w:val="0000EE"/>
                  <w:w w:val="94"/>
                </w:rPr>
                <w:t>Form of Warrant Agreement between Continental Stock Transfer &amp; Trust Company and the</w:t>
              </w:r>
            </w:hyperlink>
          </w:p>
        </w:tc>
        <w:tc>
          <w:tcPr>
            <w:tcW w:w="400" w:type="dxa"/>
            <w:vAlign w:val="bottom"/>
            <w:gridSpan w:val="2"/>
          </w:tcPr>
          <w:p>
            <w:pPr>
              <w:spacing w:after="0"/>
              <w:rPr>
                <w:sz w:val="20"/>
                <w:szCs w:val="20"/>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32">
              <w:r>
                <w:rPr>
                  <w:rFonts w:ascii="Arial" w:cs="Arial" w:eastAsia="Arial" w:hAnsi="Arial"/>
                  <w:sz w:val="18"/>
                  <w:szCs w:val="18"/>
                  <w:color w:val="0000EE"/>
                  <w:w w:val="91"/>
                </w:rPr>
                <w:t>Registrant.</w:t>
              </w:r>
            </w:hyperlink>
          </w:p>
        </w:tc>
        <w:tc>
          <w:tcPr>
            <w:tcW w:w="6480" w:type="dxa"/>
            <w:vAlign w:val="bottom"/>
            <w:gridSpan w:val="15"/>
          </w:tcPr>
          <w:p>
            <w:pPr>
              <w:spacing w:after="0"/>
              <w:rPr>
                <w:sz w:val="17"/>
                <w:szCs w:val="17"/>
                <w:color w:val="auto"/>
              </w:rPr>
            </w:pPr>
          </w:p>
        </w:tc>
      </w:tr>
      <w:tr>
        <w:trPr>
          <w:trHeight w:val="26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7300" w:type="dxa"/>
            <w:vAlign w:val="bottom"/>
            <w:gridSpan w:val="17"/>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Form of Opinion of Reed Smith LLP.</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684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48">
              <w:r>
                <w:rPr>
                  <w:rFonts w:ascii="Arial" w:cs="Arial" w:eastAsia="Arial" w:hAnsi="Arial"/>
                  <w:sz w:val="18"/>
                  <w:szCs w:val="18"/>
                  <w:color w:val="0000EE"/>
                  <w:w w:val="94"/>
                </w:rPr>
                <w:t>Form of Letter Agreement among the Registrant and the Company’s officers, directors and</w:t>
              </w:r>
            </w:hyperlink>
          </w:p>
        </w:tc>
        <w:tc>
          <w:tcPr>
            <w:tcW w:w="460" w:type="dxa"/>
            <w:vAlign w:val="bottom"/>
            <w:gridSpan w:val="3"/>
          </w:tcPr>
          <w:p>
            <w:pPr>
              <w:spacing w:after="0"/>
              <w:rPr>
                <w:sz w:val="20"/>
                <w:szCs w:val="20"/>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48">
              <w:r>
                <w:rPr>
                  <w:rFonts w:ascii="Arial" w:cs="Arial" w:eastAsia="Arial" w:hAnsi="Arial"/>
                  <w:sz w:val="18"/>
                  <w:szCs w:val="18"/>
                  <w:color w:val="0000EE"/>
                  <w:w w:val="93"/>
                </w:rPr>
                <w:t>securityholders.</w:t>
              </w:r>
            </w:hyperlink>
          </w:p>
        </w:tc>
        <w:tc>
          <w:tcPr>
            <w:tcW w:w="6100" w:type="dxa"/>
            <w:vAlign w:val="bottom"/>
            <w:gridSpan w:val="14"/>
          </w:tcPr>
          <w:p>
            <w:pPr>
              <w:spacing w:after="0"/>
              <w:rPr>
                <w:sz w:val="17"/>
                <w:szCs w:val="17"/>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1"/>
                <w:szCs w:val="21"/>
                <w:color w:val="auto"/>
              </w:rPr>
            </w:pPr>
          </w:p>
        </w:tc>
        <w:tc>
          <w:tcPr>
            <w:tcW w:w="7220" w:type="dxa"/>
            <w:vAlign w:val="bottom"/>
            <w:tcBorders>
              <w:bottom w:val="single" w:sz="8" w:color="0000EE"/>
            </w:tcBorders>
            <w:gridSpan w:val="16"/>
          </w:tcPr>
          <w:p>
            <w:pPr>
              <w:spacing w:after="0"/>
              <w:rPr>
                <w:rFonts w:ascii="Arial" w:cs="Arial" w:eastAsia="Arial" w:hAnsi="Arial"/>
                <w:sz w:val="18"/>
                <w:szCs w:val="18"/>
                <w:color w:val="0000EE"/>
                <w:w w:val="94"/>
              </w:rPr>
            </w:pPr>
            <w:hyperlink r:id="rId304">
              <w:r>
                <w:rPr>
                  <w:rFonts w:ascii="Arial" w:cs="Arial" w:eastAsia="Arial" w:hAnsi="Arial"/>
                  <w:sz w:val="18"/>
                  <w:szCs w:val="18"/>
                  <w:color w:val="0000EE"/>
                  <w:w w:val="94"/>
                </w:rPr>
                <w:t>Form of Investment Management Trust Agreement between Continental Stock Transfer &amp; Trust</w:t>
              </w:r>
            </w:hyperlink>
          </w:p>
        </w:tc>
        <w:tc>
          <w:tcPr>
            <w:tcW w:w="80" w:type="dxa"/>
            <w:vAlign w:val="bottom"/>
          </w:tcPr>
          <w:p>
            <w:pPr>
              <w:spacing w:after="0"/>
              <w:rPr>
                <w:sz w:val="21"/>
                <w:szCs w:val="2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17"/>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Company and the Registrant.</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30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66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55">
              <w:r>
                <w:rPr>
                  <w:rFonts w:ascii="Arial" w:cs="Arial" w:eastAsia="Arial" w:hAnsi="Arial"/>
                  <w:sz w:val="18"/>
                  <w:szCs w:val="18"/>
                  <w:color w:val="0000EE"/>
                  <w:w w:val="95"/>
                </w:rPr>
                <w:t>Form of Escrow Agreement between the Registrant, Continental Stock Transfer &amp; Trust</w:t>
              </w:r>
            </w:hyperlink>
          </w:p>
        </w:tc>
        <w:tc>
          <w:tcPr>
            <w:tcW w:w="6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55">
              <w:r>
                <w:rPr>
                  <w:rFonts w:ascii="Arial" w:cs="Arial" w:eastAsia="Arial" w:hAnsi="Arial"/>
                  <w:sz w:val="18"/>
                  <w:szCs w:val="18"/>
                  <w:color w:val="0000EE"/>
                  <w:w w:val="94"/>
                </w:rPr>
                <w:t>Company and the Initial Stockholders.</w:t>
              </w:r>
            </w:hyperlink>
          </w:p>
        </w:tc>
        <w:tc>
          <w:tcPr>
            <w:tcW w:w="4400" w:type="dxa"/>
            <w:vAlign w:val="bottom"/>
            <w:gridSpan w:val="8"/>
          </w:tcPr>
          <w:p>
            <w:pPr>
              <w:spacing w:after="0"/>
              <w:rPr>
                <w:sz w:val="17"/>
                <w:szCs w:val="17"/>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684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264">
              <w:r>
                <w:rPr>
                  <w:rFonts w:ascii="Arial" w:cs="Arial" w:eastAsia="Arial" w:hAnsi="Arial"/>
                  <w:sz w:val="18"/>
                  <w:szCs w:val="18"/>
                  <w:color w:val="0000EE"/>
                  <w:w w:val="95"/>
                </w:rPr>
                <w:t>Form of Registration Rights Agreement among the Registrant and the Initial Stockholders.</w:t>
              </w:r>
            </w:hyperlink>
          </w:p>
        </w:tc>
        <w:tc>
          <w:tcPr>
            <w:tcW w:w="460" w:type="dxa"/>
            <w:vAlign w:val="bottom"/>
          </w:tcPr>
          <w:p>
            <w:pPr>
              <w:spacing w:after="0"/>
              <w:rPr>
                <w:sz w:val="21"/>
                <w:szCs w:val="2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2360" w:type="dxa"/>
            <w:vAlign w:val="bottom"/>
            <w:tcBorders>
              <w:bottom w:val="single" w:sz="8" w:color="0000EE"/>
            </w:tcBorders>
            <w:gridSpan w:val="7"/>
          </w:tcPr>
          <w:p>
            <w:pPr>
              <w:spacing w:after="0"/>
              <w:rPr>
                <w:rFonts w:ascii="Arial" w:cs="Arial" w:eastAsia="Arial" w:hAnsi="Arial"/>
                <w:sz w:val="18"/>
                <w:szCs w:val="18"/>
                <w:color w:val="0000EE"/>
                <w:w w:val="96"/>
              </w:rPr>
            </w:pPr>
            <w:hyperlink r:id="rId306">
              <w:r>
                <w:rPr>
                  <w:rFonts w:ascii="Arial" w:cs="Arial" w:eastAsia="Arial" w:hAnsi="Arial"/>
                  <w:sz w:val="18"/>
                  <w:szCs w:val="18"/>
                  <w:color w:val="0000EE"/>
                  <w:w w:val="96"/>
                </w:rPr>
                <w:t>Form of Indemnity Agreement.</w:t>
              </w:r>
            </w:hyperlink>
          </w:p>
        </w:tc>
        <w:tc>
          <w:tcPr>
            <w:tcW w:w="4940" w:type="dxa"/>
            <w:vAlign w:val="bottom"/>
            <w:gridSpan w:val="12"/>
          </w:tcPr>
          <w:p>
            <w:pPr>
              <w:spacing w:after="0"/>
              <w:rPr>
                <w:sz w:val="20"/>
                <w:szCs w:val="20"/>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6760" w:type="dxa"/>
            <w:vAlign w:val="bottom"/>
            <w:tcBorders>
              <w:bottom w:val="single" w:sz="8" w:color="0000EE"/>
            </w:tcBorders>
            <w:gridSpan w:val="17"/>
          </w:tcPr>
          <w:p>
            <w:pPr>
              <w:spacing w:after="0"/>
              <w:rPr>
                <w:rFonts w:ascii="Arial" w:cs="Arial" w:eastAsia="Arial" w:hAnsi="Arial"/>
                <w:sz w:val="18"/>
                <w:szCs w:val="18"/>
                <w:color w:val="0000EE"/>
                <w:w w:val="93"/>
              </w:rPr>
            </w:pPr>
            <w:hyperlink r:id="rId307">
              <w:r>
                <w:rPr>
                  <w:rFonts w:ascii="Arial" w:cs="Arial" w:eastAsia="Arial" w:hAnsi="Arial"/>
                  <w:sz w:val="18"/>
                  <w:szCs w:val="18"/>
                  <w:color w:val="0000EE"/>
                  <w:w w:val="93"/>
                </w:rPr>
                <w:t>Subscription Agreement dated July 23, 2020, by and between the Registrant and Sponsor.</w:t>
              </w:r>
            </w:hyperlink>
          </w:p>
        </w:tc>
        <w:tc>
          <w:tcPr>
            <w:tcW w:w="540" w:type="dxa"/>
            <w:vAlign w:val="bottom"/>
            <w:gridSpan w:val="2"/>
          </w:tcPr>
          <w:p>
            <w:pPr>
              <w:spacing w:after="0"/>
              <w:rPr>
                <w:sz w:val="20"/>
                <w:szCs w:val="20"/>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4300" w:type="dxa"/>
            <w:vAlign w:val="bottom"/>
            <w:tcBorders>
              <w:bottom w:val="single" w:sz="8" w:color="0000EE"/>
            </w:tcBorders>
            <w:gridSpan w:val="13"/>
          </w:tcPr>
          <w:p>
            <w:pPr>
              <w:spacing w:after="0"/>
              <w:rPr>
                <w:rFonts w:ascii="Arial" w:cs="Arial" w:eastAsia="Arial" w:hAnsi="Arial"/>
                <w:sz w:val="18"/>
                <w:szCs w:val="18"/>
                <w:color w:val="0000EE"/>
                <w:w w:val="93"/>
              </w:rPr>
            </w:pPr>
            <w:hyperlink r:id="rId308">
              <w:r>
                <w:rPr>
                  <w:rFonts w:ascii="Arial" w:cs="Arial" w:eastAsia="Arial" w:hAnsi="Arial"/>
                  <w:sz w:val="18"/>
                  <w:szCs w:val="18"/>
                  <w:color w:val="0000EE"/>
                  <w:w w:val="93"/>
                </w:rPr>
                <w:t>Promissory Note, dated July 23, 2020, issued to Sponsor.</w:t>
              </w:r>
            </w:hyperlink>
          </w:p>
        </w:tc>
        <w:tc>
          <w:tcPr>
            <w:tcW w:w="3000" w:type="dxa"/>
            <w:vAlign w:val="bottom"/>
            <w:gridSpan w:val="6"/>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2740" w:type="dxa"/>
            <w:vAlign w:val="bottom"/>
            <w:tcBorders>
              <w:bottom w:val="single" w:sz="8" w:color="0000EE"/>
            </w:tcBorders>
            <w:gridSpan w:val="10"/>
          </w:tcPr>
          <w:p>
            <w:pPr>
              <w:spacing w:after="0"/>
              <w:rPr>
                <w:rFonts w:ascii="Arial" w:cs="Arial" w:eastAsia="Arial" w:hAnsi="Arial"/>
                <w:sz w:val="18"/>
                <w:szCs w:val="18"/>
                <w:color w:val="0000EE"/>
                <w:w w:val="95"/>
              </w:rPr>
            </w:pPr>
            <w:hyperlink r:id="rId309">
              <w:r>
                <w:rPr>
                  <w:rFonts w:ascii="Arial" w:cs="Arial" w:eastAsia="Arial" w:hAnsi="Arial"/>
                  <w:sz w:val="18"/>
                  <w:szCs w:val="18"/>
                  <w:color w:val="0000EE"/>
                  <w:w w:val="95"/>
                </w:rPr>
                <w:t>Administrative Services Agreement.</w:t>
              </w:r>
            </w:hyperlink>
          </w:p>
        </w:tc>
        <w:tc>
          <w:tcPr>
            <w:tcW w:w="4560" w:type="dxa"/>
            <w:vAlign w:val="bottom"/>
            <w:gridSpan w:val="9"/>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4320" w:type="dxa"/>
            <w:vAlign w:val="bottom"/>
            <w:tcBorders>
              <w:bottom w:val="single" w:sz="8" w:color="0000EE"/>
            </w:tcBorders>
            <w:gridSpan w:val="14"/>
          </w:tcPr>
          <w:p>
            <w:pPr>
              <w:spacing w:after="0"/>
              <w:rPr>
                <w:rFonts w:ascii="Arial" w:cs="Arial" w:eastAsia="Arial" w:hAnsi="Arial"/>
                <w:sz w:val="18"/>
                <w:szCs w:val="18"/>
                <w:color w:val="0000EE"/>
                <w:w w:val="93"/>
              </w:rPr>
            </w:pPr>
            <w:hyperlink r:id="rId310">
              <w:r>
                <w:rPr>
                  <w:rFonts w:ascii="Arial" w:cs="Arial" w:eastAsia="Arial" w:hAnsi="Arial"/>
                  <w:sz w:val="18"/>
                  <w:szCs w:val="18"/>
                  <w:color w:val="0000EE"/>
                  <w:w w:val="93"/>
                </w:rPr>
                <w:t>Form of Private Placement Warrant Purchase Agreement.</w:t>
              </w:r>
            </w:hyperlink>
          </w:p>
        </w:tc>
        <w:tc>
          <w:tcPr>
            <w:tcW w:w="2980" w:type="dxa"/>
            <w:vAlign w:val="bottom"/>
            <w:gridSpan w:val="5"/>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840" w:type="dxa"/>
            <w:vAlign w:val="bottom"/>
            <w:tcBorders>
              <w:bottom w:val="single" w:sz="8" w:color="0000EE"/>
            </w:tcBorders>
            <w:gridSpan w:val="2"/>
          </w:tcPr>
          <w:p>
            <w:pPr>
              <w:spacing w:after="0"/>
              <w:rPr>
                <w:rFonts w:ascii="Arial" w:cs="Arial" w:eastAsia="Arial" w:hAnsi="Arial"/>
                <w:sz w:val="18"/>
                <w:szCs w:val="18"/>
                <w:color w:val="0000EE"/>
                <w:w w:val="96"/>
              </w:rPr>
            </w:pPr>
            <w:hyperlink r:id="rId311">
              <w:r>
                <w:rPr>
                  <w:rFonts w:ascii="Arial" w:cs="Arial" w:eastAsia="Arial" w:hAnsi="Arial"/>
                  <w:sz w:val="18"/>
                  <w:szCs w:val="18"/>
                  <w:color w:val="0000EE"/>
                  <w:w w:val="96"/>
                </w:rPr>
                <w:t>Form of Code of Ethics.</w:t>
              </w:r>
            </w:hyperlink>
          </w:p>
        </w:tc>
        <w:tc>
          <w:tcPr>
            <w:tcW w:w="5460" w:type="dxa"/>
            <w:vAlign w:val="bottom"/>
            <w:gridSpan w:val="17"/>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29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78">
              <w:r>
                <w:rPr>
                  <w:rFonts w:ascii="Arial" w:cs="Arial" w:eastAsia="Arial" w:hAnsi="Arial"/>
                  <w:sz w:val="18"/>
                  <w:szCs w:val="18"/>
                  <w:color w:val="0000EE"/>
                  <w:w w:val="95"/>
                </w:rPr>
                <w:t>Consent of WithumSmith+Brown, PC.</w:t>
              </w:r>
            </w:hyperlink>
          </w:p>
        </w:tc>
        <w:tc>
          <w:tcPr>
            <w:tcW w:w="4400" w:type="dxa"/>
            <w:vAlign w:val="bottom"/>
            <w:gridSpan w:val="8"/>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408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45">
              <w:r>
                <w:rPr>
                  <w:rFonts w:ascii="Arial" w:cs="Arial" w:eastAsia="Arial" w:hAnsi="Arial"/>
                  <w:sz w:val="18"/>
                  <w:szCs w:val="18"/>
                  <w:color w:val="0000EE"/>
                  <w:w w:val="96"/>
                </w:rPr>
                <w:t>Consent of Reed Smith LLP (included in Exhibit 5.1).</w:t>
              </w:r>
            </w:hyperlink>
          </w:p>
        </w:tc>
        <w:tc>
          <w:tcPr>
            <w:tcW w:w="3220" w:type="dxa"/>
            <w:vAlign w:val="bottom"/>
            <w:gridSpan w:val="7"/>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6040" w:type="dxa"/>
            <w:vAlign w:val="bottom"/>
            <w:tcBorders>
              <w:bottom w:val="single" w:sz="8" w:color="0000EE"/>
            </w:tcBorders>
            <w:gridSpan w:val="15"/>
          </w:tcPr>
          <w:p>
            <w:pPr>
              <w:spacing w:after="0"/>
              <w:rPr>
                <w:rFonts w:ascii="Arial" w:cs="Arial" w:eastAsia="Arial" w:hAnsi="Arial"/>
                <w:sz w:val="18"/>
                <w:szCs w:val="18"/>
                <w:color w:val="0000EE"/>
                <w:w w:val="96"/>
              </w:rPr>
            </w:pPr>
            <w:hyperlink r:id="rId312">
              <w:r>
                <w:rPr>
                  <w:rFonts w:ascii="Arial" w:cs="Arial" w:eastAsia="Arial" w:hAnsi="Arial"/>
                  <w:sz w:val="18"/>
                  <w:szCs w:val="18"/>
                  <w:color w:val="0000EE"/>
                  <w:w w:val="96"/>
                </w:rPr>
                <w:t>Power of Attorney (included on the signature page of the original filing hereof).</w:t>
              </w:r>
            </w:hyperlink>
          </w:p>
        </w:tc>
        <w:tc>
          <w:tcPr>
            <w:tcW w:w="1260" w:type="dxa"/>
            <w:vAlign w:val="bottom"/>
            <w:gridSpan w:val="4"/>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1"/>
                <w:szCs w:val="21"/>
                <w:color w:val="auto"/>
              </w:rPr>
            </w:pPr>
          </w:p>
        </w:tc>
        <w:tc>
          <w:tcPr>
            <w:tcW w:w="1960" w:type="dxa"/>
            <w:vAlign w:val="bottom"/>
            <w:tcBorders>
              <w:bottom w:val="single" w:sz="8" w:color="0000EE"/>
            </w:tcBorders>
            <w:gridSpan w:val="3"/>
          </w:tcPr>
          <w:p>
            <w:pPr>
              <w:spacing w:after="0"/>
              <w:rPr>
                <w:rFonts w:ascii="Arial" w:cs="Arial" w:eastAsia="Arial" w:hAnsi="Arial"/>
                <w:sz w:val="18"/>
                <w:szCs w:val="18"/>
                <w:color w:val="0000EE"/>
                <w:w w:val="95"/>
              </w:rPr>
            </w:pPr>
            <w:hyperlink r:id="rId313">
              <w:r>
                <w:rPr>
                  <w:rFonts w:ascii="Arial" w:cs="Arial" w:eastAsia="Arial" w:hAnsi="Arial"/>
                  <w:sz w:val="18"/>
                  <w:szCs w:val="18"/>
                  <w:color w:val="0000EE"/>
                  <w:w w:val="95"/>
                </w:rPr>
                <w:t>Audit Committee Charter.</w:t>
              </w:r>
            </w:hyperlink>
          </w:p>
        </w:tc>
        <w:tc>
          <w:tcPr>
            <w:tcW w:w="5340" w:type="dxa"/>
            <w:vAlign w:val="bottom"/>
            <w:gridSpan w:val="16"/>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r:id="rId314">
              <w:r>
                <w:rPr>
                  <w:rFonts w:ascii="Arial" w:cs="Arial" w:eastAsia="Arial" w:hAnsi="Arial"/>
                  <w:sz w:val="18"/>
                  <w:szCs w:val="18"/>
                  <w:color w:val="0000EE"/>
                </w:rPr>
                <w:t>Compensation Committee Charter.</w:t>
              </w:r>
            </w:hyperlink>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1"/>
                <w:szCs w:val="21"/>
                <w:color w:val="auto"/>
              </w:rPr>
            </w:pPr>
          </w:p>
        </w:tc>
        <w:tc>
          <w:tcPr>
            <w:tcW w:w="2600" w:type="dxa"/>
            <w:vAlign w:val="bottom"/>
            <w:tcBorders>
              <w:top w:val="single" w:sz="8" w:color="0000EE"/>
            </w:tcBorders>
            <w:gridSpan w:val="9"/>
          </w:tcPr>
          <w:p>
            <w:pPr>
              <w:spacing w:after="0"/>
              <w:rPr>
                <w:rFonts w:ascii="Arial" w:cs="Arial" w:eastAsia="Arial" w:hAnsi="Arial"/>
                <w:sz w:val="18"/>
                <w:szCs w:val="18"/>
                <w:color w:val="0000EE"/>
              </w:rPr>
            </w:pPr>
            <w:hyperlink r:id="rId315">
              <w:r>
                <w:rPr>
                  <w:rFonts w:ascii="Arial" w:cs="Arial" w:eastAsia="Arial" w:hAnsi="Arial"/>
                  <w:sz w:val="18"/>
                  <w:szCs w:val="18"/>
                  <w:color w:val="0000EE"/>
                </w:rPr>
                <w:t>Consent of Jonathan Biele.</w:t>
              </w:r>
            </w:hyperlink>
          </w:p>
        </w:tc>
        <w:tc>
          <w:tcPr>
            <w:tcW w:w="4700" w:type="dxa"/>
            <w:vAlign w:val="bottom"/>
            <w:gridSpan w:val="10"/>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1"/>
                <w:szCs w:val="21"/>
                <w:color w:val="auto"/>
              </w:rPr>
            </w:pPr>
          </w:p>
        </w:tc>
        <w:tc>
          <w:tcPr>
            <w:tcW w:w="182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r:id="rId316">
              <w:r>
                <w:rPr>
                  <w:rFonts w:ascii="Arial" w:cs="Arial" w:eastAsia="Arial" w:hAnsi="Arial"/>
                  <w:sz w:val="18"/>
                  <w:szCs w:val="18"/>
                  <w:color w:val="0000EE"/>
                  <w:w w:val="94"/>
                </w:rPr>
                <w:t>Consent of Perry Boyle.</w:t>
              </w:r>
            </w:hyperlink>
          </w:p>
        </w:tc>
        <w:tc>
          <w:tcPr>
            <w:tcW w:w="200" w:type="dxa"/>
            <w:vAlign w:val="bottom"/>
            <w:tcBorders>
              <w:top w:val="single" w:sz="8" w:color="0000EE"/>
            </w:tcBorders>
            <w:gridSpan w:val="3"/>
          </w:tcPr>
          <w:p>
            <w:pPr>
              <w:spacing w:after="0"/>
              <w:rPr>
                <w:sz w:val="21"/>
                <w:szCs w:val="21"/>
                <w:color w:val="auto"/>
              </w:rPr>
            </w:pPr>
          </w:p>
        </w:tc>
        <w:tc>
          <w:tcPr>
            <w:tcW w:w="5280" w:type="dxa"/>
            <w:vAlign w:val="bottom"/>
            <w:gridSpan w:val="15"/>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1"/>
                <w:szCs w:val="21"/>
                <w:color w:val="auto"/>
              </w:rPr>
            </w:pPr>
          </w:p>
        </w:tc>
        <w:tc>
          <w:tcPr>
            <w:tcW w:w="2440" w:type="dxa"/>
            <w:vAlign w:val="bottom"/>
            <w:tcBorders>
              <w:bottom w:val="single" w:sz="8" w:color="0000EE"/>
            </w:tcBorders>
            <w:gridSpan w:val="8"/>
          </w:tcPr>
          <w:p>
            <w:pPr>
              <w:spacing w:after="0"/>
              <w:rPr>
                <w:rFonts w:ascii="Arial" w:cs="Arial" w:eastAsia="Arial" w:hAnsi="Arial"/>
                <w:sz w:val="18"/>
                <w:szCs w:val="18"/>
                <w:color w:val="0000EE"/>
                <w:w w:val="94"/>
              </w:rPr>
            </w:pPr>
            <w:hyperlink r:id="rId317">
              <w:r>
                <w:rPr>
                  <w:rFonts w:ascii="Arial" w:cs="Arial" w:eastAsia="Arial" w:hAnsi="Arial"/>
                  <w:sz w:val="18"/>
                  <w:szCs w:val="18"/>
                  <w:color w:val="0000EE"/>
                  <w:w w:val="94"/>
                </w:rPr>
                <w:t>Consent of Roderick Hardamon.</w:t>
              </w:r>
            </w:hyperlink>
          </w:p>
        </w:tc>
        <w:tc>
          <w:tcPr>
            <w:tcW w:w="4860" w:type="dxa"/>
            <w:vAlign w:val="bottom"/>
            <w:gridSpan w:val="11"/>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1"/>
                <w:szCs w:val="21"/>
                <w:color w:val="auto"/>
              </w:rPr>
            </w:pPr>
          </w:p>
        </w:tc>
        <w:tc>
          <w:tcPr>
            <w:tcW w:w="2160" w:type="dxa"/>
            <w:vAlign w:val="bottom"/>
            <w:tcBorders>
              <w:bottom w:val="single" w:sz="8" w:color="0000EE"/>
            </w:tcBorders>
            <w:gridSpan w:val="6"/>
          </w:tcPr>
          <w:p>
            <w:pPr>
              <w:spacing w:after="0"/>
              <w:rPr>
                <w:rFonts w:ascii="Arial" w:cs="Arial" w:eastAsia="Arial" w:hAnsi="Arial"/>
                <w:sz w:val="18"/>
                <w:szCs w:val="18"/>
                <w:color w:val="0000EE"/>
                <w:w w:val="92"/>
              </w:rPr>
            </w:pPr>
            <w:hyperlink r:id="rId318">
              <w:r>
                <w:rPr>
                  <w:rFonts w:ascii="Arial" w:cs="Arial" w:eastAsia="Arial" w:hAnsi="Arial"/>
                  <w:sz w:val="18"/>
                  <w:szCs w:val="18"/>
                  <w:color w:val="0000EE"/>
                  <w:w w:val="92"/>
                </w:rPr>
                <w:t>Consent of Jory Des Jardins.</w:t>
              </w:r>
            </w:hyperlink>
          </w:p>
        </w:tc>
        <w:tc>
          <w:tcPr>
            <w:tcW w:w="5140" w:type="dxa"/>
            <w:vAlign w:val="bottom"/>
            <w:gridSpan w:val="13"/>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r:id="rId319">
              <w:r>
                <w:rPr>
                  <w:rFonts w:ascii="Arial" w:cs="Arial" w:eastAsia="Arial" w:hAnsi="Arial"/>
                  <w:sz w:val="18"/>
                  <w:szCs w:val="18"/>
                  <w:color w:val="0000EE"/>
                </w:rPr>
                <w:t>Consent of Todd Thomson.</w:t>
              </w:r>
            </w:hyperlink>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2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r:id="rId320">
              <w:r>
                <w:rPr>
                  <w:rFonts w:ascii="Arial" w:cs="Arial" w:eastAsia="Arial" w:hAnsi="Arial"/>
                  <w:sz w:val="18"/>
                  <w:szCs w:val="18"/>
                  <w:color w:val="0000EE"/>
                  <w:w w:val="93"/>
                </w:rPr>
                <w:t>Consent of Hitesh Thakrar.</w:t>
              </w:r>
            </w:hyperlink>
          </w:p>
        </w:tc>
        <w:tc>
          <w:tcPr>
            <w:tcW w:w="5260" w:type="dxa"/>
            <w:vAlign w:val="bottom"/>
            <w:gridSpan w:val="1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260" w:right="7019"/>
        <w:spacing w:after="0" w:line="390" w:lineRule="auto"/>
        <w:tabs>
          <w:tab w:leader="none" w:pos="1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2" w:lineRule="exact"/>
        <w:rPr>
          <w:rFonts w:ascii="Arial" w:cs="Arial" w:eastAsia="Arial" w:hAnsi="Arial"/>
          <w:sz w:val="17"/>
          <w:szCs w:val="17"/>
          <w:color w:val="auto"/>
        </w:rPr>
      </w:pPr>
    </w:p>
    <w:p>
      <w:pPr>
        <w:ind w:left="1260" w:right="1039" w:firstLine="360"/>
        <w:spacing w:after="0" w:line="277" w:lineRule="auto"/>
        <w:tabs>
          <w:tab w:leader="none" w:pos="198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980" w:right="439" w:hanging="360"/>
        <w:spacing w:after="0" w:line="26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980" w:right="459" w:hanging="360"/>
        <w:spacing w:after="0" w:line="252"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1" w:lineRule="exact"/>
        <w:rPr>
          <w:rFonts w:ascii="Arial" w:cs="Arial" w:eastAsia="Arial" w:hAnsi="Arial"/>
          <w:sz w:val="18"/>
          <w:szCs w:val="18"/>
          <w:color w:val="auto"/>
        </w:rPr>
      </w:pPr>
    </w:p>
    <w:p>
      <w:pPr>
        <w:ind w:left="1980" w:hanging="360"/>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2340" w:right="679" w:hanging="360"/>
        <w:spacing w:after="0" w:line="286" w:lineRule="auto"/>
        <w:tabs>
          <w:tab w:leader="none" w:pos="23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759"/>
        <w:spacing w:after="0" w:line="277" w:lineRule="auto"/>
        <w:rPr>
          <w:sz w:val="20"/>
          <w:szCs w:val="20"/>
          <w:color w:val="auto"/>
        </w:rPr>
      </w:pPr>
      <w:r>
        <w:rPr>
          <w:rFonts w:ascii="Arial" w:cs="Arial" w:eastAsia="Arial" w:hAnsi="Arial"/>
          <w:sz w:val="18"/>
          <w:szCs w:val="18"/>
          <w:color w:val="auto"/>
        </w:rPr>
        <w:t>Rule 424(b)(1) or (4) or 497(h) under the Securities Act shall be deemed to be part of this registration statement as of the time it was declared effective.</w:t>
      </w:r>
    </w:p>
    <w:p>
      <w:pPr>
        <w:spacing w:after="0" w:line="62" w:lineRule="exact"/>
        <w:rPr>
          <w:sz w:val="20"/>
          <w:szCs w:val="20"/>
          <w:color w:val="auto"/>
        </w:rPr>
      </w:pPr>
    </w:p>
    <w:p>
      <w:pPr>
        <w:ind w:left="2340" w:right="619" w:hanging="360"/>
        <w:spacing w:after="0" w:line="259" w:lineRule="auto"/>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2340" w:right="559" w:hanging="360"/>
        <w:spacing w:after="0" w:line="269" w:lineRule="auto"/>
        <w:tabs>
          <w:tab w:leader="none" w:pos="2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2340" w:right="419" w:hanging="360"/>
        <w:spacing w:after="0" w:line="254" w:lineRule="auto"/>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3060" w:right="61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3060" w:right="55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62" w:lineRule="exact"/>
        <w:rPr>
          <w:rFonts w:ascii="Arial" w:cs="Arial" w:eastAsia="Arial" w:hAnsi="Arial"/>
          <w:sz w:val="18"/>
          <w:szCs w:val="18"/>
          <w:color w:val="auto"/>
        </w:rPr>
      </w:pPr>
    </w:p>
    <w:p>
      <w:pPr>
        <w:ind w:left="3060" w:right="439" w:hanging="360"/>
        <w:spacing w:after="0" w:line="263"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3060" w:right="63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August, 2021.</w:t>
      </w:r>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56" w:lineRule="exact"/>
        <w:rPr>
          <w:sz w:val="20"/>
          <w:szCs w:val="20"/>
          <w:color w:val="auto"/>
        </w:rPr>
      </w:pPr>
    </w:p>
    <w:tbl>
      <w:tblPr>
        <w:tblLayout w:type="fixed"/>
        <w:tblInd w:w="502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i w:val="1"/>
                <w:iCs w:val="1"/>
                <w:color w:val="auto"/>
              </w:rPr>
              <w:t>/s/ Jonas Grossman</w:t>
            </w:r>
          </w:p>
        </w:tc>
        <w:tc>
          <w:tcPr>
            <w:tcW w:w="0" w:type="dxa"/>
            <w:vAlign w:val="bottom"/>
          </w:tcPr>
          <w:p>
            <w:pPr>
              <w:spacing w:after="0"/>
              <w:rPr>
                <w:sz w:val="1"/>
                <w:szCs w:val="1"/>
                <w:color w:val="auto"/>
              </w:rPr>
            </w:pPr>
          </w:p>
        </w:tc>
      </w:tr>
      <w:tr>
        <w:trPr>
          <w:trHeight w:val="68"/>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80" w:type="dxa"/>
            <w:vAlign w:val="bottom"/>
            <w:vMerge w:val="continue"/>
          </w:tcPr>
          <w:p>
            <w:pPr>
              <w:spacing w:after="0"/>
              <w:rPr>
                <w:sz w:val="11"/>
                <w:szCs w:val="11"/>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Jonas Grossman</w:t>
            </w:r>
          </w:p>
        </w:tc>
        <w:tc>
          <w:tcPr>
            <w:tcW w:w="0" w:type="dxa"/>
            <w:vAlign w:val="bottom"/>
          </w:tcPr>
          <w:p>
            <w:pPr>
              <w:spacing w:after="0"/>
              <w:rPr>
                <w:sz w:val="1"/>
                <w:szCs w:val="1"/>
                <w:color w:val="auto"/>
              </w:rPr>
            </w:pPr>
          </w:p>
        </w:tc>
      </w:tr>
      <w:tr>
        <w:trPr>
          <w:trHeight w:val="94"/>
        </w:trPr>
        <w:tc>
          <w:tcPr>
            <w:tcW w:w="7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80" w:type="dxa"/>
            <w:vAlign w:val="bottom"/>
            <w:vMerge w:val="continue"/>
          </w:tcPr>
          <w:p>
            <w:pPr>
              <w:spacing w:after="0"/>
              <w:rPr>
                <w:sz w:val="11"/>
                <w:szCs w:val="11"/>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08" w:lineRule="exact"/>
        <w:rPr>
          <w:sz w:val="20"/>
          <w:szCs w:val="20"/>
          <w:color w:val="auto"/>
        </w:rPr>
      </w:pPr>
    </w:p>
    <w:p>
      <w:pPr>
        <w:ind w:left="2380"/>
        <w:spacing w:after="0"/>
        <w:tabs>
          <w:tab w:leader="none" w:pos="5540" w:val="left"/>
          <w:tab w:leader="none" w:pos="85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3492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63500</wp:posOffset>
            </wp:positionV>
            <wp:extent cx="16459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Jonas Grossman</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Alex Weil</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Chief Executive Officer, President,</w:t>
      </w:r>
      <w:r>
        <w:rPr>
          <w:sz w:val="20"/>
          <w:szCs w:val="20"/>
          <w:color w:val="auto"/>
        </w:rPr>
        <w:tab/>
      </w:r>
      <w:r>
        <w:rPr>
          <w:rFonts w:ascii="Arial" w:cs="Arial" w:eastAsia="Arial" w:hAnsi="Arial"/>
          <w:sz w:val="16"/>
          <w:szCs w:val="16"/>
          <w:color w:val="auto"/>
        </w:rPr>
        <w:t>August 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August 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80" w:lineRule="exact"/>
        <w:rPr>
          <w:sz w:val="20"/>
          <w:szCs w:val="20"/>
          <w:color w:val="auto"/>
        </w:rPr>
      </w:pPr>
    </w:p>
    <w:p>
      <w:pPr>
        <w:sectPr>
          <w:pgSz w:w="11900" w:h="16838" w:orient="portrait"/>
          <w:cols w:equalWidth="0" w:num="2">
            <w:col w:w="3340" w:space="720"/>
            <w:col w:w="581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left="980"/>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three-quarters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w:t>
      </w:r>
    </w:p>
    <w:p>
      <w:pPr>
        <w:spacing w:after="0" w:line="6" w:lineRule="exact"/>
        <w:rPr>
          <w:sz w:val="20"/>
          <w:szCs w:val="20"/>
          <w:color w:val="auto"/>
        </w:rPr>
      </w:pPr>
    </w:p>
    <w:p>
      <w:pPr>
        <w:jc w:val="both"/>
        <w:ind w:left="980"/>
        <w:spacing w:after="0" w:line="244" w:lineRule="auto"/>
        <w:rPr>
          <w:sz w:val="20"/>
          <w:szCs w:val="20"/>
          <w:color w:val="auto"/>
        </w:rPr>
      </w:pPr>
      <w:r>
        <w:rPr>
          <w:rFonts w:ascii="Arial" w:cs="Arial" w:eastAsia="Arial" w:hAnsi="Arial"/>
          <w:sz w:val="17"/>
          <w:szCs w:val="17"/>
          <w:color w:val="auto"/>
        </w:rPr>
        <w:t>The shares of Common Stock and the Warrants included in the Firm Units will not be separately 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9" w:name="page190"/>
    <w:bookmarkEnd w:id="189"/>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at the Representative’s election by wire transfer in Federal (same day) funds or by certified or bank cashier’s check(s) in New York Clearing House funds. $101,500,000 ($116,725,000 if the Over-allotment Option (as defined in Section 1.2) is exercised in full), or $10.15 per Unit, of the proceeds received by the Company for the Firm Units and from the Private Placement (as defined in Section 1.4)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$10.15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53"/>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bl>
    <w:p>
      <w:pPr>
        <w:jc w:val="both"/>
        <w:spacing w:after="0" w:line="266" w:lineRule="auto"/>
        <w:rPr>
          <w:sz w:val="20"/>
          <w:szCs w:val="20"/>
          <w:color w:val="auto"/>
        </w:rPr>
      </w:pPr>
      <w:r>
        <w:rPr>
          <w:rFonts w:ascii="Arial" w:cs="Arial" w:eastAsia="Arial" w:hAnsi="Arial"/>
          <w:sz w:val="17"/>
          <w:szCs w:val="17"/>
          <w:color w:val="auto"/>
        </w:rPr>
        <w:t>Company, pursuant to the Subscription Agreement (as defined in Section 2.24.2 hereof) an aggregate of 4,200,000 warrants (or up to 4,442,183 warrants depending on the extent to which the underwriters’ over-allotment option is exercised)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approximately $0.93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Section 2.22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2" w:name="page193"/>
    <w:bookmarkEnd w:id="192"/>
    <w:p>
      <w:pPr>
        <w:ind w:left="960" w:hanging="952"/>
        <w:spacing w:after="0"/>
        <w:tabs>
          <w:tab w:leader="none" w:pos="9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Stockholders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Holdings has executed and delivered an agreement, the form of which is attached as an exhibit to the Registration Statement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Holdings, among other things, will purchase an aggregate of 4,200,000 (or up to 4,442,183 depending on the extent to which the underwriters’ over-allotment option is exercised)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7.2 Trust Account Waiver Acknowledgments.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$101,500,000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$101,500,000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 A and B,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12 months (or up to 18 months, as applicable)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4" w:lineRule="exact"/>
        <w:rPr>
          <w:sz w:val="20"/>
          <w:szCs w:val="20"/>
          <w:color w:val="auto"/>
        </w:rPr>
      </w:pPr>
    </w:p>
    <w:p>
      <w:pPr>
        <w:jc w:val="both"/>
        <w:ind w:firstLine="8"/>
        <w:spacing w:after="0" w:line="292" w:lineRule="auto"/>
        <w:tabs>
          <w:tab w:leader="none" w:pos="130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2"/>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jgrossman@cnaq.com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w:t>
      </w:r>
      <w:r>
        <w:rPr>
          <w:rFonts w:ascii="Arial" w:cs="Arial" w:eastAsia="Arial" w:hAnsi="Arial"/>
          <w:sz w:val="18"/>
          <w:szCs w:val="18"/>
          <w:u w:val="single" w:color="auto"/>
          <w:color w:val="auto"/>
        </w:rPr>
        <w:t>101,500,000</w:t>
      </w:r>
      <w:r>
        <w:rPr>
          <w:rFonts w:ascii="Arial" w:cs="Arial" w:eastAsia="Arial" w:hAnsi="Arial"/>
          <w:sz w:val="18"/>
          <w:szCs w:val="18"/>
          <w:color w:val="auto"/>
        </w:rPr>
        <w:t xml:space="preserve">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$101,500,000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364" w:right="339" w:bottom="1141"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 UNITS</w:t>
      </w:r>
    </w:p>
    <w:p>
      <w:pPr>
        <w:spacing w:after="0" w:line="211" w:lineRule="exact"/>
        <w:rPr>
          <w:sz w:val="20"/>
          <w:szCs w:val="20"/>
          <w:color w:val="auto"/>
        </w:rPr>
      </w:pPr>
    </w:p>
    <w:p>
      <w:pPr>
        <w:sectPr>
          <w:pgSz w:w="11900" w:h="16838" w:orient="portrait"/>
          <w:cols w:equalWidth="0" w:num="2">
            <w:col w:w="8780" w:space="720"/>
            <w:col w:w="1740"/>
          </w:cols>
          <w:pgMar w:left="320" w:top="364" w:right="339" w:bottom="1141"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U-__________</w:t>
      </w:r>
    </w:p>
    <w:p>
      <w:pPr>
        <w:sectPr>
          <w:pgSz w:w="11900" w:h="16838" w:orient="portrait"/>
          <w:cols w:equalWidth="0" w:num="1">
            <w:col w:w="11240"/>
          </w:cols>
          <w:pgMar w:left="320" w:top="364" w:right="339" w:bottom="1141" w:gutter="0" w:footer="0" w:header="0"/>
          <w:type w:val="continuous"/>
        </w:sectPr>
      </w:pPr>
    </w:p>
    <w:p>
      <w:pPr>
        <w:spacing w:after="0" w:line="24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SEE REVERSE FOR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CERTAIN DEFINITIONS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CHARDAN NEXTECH ACQUISITION 2 CORP.</w:t>
      </w:r>
    </w:p>
    <w:p>
      <w:pPr>
        <w:spacing w:after="0" w:line="422" w:lineRule="exact"/>
        <w:rPr>
          <w:sz w:val="20"/>
          <w:szCs w:val="20"/>
          <w:color w:val="auto"/>
        </w:rPr>
      </w:pPr>
    </w:p>
    <w:p>
      <w:pPr>
        <w:sectPr>
          <w:pgSz w:w="11900" w:h="16838" w:orient="portrait"/>
          <w:cols w:equalWidth="0" w:num="2">
            <w:col w:w="2980" w:space="720"/>
            <w:col w:w="7540"/>
          </w:cols>
          <w:pgMar w:left="320" w:top="364" w:right="339" w:bottom="1141" w:gutter="0" w:footer="0" w:header="0"/>
          <w:type w:val="continuous"/>
        </w:sectPr>
      </w:pPr>
    </w:p>
    <w:p>
      <w:pPr>
        <w:spacing w:after="0" w:line="18"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159561208</w:t>
      </w:r>
    </w:p>
    <w:p>
      <w:pPr>
        <w:sectPr>
          <w:pgSz w:w="11900" w:h="16838" w:orient="portrait"/>
          <w:cols w:equalWidth="0" w:num="1">
            <w:col w:w="11240"/>
          </w:cols>
          <w:pgMar w:left="320" w:top="364" w:right="339" w:bottom="1141" w:gutter="0" w:footer="0" w:header="0"/>
          <w:type w:val="continuous"/>
        </w:sectPr>
      </w:pP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UNITS CONSISTING OF ONE SHARE OF COMMON STOCK AND THREE-QUARTERS OF ONE WARRANT, EACH WHOLE WARRANT ENTITLING THE HOLDER TO PURCHASE ONE SHARE OF COMMON STOCK</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37115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7860" w:val="left"/>
        </w:tabs>
        <w:rPr>
          <w:sz w:val="20"/>
          <w:szCs w:val="20"/>
          <w:color w:val="auto"/>
        </w:rPr>
      </w:pPr>
      <w:r>
        <w:rPr>
          <w:rFonts w:ascii="Arial" w:cs="Arial" w:eastAsia="Arial" w:hAnsi="Arial"/>
          <w:sz w:val="18"/>
          <w:szCs w:val="18"/>
          <w:color w:val="auto"/>
        </w:rPr>
        <w:t>is the owner of</w:t>
      </w:r>
      <w:r>
        <w:rPr>
          <w:sz w:val="20"/>
          <w:szCs w:val="20"/>
          <w:color w:val="auto"/>
        </w:rPr>
        <w:tab/>
      </w:r>
      <w:r>
        <w:rPr>
          <w:rFonts w:ascii="Arial" w:cs="Arial" w:eastAsia="Arial" w:hAnsi="Arial"/>
          <w:sz w:val="17"/>
          <w:szCs w:val="17"/>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23495</wp:posOffset>
            </wp:positionV>
            <wp:extent cx="42087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Unit (“Unit”) consists of one share of common stock, par value $.0001 per share, of Chardan NexTech Acquisition 2 Corp., a Delaware corporation (the “Company”), and three-quarters of one warrant. Each whole warrant entitles the holder to purchase one share of common stock of the Company at $11.50 per share (subject to adjustment), upon the later to occur of (i) the Company’s completion of a merger, share exchange, asset acquisition, stock purchase, recapitalization, reorganization or other similar business combination, with one or more target businesses (a “Business Combination”) or (ii) 12 months from the closing of the Company’s initial public offering (the “IPO”). Each warrant expires 5 years after the completion of our initial Business Combination, at 5:00 p.m., New York City time, or earlier upon redemption or liquidation.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the 90th day after the date of the prospectus relating to the IPO, unless Chardan Capital Markets, LLC informs the Company of its decision to allow earlier separate trading, provided that the Company has filed with the Securities and Exchanges Commission a Current Report on Form 8-K, which includes an audited balance sheet reflecting the Company’s receipt of the gross proceeds of the IPO.</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warrants are governed by a warrant agreement (the “Warrant Agreement”), dated as of [·], 2021, between the Company and 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 State Street, 20th Floor, New York, New York 10004, and are available to any warrant holder on written request and without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79"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40"/>
          </w:cols>
          <w:pgMar w:left="320" w:top="364" w:right="339" w:bottom="1141" w:gutter="0" w:footer="0" w:header="0"/>
          <w:type w:val="continuous"/>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tenants in common UNIF GIFT MIN ACT - _____ Custodian 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 (Cust) (Minor)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under Uniform Gifts to Minors</w:t>
      </w:r>
    </w:p>
    <w:p>
      <w:pPr>
        <w:spacing w:after="0" w:line="222" w:lineRule="exact"/>
        <w:rPr>
          <w:sz w:val="20"/>
          <w:szCs w:val="20"/>
          <w:color w:val="auto"/>
        </w:rPr>
      </w:pPr>
    </w:p>
    <w:p>
      <w:pPr>
        <w:sectPr>
          <w:pgSz w:w="11900" w:h="16838" w:orient="portrait"/>
          <w:cols w:equalWidth="0" w:num="2">
            <w:col w:w="1600" w:space="660"/>
            <w:col w:w="8980"/>
          </w:cols>
          <w:pgMar w:left="320" w:top="364" w:right="339" w:bottom="1141" w:gutter="0" w:footer="0" w:header="0"/>
          <w:type w:val="continuous"/>
        </w:sectPr>
      </w:pPr>
    </w:p>
    <w:p>
      <w:pPr>
        <w:spacing w:after="0" w:line="1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and not as tenants in common Act ______________</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(State)</w:t>
      </w:r>
    </w:p>
    <w:p>
      <w:pPr>
        <w:sectPr>
          <w:pgSz w:w="11900" w:h="16838" w:orient="portrait"/>
          <w:cols w:equalWidth="0" w:num="1">
            <w:col w:w="11240"/>
          </w:cols>
          <w:pgMar w:left="320" w:top="364" w:right="339" w:bottom="1141"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For value received, ___________________________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141" w:gutter="0" w:footer="0" w:header="0"/>
          <w:type w:val="continuous"/>
        </w:sectPr>
      </w:pPr>
    </w:p>
    <w:bookmarkStart w:id="230" w:name="page231"/>
    <w:bookmarkEnd w:id="230"/>
    <w:p>
      <w:pPr>
        <w:spacing w:after="0"/>
        <w:rPr>
          <w:sz w:val="20"/>
          <w:szCs w:val="20"/>
          <w:color w:val="auto"/>
        </w:rPr>
      </w:pPr>
      <w:r>
        <w:rPr>
          <w:rFonts w:ascii="Arial" w:cs="Arial" w:eastAsia="Arial" w:hAnsi="Arial"/>
          <w:sz w:val="18"/>
          <w:szCs w:val="18"/>
          <w:color w:val="auto"/>
        </w:rPr>
        <w:t>PLEASE INSERT SOCIAL SECURITY OR 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63215"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28632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40"/>
        <w:spacing w:after="0"/>
        <w:rPr>
          <w:sz w:val="20"/>
          <w:szCs w:val="20"/>
          <w:color w:val="auto"/>
        </w:rPr>
      </w:pPr>
      <w:r>
        <w:rPr>
          <w:rFonts w:ascii="Arial" w:cs="Arial" w:eastAsia="Arial" w:hAnsi="Arial"/>
          <w:sz w:val="17"/>
          <w:szCs w:val="17"/>
          <w:i w:val="1"/>
          <w:iCs w:val="1"/>
          <w:color w:val="auto"/>
        </w:rPr>
        <w:t>Units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7805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 w:lineRule="exact"/>
        <w:rPr>
          <w:sz w:val="20"/>
          <w:szCs w:val="20"/>
          <w:color w:val="auto"/>
        </w:rPr>
      </w:pPr>
    </w:p>
    <w:p>
      <w:pPr>
        <w:ind w:left="10620"/>
        <w:spacing w:after="0"/>
        <w:rPr>
          <w:sz w:val="20"/>
          <w:szCs w:val="20"/>
          <w:color w:val="auto"/>
        </w:rPr>
      </w:pPr>
      <w:r>
        <w:rPr>
          <w:rFonts w:ascii="Arial" w:cs="Arial" w:eastAsia="Arial" w:hAnsi="Arial"/>
          <w:sz w:val="16"/>
          <w:szCs w:val="16"/>
          <w:i w:val="1"/>
          <w:iCs w:val="1"/>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7119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with full power of substitution in the premises.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23571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5180" w:hanging="679"/>
        <w:spacing w:after="0" w:line="263" w:lineRule="auto"/>
        <w:tabs>
          <w:tab w:leader="none" w:pos="516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-428625</wp:posOffset>
            </wp:positionV>
            <wp:extent cx="42773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52" w:lineRule="exact"/>
        <w:rPr>
          <w:sz w:val="20"/>
          <w:szCs w:val="20"/>
          <w:color w:val="auto"/>
        </w:rPr>
      </w:pPr>
    </w:p>
    <w:p>
      <w:pPr>
        <w:ind w:left="20" w:right="3480"/>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 of this certificate shall be entitled to receive funds with respect to the underlying share of common stock from the trust account established in connection with the Company’s initial public offering only in the event of the Company’s liquidation upon failure to consummate a business combination within the required time period set forth in the Company’s Amended and Restated Certificate of Incorporation (the “Certificate”), as the same may be amended from time to time, or if the holder seeks to convert his or her respective shares of common stock underlying the Unit upon consummation of such business combination or in connection with certain amendments to the Certificate. In no other circumstances shall the holder have any right or interest of any kind in or to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three-quarters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WHEREAS, the Company has received a binding commitment from Chardan NexTech 2 Warrant Holdings LLC, to purchase 4,200,000 private placement warrants (or up to 4,442,183 private warrants depending on the extent to which the underwriters’ over-allotment option is exercised) pursuant the Subscription Agreement, dated as of [●], 2021, and in connection therewith, will issue and deliver up to 4,200,000 private placement warrants (or up to 4,442,183 private warrants depending on the extent to which the underwriters’ over-allotment option is exercised) (the “</w:t>
      </w:r>
      <w:r>
        <w:rPr>
          <w:rFonts w:ascii="Arial" w:cs="Arial" w:eastAsia="Arial" w:hAnsi="Arial"/>
          <w:sz w:val="16"/>
          <w:szCs w:val="16"/>
          <w:b w:val="1"/>
          <w:bCs w:val="1"/>
          <w:color w:val="auto"/>
        </w:rPr>
        <w:t>Private Warrants</w:t>
      </w:r>
      <w:r>
        <w:rPr>
          <w:rFonts w:ascii="Arial" w:cs="Arial" w:eastAsia="Arial" w:hAnsi="Arial"/>
          <w:sz w:val="16"/>
          <w:szCs w:val="16"/>
          <w:color w:val="auto"/>
        </w:rPr>
        <w:t>”), each whole Private Warrant entitling its holder to purchase one share of Common Stock (together with the Public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2" w:name="page233"/>
    <w:bookmarkEnd w:id="232"/>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2" w:lineRule="exact"/>
        <w:rPr>
          <w:sz w:val="20"/>
          <w:szCs w:val="20"/>
          <w:color w:val="auto"/>
        </w:rPr>
      </w:pPr>
    </w:p>
    <w:p>
      <w:pPr>
        <w:ind w:right="20" w:firstLine="8"/>
        <w:spacing w:after="0" w:line="290" w:lineRule="auto"/>
        <w:tabs>
          <w:tab w:leader="none" w:pos="43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left="1960" w:hanging="8"/>
        <w:spacing w:after="0" w:line="259" w:lineRule="auto"/>
        <w:tabs>
          <w:tab w:leader="none" w:pos="222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left="180" w:hanging="172"/>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5.1</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414145" cy="643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1414145" cy="643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+1 212 521 5450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reedsmith.com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acted as counsel to Chardan NexTech Acquisition 2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Registration Statement on Form S-1 (File No. 333-254010) (such registration statement,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Securities A</w:t>
      </w:r>
      <w:r>
        <w:rPr>
          <w:rFonts w:ascii="Arial" w:cs="Arial" w:eastAsia="Arial" w:hAnsi="Arial"/>
          <w:sz w:val="17"/>
          <w:szCs w:val="17"/>
          <w:color w:val="auto"/>
        </w:rPr>
        <w:t>ct”), relating to the offer and sale by the Company (the “</w:t>
      </w:r>
      <w:r>
        <w:rPr>
          <w:rFonts w:ascii="Arial" w:cs="Arial" w:eastAsia="Arial" w:hAnsi="Arial"/>
          <w:sz w:val="17"/>
          <w:szCs w:val="17"/>
          <w:b w:val="1"/>
          <w:bCs w:val="1"/>
          <w:color w:val="auto"/>
        </w:rPr>
        <w:t>Offering</w:t>
      </w:r>
      <w:r>
        <w:rPr>
          <w:rFonts w:ascii="Arial" w:cs="Arial" w:eastAsia="Arial" w:hAnsi="Arial"/>
          <w:sz w:val="17"/>
          <w:szCs w:val="17"/>
          <w:color w:val="auto"/>
        </w:rPr>
        <w:t>”) of (a) up to 11,500,000 units of the Company (the “</w:t>
      </w:r>
      <w:r>
        <w:rPr>
          <w:rFonts w:ascii="Arial" w:cs="Arial" w:eastAsia="Arial" w:hAnsi="Arial"/>
          <w:sz w:val="17"/>
          <w:szCs w:val="17"/>
          <w:b w:val="1"/>
          <w:bCs w:val="1"/>
          <w:color w:val="auto"/>
        </w:rPr>
        <w:t>Units</w:t>
      </w:r>
      <w:r>
        <w:rPr>
          <w:rFonts w:ascii="Arial" w:cs="Arial" w:eastAsia="Arial" w:hAnsi="Arial"/>
          <w:sz w:val="17"/>
          <w:szCs w:val="17"/>
          <w:color w:val="auto"/>
        </w:rPr>
        <w:t>”) (including up to 1,500,000 Units subject to the underwriters’ option to purchase additional Units), each such Unit consisting of one share of common stock of the Company,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three-quarters of one redeemable warrant of the Company (each whole warrant, a “</w:t>
      </w:r>
      <w:r>
        <w:rPr>
          <w:rFonts w:ascii="Arial" w:cs="Arial" w:eastAsia="Arial" w:hAnsi="Arial"/>
          <w:sz w:val="17"/>
          <w:szCs w:val="17"/>
          <w:b w:val="1"/>
          <w:bCs w:val="1"/>
          <w:color w:val="auto"/>
        </w:rPr>
        <w:t>Warrant</w:t>
      </w:r>
      <w:r>
        <w:rPr>
          <w:rFonts w:ascii="Arial" w:cs="Arial" w:eastAsia="Arial" w:hAnsi="Arial"/>
          <w:sz w:val="17"/>
          <w:szCs w:val="17"/>
          <w:color w:val="auto"/>
        </w:rPr>
        <w:t>”), each Warrant exercisable for the purchase of one share of Common Stock, as set forth in the prospectus included in the Registration Statement (the “</w:t>
      </w:r>
      <w:r>
        <w:rPr>
          <w:rFonts w:ascii="Arial" w:cs="Arial" w:eastAsia="Arial" w:hAnsi="Arial"/>
          <w:sz w:val="17"/>
          <w:szCs w:val="17"/>
          <w:b w:val="1"/>
          <w:bCs w:val="1"/>
          <w:color w:val="auto"/>
        </w:rPr>
        <w:t>Prospectus</w:t>
      </w:r>
      <w:r>
        <w:rPr>
          <w:rFonts w:ascii="Arial" w:cs="Arial" w:eastAsia="Arial" w:hAnsi="Arial"/>
          <w:sz w:val="17"/>
          <w:szCs w:val="17"/>
          <w:color w:val="auto"/>
        </w:rPr>
        <w:t>”), and (b) all shares of Common Stock and all Warrants, in each case, issued as part of the Units, and (c) all shares of Common Stock underlying the Warrants (the “</w:t>
      </w:r>
      <w:r>
        <w:rPr>
          <w:rFonts w:ascii="Arial" w:cs="Arial" w:eastAsia="Arial" w:hAnsi="Arial"/>
          <w:sz w:val="17"/>
          <w:szCs w:val="17"/>
          <w:b w:val="1"/>
          <w:bCs w:val="1"/>
          <w:color w:val="auto"/>
        </w:rPr>
        <w:t>Warrant Shares</w:t>
      </w:r>
      <w:r>
        <w:rPr>
          <w:rFonts w:ascii="Arial" w:cs="Arial" w:eastAsia="Arial" w:hAnsi="Arial"/>
          <w:sz w:val="17"/>
          <w:szCs w:val="17"/>
          <w:color w:val="auto"/>
        </w:rPr>
        <w:t>”). The term “Units” also includes any additional Units (and the underlying securities) that may be issued by the Company pursuant to Rule 462(b) under the Securities Act in connection with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reviewed originals or copies of the Registration Statement, the Prospectus, the certificate of incorporation and bylaws of the Company, as amended through the date hereof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the form of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proposed to be entered into by the Company and Continental Stock Transfer &amp; Trust Company,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 that is filed as Exhibit 4.4 to the Registration Statement, and the form of Unit certificate filed as Exhibit 4.1 to the Registration Statement (together with the Warrant Agreement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set forth below, we have assumed:</w:t>
      </w:r>
    </w:p>
    <w:p>
      <w:pPr>
        <w:spacing w:after="0" w:line="225" w:lineRule="exact"/>
        <w:rPr>
          <w:sz w:val="20"/>
          <w:szCs w:val="20"/>
          <w:color w:val="auto"/>
        </w:rPr>
      </w:pPr>
    </w:p>
    <w:p>
      <w:pPr>
        <w:ind w:left="720" w:hanging="334"/>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legal capacity of natural persons;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to us as duplicates or conformed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5" w:name="page246"/>
    <w:bookmarkEnd w:id="245"/>
    <w:p>
      <w:pPr>
        <w:ind w:left="720" w:hanging="334"/>
        <w:spacing w:after="0" w:line="27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certificates or comparable documents of public officials and officers of the Company;</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board of directors of the Company or a duly constituted and acting committee of such board of directors will have taken all action necessary to set the public offering price of the Units;</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the issuance of the Common Stock, the amount of valid consideration paid in respect of such Common Stock will equal or exceed the par value of such Common Stock; and</w:t>
      </w:r>
    </w:p>
    <w:p>
      <w:pPr>
        <w:spacing w:after="0" w:line="170" w:lineRule="exact"/>
        <w:rPr>
          <w:rFonts w:ascii="Arial" w:cs="Arial" w:eastAsia="Arial" w:hAnsi="Arial"/>
          <w:sz w:val="18"/>
          <w:szCs w:val="18"/>
          <w:color w:val="auto"/>
        </w:rPr>
      </w:pPr>
    </w:p>
    <w:p>
      <w:pPr>
        <w:jc w:val="both"/>
        <w:ind w:left="720" w:hanging="334"/>
        <w:spacing w:after="0" w:line="273" w:lineRule="auto"/>
        <w:tabs>
          <w:tab w:leader="none" w:pos="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Units, Warrants, and Warrant Shares (i) conflicts or will conflict with the Organizational Documents,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Units, when issued and sold by the Company in the manner contemplated in the Registration Statement and Prospectus against payment therefor, and assuming the due authorization, execution and delivery of the Units by Continental Stock Transfer &amp; Trust Company, as transfer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Common Stock included in the Units, when the Units are issued and sold by the Company in the manner contemplated in the Registration Statement and Prospectus, against payment therefor, will be validly issued, fully paid, and nonassessable.</w:t>
      </w:r>
    </w:p>
    <w:p>
      <w:pPr>
        <w:spacing w:after="0" w:line="17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Warrants included in the Units, when the Units are issued and sold by the Company in the manner contemplated in the Registration Statement and Prospectus against payment therefor, and assuming the due authorization, execution and delivery of such Warrants by the Warrant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Common Stock issuable upon exercise of the Warrants, assuming the due authorization, execution and delivery of such Warrants by each of the Company and the Warrant Agent, in accordance with the Warrant Agreement, will be validly issued, fully paid, and nonassessable.</w:t>
      </w:r>
    </w:p>
    <w:p>
      <w:pPr>
        <w:spacing w:after="0" w:line="332" w:lineRule="exact"/>
        <w:rPr>
          <w:rFonts w:ascii="Arial" w:cs="Arial" w:eastAsia="Arial" w:hAnsi="Arial"/>
          <w:sz w:val="16"/>
          <w:szCs w:val="16"/>
          <w:color w:val="auto"/>
        </w:rPr>
      </w:pPr>
    </w:p>
    <w:p>
      <w:pPr>
        <w:ind w:left="5580" w:hanging="127"/>
        <w:spacing w:after="0"/>
        <w:tabs>
          <w:tab w:leader="none" w:pos="5580" w:val="left"/>
        </w:tabs>
        <w:numPr>
          <w:ilvl w:val="1"/>
          <w:numId w:val="129"/>
        </w:numPr>
        <w:rPr>
          <w:rFonts w:ascii="Arial" w:cs="Arial" w:eastAsia="Arial" w:hAnsi="Arial"/>
          <w:sz w:val="22"/>
          <w:szCs w:val="22"/>
          <w:color w:val="auto"/>
        </w:rPr>
      </w:pPr>
      <w:r>
        <w:rPr>
          <w:rFonts w:ascii="Arial" w:cs="Arial" w:eastAsia="Arial" w:hAnsi="Arial"/>
          <w:sz w:val="18"/>
          <w:szCs w:val="18"/>
          <w:color w:val="auto"/>
        </w:rPr>
        <w:t xml:space="preserve">2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6" w:name="page247"/>
    <w:bookmarkEnd w:id="246"/>
    <w:p>
      <w:pPr>
        <w:jc w:val="both"/>
        <w:spacing w:after="0" w:line="286" w:lineRule="auto"/>
        <w:rPr>
          <w:sz w:val="20"/>
          <w:szCs w:val="20"/>
          <w:color w:val="auto"/>
        </w:rPr>
      </w:pPr>
      <w:r>
        <w:rPr>
          <w:rFonts w:ascii="Arial" w:cs="Arial" w:eastAsia="Arial" w:hAnsi="Arial"/>
          <w:sz w:val="16"/>
          <w:szCs w:val="16"/>
          <w:color w:val="auto"/>
        </w:rPr>
        <w:t>The opinions stated herein are subject to the qualifications that we express no opinion as to the applicability of, compliance with, or effect of (i) public policy considerations which may limit the rights of parties to obtain certain remedies, (ii)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(iii) any provision waiving the right to object to venue in any court;</w:t>
      </w:r>
    </w:p>
    <w:p>
      <w:pPr>
        <w:spacing w:after="0" w:line="1" w:lineRule="exact"/>
        <w:rPr>
          <w:sz w:val="20"/>
          <w:szCs w:val="20"/>
          <w:color w:val="auto"/>
        </w:rPr>
      </w:pPr>
    </w:p>
    <w:p>
      <w:pPr>
        <w:ind w:right="20" w:firstLine="8"/>
        <w:spacing w:after="0" w:line="260" w:lineRule="auto"/>
        <w:tabs>
          <w:tab w:leader="none" w:pos="32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agreement to submit to the jurisdiction of any federal court; and (v) governmental authority to limit, delay or prohibit the making of payments outside of the United States or in a foreign currency or currency unit.</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opinion is limited to the laws of the State of New York and the General Corporation Law of the State of Delaware (collectively, the “</w:t>
      </w:r>
      <w:r>
        <w:rPr>
          <w:rFonts w:ascii="Arial" w:cs="Arial" w:eastAsia="Arial" w:hAnsi="Arial"/>
          <w:sz w:val="18"/>
          <w:szCs w:val="18"/>
          <w:b w:val="1"/>
          <w:bCs w:val="1"/>
          <w:color w:val="auto"/>
        </w:rPr>
        <w:t>Opined-on Law</w:t>
      </w:r>
      <w:r>
        <w:rPr>
          <w:rFonts w:ascii="Arial" w:cs="Arial" w:eastAsia="Arial" w:hAnsi="Arial"/>
          <w:sz w:val="18"/>
          <w:szCs w:val="18"/>
          <w:color w:val="auto"/>
        </w:rPr>
        <w:t>”) and we do not express any opinion herein concerning any other law. This opinion letter speaks only as of its date.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 giving such consent, we do not hereby admit that we are within the category of persons whose consent is required under Section 7 of the Securities Act, and the rules and regulations of the Commission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/s/REED SMITH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Underwriters named in Schedule A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three-quarters of one warrant, with each whole warrant being exercisable to purchase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15 hereof.</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each of the undersigned as a stockholder of the Company, and for other good and valuable consideration, the receipt and sufficiency of which are hereby acknowledged, each of Chardan NexTech Investments 2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Chardan NexTech 2 Warrant Holdings LLC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undersigned individuals, each of whom is a member of the Company’s board of directors and/or management team, hereby agrees with the Company as follows:</w:t>
      </w:r>
    </w:p>
    <w:p>
      <w:pPr>
        <w:spacing w:after="0" w:line="188" w:lineRule="exact"/>
        <w:rPr>
          <w:sz w:val="20"/>
          <w:szCs w:val="20"/>
          <w:color w:val="auto"/>
        </w:rPr>
      </w:pPr>
    </w:p>
    <w:p>
      <w:pPr>
        <w:ind w:right="20" w:firstLine="1304"/>
        <w:spacing w:after="0" w:line="277" w:lineRule="auto"/>
        <w:tabs>
          <w:tab w:leader="none" w:pos="14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officers and directors of the Company will not enter into a binding agreement for a proposed Business Combination or propose any Business Combination to shareholders of the Company, unless such action is first approved by the Sponsor.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paragraph 1 hereof, if the Company solicits approval of its stockholders of a Business Combination, each of the undersigned will vote all shares of Common Stock beneficially owned by him, her or it, whether acquired before, in or after the IPO, in favor of such Business Combination.</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4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12 months from the closing of the IPO (or up to 18 months from the closing of the IPO if such date is extended as described in the prospectus relating to the IPO), each of the undersigned shall take all reasonable steps to (i) cause the Trust Fund to be liquidated and distributed to the holders of IPO Shares and (ii) cause the Company to liquidate promptly as reasonably possible but not more than five business days after the date we are required to consummate a Business Combination.</w:t>
      </w:r>
    </w:p>
    <w:p>
      <w:pPr>
        <w:spacing w:after="0" w:line="157" w:lineRule="exact"/>
        <w:rPr>
          <w:rFonts w:ascii="Arial" w:cs="Arial" w:eastAsia="Arial" w:hAnsi="Arial"/>
          <w:sz w:val="16"/>
          <w:szCs w:val="16"/>
          <w:color w:val="auto"/>
        </w:rPr>
      </w:pPr>
    </w:p>
    <w:p>
      <w:pPr>
        <w:jc w:val="both"/>
        <w:ind w:firstLine="1466"/>
        <w:spacing w:after="0" w:line="296" w:lineRule="auto"/>
        <w:tabs>
          <w:tab w:leader="none" w:pos="172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Each of the undersigned hereby waives any and all right, title, interest or claim of any kind in or to any distribution of the Trust Fund and any remaining net assets of the Company as a result of such liquidation with respect to his, her or its Insider Shares, Private Warrants,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such undersigned may have in the future as a result of, or arising out of, any contracts or agreements with the Company and will not seek recourse against the Trust Fund for any reason whatsoever. Each of the undersigned acknowledges and agrees that there will be no distribution from the Trust Fund with respect to any Common Stock underlying the Private Warrants, all rights of which will terminate on the Company’s liquidation.</w:t>
      </w:r>
    </w:p>
    <w:p>
      <w:pPr>
        <w:spacing w:after="0" w:line="161" w:lineRule="exact"/>
        <w:rPr>
          <w:rFonts w:ascii="Arial" w:cs="Arial" w:eastAsia="Arial" w:hAnsi="Arial"/>
          <w:sz w:val="16"/>
          <w:szCs w:val="16"/>
          <w:color w:val="auto"/>
        </w:rPr>
      </w:pPr>
    </w:p>
    <w:p>
      <w:pPr>
        <w:jc w:val="both"/>
        <w:ind w:firstLine="1466"/>
        <w:spacing w:after="0" w:line="293" w:lineRule="auto"/>
        <w:tabs>
          <w:tab w:leader="none" w:pos="170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Sponsor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both"/>
        <w:ind w:left="-1120" w:firstLine="1466"/>
        <w:spacing w:after="0" w:line="263" w:lineRule="auto"/>
        <w:tabs>
          <w:tab w:leader="none" w:pos="60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each of the undersigned officers and directors agree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left="-1120" w:firstLine="1304"/>
        <w:spacing w:after="0" w:line="270" w:lineRule="auto"/>
        <w:tabs>
          <w:tab w:leader="none" w:pos="36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of the undersigned will place into escrow all of his, her or its Insider Shares held by the undersigned pursuant to the terms of a Stock Escrow Agreement which the Company will enter into with each of the undersigned, as applicable, and an escrow agent acceptable to the Company. 50% of such Insider Shares shall not be transferred, assigned, sold, or released from escrow until the earlier of (a) six months after the date of the consummation of the Business Combination or (b) the date on which the closing price of the shares of Common Stock equals or exceeds $12.50 per share (as adjusted for stock splits, stock dividends, reorganizations and recapitalizations) for any 10 trading days within any 30-trading day period commencing after our Business Combination. The remaining 50% of the Insider Shares will not be transferred, assigned, sold or released from escrow until six months after the date of Business Combination or earlier, in either case, if, subsequent to our Business Combination, the Company consummates a subsequent liquidation, merger, stock exchange or other similar transaction that results in all of the Company’s stockholders having the right to exchange their shares of Common Stock for cash, securities or other property.</w:t>
      </w:r>
    </w:p>
    <w:p>
      <w:pPr>
        <w:spacing w:after="0" w:line="180" w:lineRule="exact"/>
        <w:rPr>
          <w:rFonts w:ascii="Arial" w:cs="Arial" w:eastAsia="Arial" w:hAnsi="Arial"/>
          <w:sz w:val="17"/>
          <w:szCs w:val="17"/>
          <w:color w:val="auto"/>
        </w:rPr>
      </w:pPr>
    </w:p>
    <w:p>
      <w:pPr>
        <w:jc w:val="both"/>
        <w:ind w:left="-1120" w:firstLine="1304"/>
        <w:spacing w:after="0" w:line="255" w:lineRule="auto"/>
        <w:tabs>
          <w:tab w:leader="none" w:pos="3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Holdings agrees that until the Company consummates a Business Combination, the Private Warrants held by Holdings will be subject to the transfer restrictions described in the Subscription Agreement relating to the Private Warrants held by Holdings. Holdings shall not sell, transfer, assign, pledge or hypothecate any of the Private Warrants issuable to Holdings pursuant to the Private Warrant Purchase Agreement or shares of Common Stock issuable upon the exercise of the Private Warrants pursuant to the Private Warrant Purchase Agreement, or subject any of such securities to any hedging, short sale, derivative, put, or call transaction that would result in the effective economic disposition of such securities, except as provided in FINRA Rule 5110(e)(2).</w:t>
      </w:r>
    </w:p>
    <w:p>
      <w:pPr>
        <w:spacing w:after="0" w:line="192" w:lineRule="exact"/>
        <w:rPr>
          <w:rFonts w:ascii="Arial" w:cs="Arial" w:eastAsia="Arial" w:hAnsi="Arial"/>
          <w:sz w:val="18"/>
          <w:szCs w:val="18"/>
          <w:color w:val="auto"/>
        </w:rPr>
      </w:pPr>
    </w:p>
    <w:p>
      <w:pPr>
        <w:jc w:val="both"/>
        <w:ind w:left="-1120" w:firstLine="1304"/>
        <w:spacing w:after="0" w:line="259" w:lineRule="auto"/>
        <w:tabs>
          <w:tab w:leader="none" w:pos="3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each of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such undersigned might have.</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Subject to paragraph 1 hereof, each of 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76" w:lineRule="exact"/>
        <w:rPr>
          <w:rFonts w:ascii="Arial" w:cs="Arial" w:eastAsia="Arial" w:hAnsi="Arial"/>
          <w:sz w:val="17"/>
          <w:szCs w:val="17"/>
          <w:color w:val="auto"/>
        </w:rPr>
      </w:pPr>
    </w:p>
    <w:p>
      <w:pPr>
        <w:jc w:val="both"/>
        <w:ind w:left="-1120" w:firstLine="1304"/>
        <w:spacing w:after="0" w:line="296" w:lineRule="auto"/>
        <w:tabs>
          <w:tab w:leader="none" w:pos="3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None of the undersigned, nor any respective family member of the undersigned, nor any respective affiliate of the undersigned will be entitled to receive and will not accept any compensation or other cash payment prior to, or for services rendered in connection with, the consummation of the Business Combination, except for any fees paid pursuant to the Business Combination Marketing Agreement by and between the Company and the Representative. Notwithstanding the foregoing, each of the undersigned and any affiliate of the undersigned shall be entitled to reimbursement from the Company for their out-of-pocket expenses incurred in connection with identifying, investigating and consummating a Business Combination.</w:t>
      </w:r>
    </w:p>
    <w:p>
      <w:pPr>
        <w:spacing w:after="0" w:line="161" w:lineRule="exact"/>
        <w:rPr>
          <w:rFonts w:ascii="Arial" w:cs="Arial" w:eastAsia="Arial" w:hAnsi="Arial"/>
          <w:sz w:val="16"/>
          <w:szCs w:val="16"/>
          <w:color w:val="auto"/>
        </w:rPr>
      </w:pPr>
    </w:p>
    <w:p>
      <w:pPr>
        <w:jc w:val="both"/>
        <w:ind w:left="-1120" w:firstLine="1304"/>
        <w:spacing w:after="0" w:line="263" w:lineRule="auto"/>
        <w:tabs>
          <w:tab w:leader="none" w:pos="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None of the undersigned, nor any respective family member of the undersigned, nor any respective affiliate of the undersigned will be entitled to receive or accept a finder’s fee or any other compensation in the event any of the undersigned, any respective family member of the undersigned or any respective affiliate of the undersigned originates a Business Combination.</w:t>
      </w:r>
    </w:p>
    <w:p>
      <w:pPr>
        <w:spacing w:after="0" w:line="399" w:lineRule="exact"/>
        <w:rPr>
          <w:rFonts w:ascii="Arial" w:cs="Arial" w:eastAsia="Arial" w:hAnsi="Arial"/>
          <w:sz w:val="18"/>
          <w:szCs w:val="18"/>
          <w:color w:val="auto"/>
        </w:rPr>
      </w:pPr>
    </w:p>
    <w:p>
      <w:pPr>
        <w:ind w:left="4460" w:hanging="99"/>
        <w:spacing w:after="0"/>
        <w:tabs>
          <w:tab w:leader="none" w:pos="44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9" w:name="page250"/>
    <w:bookmarkEnd w:id="249"/>
    <w:p>
      <w:pPr>
        <w:jc w:val="both"/>
        <w:ind w:left="-656" w:firstLine="1304"/>
        <w:spacing w:after="0" w:line="272" w:lineRule="auto"/>
        <w:tabs>
          <w:tab w:leader="none" w:pos="91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Each undersigned director/officer agrees to serve the Company in his/her duly appointed role as a director/officer until the earlier of the consummation by the Company of a Business Combination or the liquidation of the Company. Each undersigned director/officer’s biographical information previously furnished to the Company and the Representative is true and accurate in all material respects, does not omit any material information with respect to such undersigned director/officer’s biography, and contains all of the information required to be disclosed pursuant to Item 401 of Regulation S-K, promulgated under the Securities Act of 1933. Each undersigned director/officer’s FINRA Questionnaire and Director and Officer Questionnaire previously furnished to the Company and the Representative is true and accurate in all material respects. Each undersigned director/officer represents and warrants that, except as disclosed in such undersigned director/officer’s Director and Officer Questionnaire:</w:t>
      </w:r>
    </w:p>
    <w:p>
      <w:pPr>
        <w:spacing w:after="0" w:line="177"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ind w:left="644" w:hanging="644"/>
        <w:spacing w:after="0" w:line="250" w:lineRule="auto"/>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ind w:left="644" w:hanging="644"/>
        <w:spacing w:after="0"/>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jc w:val="both"/>
        <w:ind w:left="644" w:hanging="644"/>
        <w:spacing w:after="0" w:line="250" w:lineRule="auto"/>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3"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9"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2"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924" w:hanging="99"/>
        <w:spacing w:after="0"/>
        <w:tabs>
          <w:tab w:leader="none" w:pos="4924" w:val="left"/>
        </w:tabs>
        <w:numPr>
          <w:ilvl w:val="2"/>
          <w:numId w:val="13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0" w:name="page251"/>
    <w:bookmarkEnd w:id="250"/>
    <w:p>
      <w:pPr>
        <w:jc w:val="both"/>
        <w:ind w:left="644" w:hanging="644"/>
        <w:spacing w:after="0" w:line="255"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2"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2" w:lineRule="exact"/>
        <w:rPr>
          <w:rFonts w:ascii="Arial" w:cs="Arial" w:eastAsia="Arial" w:hAnsi="Arial"/>
          <w:sz w:val="16"/>
          <w:szCs w:val="16"/>
          <w:color w:val="auto"/>
        </w:rPr>
      </w:pPr>
    </w:p>
    <w:p>
      <w:pPr>
        <w:jc w:val="both"/>
        <w:ind w:left="644" w:hanging="644"/>
        <w:spacing w:after="0" w:line="281" w:lineRule="auto"/>
        <w:tabs>
          <w:tab w:leader="none" w:pos="6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 w:lineRule="exact"/>
        <w:rPr>
          <w:rFonts w:ascii="Arial" w:cs="Arial" w:eastAsia="Arial" w:hAnsi="Arial"/>
          <w:sz w:val="18"/>
          <w:szCs w:val="18"/>
          <w:color w:val="auto"/>
        </w:rPr>
      </w:pPr>
    </w:p>
    <w:p>
      <w:pPr>
        <w:jc w:val="both"/>
        <w:ind w:left="644" w:right="20" w:hanging="644"/>
        <w:spacing w:after="0" w:line="250"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such undersigned from: (i) association with an entity regulated by such commission, authority, agency or officer; (ii) engaging in the business of securities, insurance or banking; or (iii) engaging in savings association or credit union activities;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such undersigned’s registration as a broker, dealer, municipal securities dealer or investment adviser; (ii) places limitations on the activities, functions or operations of, or imposes civil money penalties on, such person; or (iii) bars such undersigned from being associated with any entity or from participating in the offering of any penny stock; and</w:t>
      </w:r>
    </w:p>
    <w:p>
      <w:pPr>
        <w:spacing w:after="0" w:line="1"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3" w:lineRule="exact"/>
        <w:rPr>
          <w:sz w:val="20"/>
          <w:szCs w:val="20"/>
          <w:color w:val="auto"/>
        </w:rPr>
      </w:pPr>
    </w:p>
    <w:p>
      <w:pPr>
        <w:ind w:left="-656" w:firstLine="1304"/>
        <w:spacing w:after="0" w:line="277" w:lineRule="auto"/>
        <w:tabs>
          <w:tab w:leader="none" w:pos="91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undersigned director/officer has full right and power, without violating any agreement by which he is bound, to enter into this letter agreement and to serve in his/her designated capacity of the Company, as described in the Registration Statement.</w:t>
      </w:r>
    </w:p>
    <w:p>
      <w:pPr>
        <w:spacing w:after="0" w:line="170" w:lineRule="exact"/>
        <w:rPr>
          <w:rFonts w:ascii="Arial" w:cs="Arial" w:eastAsia="Arial" w:hAnsi="Arial"/>
          <w:sz w:val="18"/>
          <w:szCs w:val="18"/>
          <w:color w:val="auto"/>
        </w:rPr>
      </w:pPr>
    </w:p>
    <w:p>
      <w:pPr>
        <w:jc w:val="both"/>
        <w:ind w:left="-656" w:firstLine="1304"/>
        <w:spacing w:after="0" w:line="257" w:lineRule="auto"/>
        <w:tabs>
          <w:tab w:leader="none" w:pos="91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the undersigned hereby waives his, her or its right to exercise conversion rights with respect to any shares of Common Stock owned or to be owned by him, her or it, directly or indirectly, whether purchased by him, her or it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24" w:hanging="99"/>
        <w:spacing w:after="0"/>
        <w:tabs>
          <w:tab w:leader="none" w:pos="492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1" w:name="page252"/>
    <w:bookmarkEnd w:id="251"/>
    <w:p>
      <w:pPr>
        <w:jc w:val="both"/>
        <w:ind w:firstLine="1304"/>
        <w:spacing w:after="0" w:line="257" w:lineRule="auto"/>
        <w:tabs>
          <w:tab w:leader="none" w:pos="15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undersigned hereby agrees to not propose, or vote in favor of, an amendment to the Company’s Amended and Restated Certificate of Incorporation that would affect the substance or timing of the Company’s obligation to redeem the IPO Shares if the Company cannot complete an initial business combination within 12 months (or up to 18 months if such date is extended as described in the prospectus relating to the IPO) unless the Company offers holders of IPO Shares the right to receive their pro rata portion of the funds then held in the Trust Fund upon approval of any such amendment.</w:t>
      </w:r>
    </w:p>
    <w:p>
      <w:pPr>
        <w:spacing w:after="0" w:line="187"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53" w:lineRule="auto"/>
        <w:tabs>
          <w:tab w:leader="none" w:pos="16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securityholders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include all of the shares of Common Stock of the Company acquired by an Insider prior to the IPO and;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Warrants</w:t>
      </w:r>
      <w:r>
        <w:rPr>
          <w:rFonts w:ascii="Arial" w:cs="Arial" w:eastAsia="Arial" w:hAnsi="Arial"/>
          <w:sz w:val="18"/>
          <w:szCs w:val="18"/>
          <w:color w:val="auto"/>
        </w:rPr>
        <w:t>” shall mean the warrants (and the underlying securities) purchased in the private placement taking place simultaneously with the consummation of the Company’s IPO; (vi) “</w:t>
      </w:r>
      <w:r>
        <w:rPr>
          <w:rFonts w:ascii="Arial" w:cs="Arial" w:eastAsia="Arial" w:hAnsi="Arial"/>
          <w:sz w:val="18"/>
          <w:szCs w:val="18"/>
          <w:b w:val="1"/>
          <w:bCs w:val="1"/>
          <w:i w:val="1"/>
          <w:iCs w:val="1"/>
          <w:color w:val="auto"/>
        </w:rPr>
        <w:t>Private Warrant Purchase Agreement</w:t>
      </w:r>
      <w:r>
        <w:rPr>
          <w:rFonts w:ascii="Arial" w:cs="Arial" w:eastAsia="Arial" w:hAnsi="Arial"/>
          <w:sz w:val="18"/>
          <w:szCs w:val="18"/>
          <w:color w:val="auto"/>
        </w:rPr>
        <w:t>” shall mean that certain Private Warrant Purchase Agreement by and between the Company and Holdings to be executed in connection with the IPO; (vii)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6" w:lineRule="exact"/>
        <w:rPr>
          <w:rFonts w:ascii="Arial" w:cs="Arial" w:eastAsia="Arial" w:hAnsi="Arial"/>
          <w:sz w:val="18"/>
          <w:szCs w:val="18"/>
          <w:color w:val="auto"/>
        </w:rPr>
      </w:pPr>
    </w:p>
    <w:p>
      <w:pPr>
        <w:jc w:val="both"/>
        <w:ind w:right="20" w:firstLine="1304"/>
        <w:spacing w:after="0" w:line="263" w:lineRule="auto"/>
        <w:tabs>
          <w:tab w:leader="none" w:pos="15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T.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806-6400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jc w:val="both"/>
        <w:ind w:firstLine="1304"/>
        <w:spacing w:after="0" w:line="311" w:lineRule="auto"/>
        <w:tabs>
          <w:tab w:leader="none" w:pos="156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5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left="4520"/>
        <w:spacing w:after="0"/>
        <w:rPr>
          <w:sz w:val="20"/>
          <w:szCs w:val="20"/>
          <w:color w:val="auto"/>
        </w:rPr>
      </w:pPr>
      <w:r>
        <w:rPr>
          <w:rFonts w:ascii="Arial" w:cs="Arial" w:eastAsia="Arial" w:hAnsi="Arial"/>
          <w:sz w:val="16"/>
          <w:szCs w:val="16"/>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STOCK ESCROW AGREEMENT, dated as of [●], 2021 (“Agreement”), by and among CHARDAN NEXTECH ACQUISITION 2 CORP., a Delaware corporation (“Company”) and the initial shareholders listed on the signature pages hereto (collectively, the “Initial Shareholders”) and CONTINENTAL STOCK TRANSFER &amp; TRUST COMPANY, a New York corporation (“Escrow Agent”).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Company has entered into an Underwriting Agreement, dated as of [ ● ], 20[ ● ] (“Underwriting Agreement”), with Chardan Capital Markets, LLC (“Chardan”) acting as representative of the several underwriters (collectively, the “Underwriters”), pursuant to which, among other matters, the Underwriters have agreed to purchase 10,000,000 units (“Units”) of the Company, plus an additional 1,500,000 Units if the Underwriters exercise their over-allotment option in full. Each Unit consists of one share of common stock of the Company, par value $0.0001 per share (the “Common Stock”), and three-quarters of one warrant, with each whole warrant entitling the holder thereof to purchase one share of the Common Stock at an exercise price of $11.50 per share, all as more fully described in the Company’s final Prospectus, dated [●], 2021 (“Prospectus”), comprising part of the Company’s Registration Statement on Form S-1 (File No. 333-254010) under the Securities Act of 1933, as amended (“Registration Statement”), declared effective on [●], 2021 (“Effective Date”).</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WHEREAS, the Initial Shareholders have agreed as a condition of the sale of the Units to deposit their Insider Shares (as defined in the Prospectus), as set forth opposite their respective names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“Escrow Shares”), in escrow as hereinafter provided.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jc w:val="both"/>
        <w:ind w:firstLine="656"/>
        <w:spacing w:after="0" w:line="263" w:lineRule="auto"/>
        <w:tabs>
          <w:tab w:leader="none" w:pos="84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2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10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an initial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5" w:name="page256"/>
    <w:bookmarkEnd w:id="255"/>
    <w:p>
      <w:pPr>
        <w:jc w:val="both"/>
        <w:ind w:firstLine="1296"/>
        <w:spacing w:after="0" w:line="271" w:lineRule="auto"/>
        <w:rPr>
          <w:sz w:val="20"/>
          <w:szCs w:val="20"/>
          <w:color w:val="auto"/>
        </w:rPr>
      </w:pPr>
      <w:r>
        <w:rPr>
          <w:rFonts w:ascii="Arial" w:cs="Arial" w:eastAsia="Arial" w:hAnsi="Arial"/>
          <w:sz w:val="17"/>
          <w:szCs w:val="17"/>
          <w:color w:val="auto"/>
        </w:rPr>
        <w:t xml:space="preserve">3.2 Notwithstanding Section 3.1, if the Underwriters do not exercise their over-allotment option to purchase an additional 1,500,000 Units of the Company in full within 45 days of the date of the Prospectus (as described in the Underwriting Agreement), the Initial Shareholders agree that the Escrow Agent shall return to the Company for cancellation, at no cost, the number of Escrow Shares held by the Initial Shareholders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determined by multiplying (a) the product of (i) 375,000 multiplied by (ii) a fraction, (x) the numerator of which is the number of Escrow Shares held by each such holder, and (y) the denominator of which is the total number of Escrow Shares, by (b) a fraction, (i) the numerator of which is 1,500,000 minus the number of shares of Common Stock purchased by the Underwriters upon the exercise of their over-allotment option, and (ii) the denominator of which is 1,500,000.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3.3 On the termination date of the Escrow Period, the Escrow Agent shall, upon written instructions from the Company disburse the Escrow shares as set forth in such instructions.</w:t>
      </w:r>
    </w:p>
    <w:p>
      <w:pPr>
        <w:spacing w:after="0" w:line="170" w:lineRule="exact"/>
        <w:rPr>
          <w:sz w:val="20"/>
          <w:szCs w:val="20"/>
          <w:color w:val="auto"/>
        </w:rPr>
      </w:pPr>
    </w:p>
    <w:p>
      <w:pPr>
        <w:ind w:left="840" w:hanging="18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to (1) Chardan NexTech Investments 2 LLC, and its affiliates, officers, directors, stockholders, employees and members, (2) to the Company’s pre-IPO stockholders or their respective affiliates, or to the Company’s offices, directors, advisors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375,000 shares of Common Stock subject to forfeiture to the extent that the Underwriters’ over-allotment is not exercised in full or in part or in connection with the consummation of our initial Business Combination, in each case (except for clause 9 or with our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Insider Letters</w:t>
      </w:r>
      <w:r>
        <w:rPr>
          <w:rFonts w:ascii="Arial" w:cs="Arial" w:eastAsia="Arial" w:hAnsi="Arial"/>
          <w:sz w:val="18"/>
          <w:szCs w:val="18"/>
          <w:color w:val="auto"/>
        </w:rPr>
        <w:t xml:space="preserve">. Each of the Initial Shareholders has executed a letter agreement with Chardan and the Company, dated as indicated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left="840" w:hanging="184"/>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beneficiary of this Agreement and this Agreement may not be modified or changed without the prior written consent of Chardan.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Chardan NexTech Acquisition 2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200" w:lineRule="exact"/>
        <w:rPr>
          <w:sz w:val="20"/>
          <w:szCs w:val="20"/>
          <w:color w:val="auto"/>
        </w:rPr>
      </w:pPr>
    </w:p>
    <w:p>
      <w:pPr>
        <w:sectPr>
          <w:pgSz w:w="11900" w:h="16838" w:orient="portrait"/>
          <w:cols w:equalWidth="0" w:num="2">
            <w:col w:w="3780" w:space="720"/>
            <w:col w:w="6740"/>
          </w:cols>
          <w:pgMar w:left="320" w:top="908" w:right="339" w:bottom="1440" w:gutter="0" w:footer="0" w:header="0"/>
          <w:type w:val="continuous"/>
        </w:sectPr>
      </w:pPr>
    </w:p>
    <w:p>
      <w:pPr>
        <w:spacing w:after="0" w:line="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If to a Shareholder, to his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00"/>
        <w:spacing w:after="0"/>
        <w:tabs>
          <w:tab w:leader="none" w:pos="4480" w:val="left"/>
        </w:tabs>
        <w:rPr>
          <w:sz w:val="20"/>
          <w:szCs w:val="20"/>
          <w:color w:val="auto"/>
        </w:rPr>
      </w:pPr>
      <w:r>
        <w:rPr>
          <w:rFonts w:ascii="Arial" w:cs="Arial" w:eastAsia="Arial" w:hAnsi="Arial"/>
          <w:sz w:val="18"/>
          <w:szCs w:val="18"/>
          <w:color w:val="auto"/>
        </w:rPr>
        <w:t>and if to the Escrow Agent, to:</w:t>
      </w:r>
      <w:r>
        <w:rPr>
          <w:sz w:val="20"/>
          <w:szCs w:val="20"/>
          <w:color w:val="auto"/>
        </w:rPr>
        <w:tab/>
      </w:r>
      <w:r>
        <w:rPr>
          <w:rFonts w:ascii="Arial" w:cs="Arial" w:eastAsia="Arial" w:hAnsi="Arial"/>
          <w:sz w:val="16"/>
          <w:szCs w:val="16"/>
          <w:color w:val="auto"/>
        </w:rPr>
        <w:t>Continental Stock Transfer &amp; Trust Company</w:t>
      </w:r>
    </w:p>
    <w:p>
      <w:pPr>
        <w:ind w:left="45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Erika Young</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Chardan Capital Markets LLC</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17 State Street, 21st Floor</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New York, NY 10004</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Attn: George Kaufman</w:t>
            </w:r>
          </w:p>
        </w:tc>
      </w:tr>
      <w:tr>
        <w:trPr>
          <w:trHeight w:val="230"/>
        </w:trPr>
        <w:tc>
          <w:tcPr>
            <w:tcW w:w="4280" w:type="dxa"/>
            <w:vAlign w:val="bottom"/>
          </w:tcPr>
          <w:p>
            <w:pPr>
              <w:spacing w:after="0"/>
              <w:rPr>
                <w:sz w:val="20"/>
                <w:szCs w:val="20"/>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Fax: (646) 465-9039</w:t>
            </w:r>
          </w:p>
        </w:tc>
      </w:tr>
      <w:tr>
        <w:trPr>
          <w:trHeight w:val="418"/>
        </w:trPr>
        <w:tc>
          <w:tcPr>
            <w:tcW w:w="4280" w:type="dxa"/>
            <w:vAlign w:val="bottom"/>
          </w:tcPr>
          <w:p>
            <w:pPr>
              <w:ind w:left="3740"/>
              <w:spacing w:after="0"/>
              <w:rPr>
                <w:sz w:val="20"/>
                <w:szCs w:val="20"/>
                <w:color w:val="auto"/>
              </w:rPr>
            </w:pPr>
            <w:r>
              <w:rPr>
                <w:rFonts w:ascii="Arial" w:cs="Arial" w:eastAsia="Arial" w:hAnsi="Arial"/>
                <w:sz w:val="18"/>
                <w:szCs w:val="18"/>
                <w:color w:val="auto"/>
              </w:rPr>
              <w:t>and:</w:t>
            </w:r>
          </w:p>
        </w:tc>
        <w:tc>
          <w:tcPr>
            <w:tcW w:w="6960" w:type="dxa"/>
            <w:vAlign w:val="bottom"/>
          </w:tcPr>
          <w:p>
            <w:pPr>
              <w:ind w:left="220"/>
              <w:spacing w:after="0"/>
              <w:rPr>
                <w:sz w:val="20"/>
                <w:szCs w:val="20"/>
                <w:color w:val="auto"/>
              </w:rPr>
            </w:pPr>
            <w:r>
              <w:rPr>
                <w:rFonts w:ascii="Arial" w:cs="Arial" w:eastAsia="Arial" w:hAnsi="Arial"/>
                <w:sz w:val="18"/>
                <w:szCs w:val="18"/>
                <w:color w:val="auto"/>
              </w:rPr>
              <w:t>Reed Smith LLP</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599 Lexington Avenue</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New York, NY 10022</w:t>
            </w:r>
          </w:p>
        </w:tc>
      </w:tr>
      <w:tr>
        <w:trPr>
          <w:trHeight w:val="216"/>
        </w:trPr>
        <w:tc>
          <w:tcPr>
            <w:tcW w:w="428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Attn: Ari Edelman, Esq.</w:t>
            </w:r>
          </w:p>
        </w:tc>
      </w:tr>
      <w:tr>
        <w:trPr>
          <w:trHeight w:val="230"/>
        </w:trPr>
        <w:tc>
          <w:tcPr>
            <w:tcW w:w="4280" w:type="dxa"/>
            <w:vAlign w:val="bottom"/>
          </w:tcPr>
          <w:p>
            <w:pPr>
              <w:spacing w:after="0"/>
              <w:rPr>
                <w:sz w:val="20"/>
                <w:szCs w:val="20"/>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Fax: (212) 521-5450</w:t>
            </w:r>
          </w:p>
        </w:tc>
      </w:tr>
      <w:tr>
        <w:trPr>
          <w:trHeight w:val="702"/>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258" w:name="page259"/>
    <w:bookmarkEnd w:id="258"/>
    <w:p>
      <w:pPr>
        <w:ind w:left="37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Met Life Building, 200 Park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801-6400</w:t>
      </w:r>
    </w:p>
    <w:p>
      <w:pPr>
        <w:spacing w:after="0" w:line="200" w:lineRule="exact"/>
        <w:rPr>
          <w:sz w:val="20"/>
          <w:szCs w:val="20"/>
          <w:color w:val="auto"/>
        </w:rPr>
      </w:pPr>
    </w:p>
    <w:p>
      <w:pPr>
        <w:sectPr>
          <w:pgSz w:w="11900" w:h="16838" w:orient="portrait"/>
          <w:cols w:equalWidth="0" w:num="2">
            <w:col w:w="4060" w:space="440"/>
            <w:col w:w="6740"/>
          </w:cols>
          <w:pgMar w:left="320" w:top="935" w:right="339" w:bottom="1440" w:gutter="0" w:footer="0" w:header="0"/>
        </w:sectPr>
      </w:pPr>
    </w:p>
    <w:p>
      <w:pPr>
        <w:spacing w:after="0" w:line="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CONTINENTAL STOCK TRANSFER &amp; TRUST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-130175</wp:posOffset>
            </wp:positionV>
            <wp:extent cx="32746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380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800" w:type="dxa"/>
            <w:vAlign w:val="bottom"/>
          </w:tcPr>
          <w:p>
            <w:pPr>
              <w:spacing w:after="0"/>
              <w:rPr>
                <w:sz w:val="24"/>
                <w:szCs w:val="24"/>
                <w:color w:val="auto"/>
              </w:rPr>
            </w:pPr>
          </w:p>
        </w:tc>
        <w:tc>
          <w:tcPr>
            <w:tcW w:w="610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0"/>
              </w:rPr>
              <w:t>Initial Shareholders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Date of</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Name of Initial Shareholder</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of Shares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Insider Letter</w:t>
            </w: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Chardan NexTech Investments 2 LLC</w:t>
            </w:r>
          </w:p>
        </w:tc>
        <w:tc>
          <w:tcPr>
            <w:tcW w:w="1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3"/>
              </w:rPr>
              <w:t>[●],2021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61" w:name="page262"/>
    <w:bookmarkEnd w:id="261"/>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Escrow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 – 375,000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2" w:name="page263"/>
    <w:bookmarkEnd w:id="262"/>
    <w:p>
      <w:pPr>
        <w:ind w:left="516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Insider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 day of [●],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4" w:name="page265"/>
    <w:bookmarkEnd w:id="2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Private Warrants</w:t>
      </w:r>
      <w:r>
        <w:rPr>
          <w:rFonts w:ascii="Arial" w:cs="Arial" w:eastAsia="Arial" w:hAnsi="Arial"/>
          <w:sz w:val="17"/>
          <w:szCs w:val="17"/>
          <w:color w:val="auto"/>
        </w:rPr>
        <w:t>” means the 4,200,000 (or up to 4,442,183 depending on the extent to which the Underwriters’ overallotment option is exercised) Warrants the Investors are privately purchasing simultaneously with the consummation of the Company’s initial public offering.</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three-quarters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333-254010)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0" w:lineRule="exact"/>
        <w:rPr>
          <w:rFonts w:ascii="Arial" w:cs="Arial" w:eastAsia="Arial" w:hAnsi="Arial"/>
          <w:sz w:val="17"/>
          <w:szCs w:val="17"/>
          <w:color w:val="auto"/>
        </w:rPr>
      </w:pPr>
    </w:p>
    <w:p>
      <w:pPr>
        <w:jc w:val="both"/>
        <w:ind w:left="1960" w:firstLine="640"/>
        <w:spacing w:after="0" w:line="287" w:lineRule="auto"/>
        <w:tabs>
          <w:tab w:leader="none" w:pos="287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333-254010),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Investments 2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Investments 2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-121920</wp:posOffset>
            </wp:positionV>
            <wp:extent cx="32918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76" w:name="page277"/>
    <w:bookmarkEnd w:id="276"/>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7 to Form S-1 of our report dated June 4,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1)"/>
      <w:numFmt w:val="decimal"/>
      <w:start w:val="4"/>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1)"/>
      <w:numFmt w:val="lowerLetter"/>
      <w:start w:val="1"/>
    </w:lvl>
  </w:abstractNum>
  <w:abstractNum w:abstractNumId="7">
    <w:nsid w:val="8F2B15E"/>
    <w:multiLevelType w:val="hybridMultilevel"/>
    <w:lvl w:ilvl="0">
      <w:lvlJc w:val="left"/>
      <w:lvlText w:val="(%1)"/>
      <w:numFmt w:val="decimal"/>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1)"/>
      <w:numFmt w:val="lowerRoman"/>
      <w:start w:val="3"/>
    </w:lvl>
  </w:abstractNum>
  <w:abstractNum w:abstractNumId="12">
    <w:nsid w:val="60B6DF70"/>
    <w:multiLevelType w:val="hybridMultilevel"/>
    <w:lvl w:ilvl="0">
      <w:lvlJc w:val="left"/>
      <w:lvlText w:val="(%1)"/>
      <w:numFmt w:val="decimal"/>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1."/>
      <w:numFmt w:val="upperLetter"/>
      <w:start w:val="9"/>
    </w:lvl>
  </w:abstractNum>
  <w:abstractNum w:abstractNumId="15">
    <w:nsid w:val="7FFFCA11"/>
    <w:multiLevelType w:val="hybridMultilevel"/>
    <w:lvl w:ilvl="0">
      <w:lvlJc w:val="left"/>
      <w:lvlText w:val="(%1)"/>
      <w:numFmt w:val="lowerRoman"/>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1."/>
      <w:numFmt w:val="upperLetter"/>
      <w:start w:val="35"/>
    </w:lvl>
  </w:abstractNum>
  <w:abstractNum w:abstractNumId="22">
    <w:nsid w:val="94211F2"/>
    <w:multiLevelType w:val="hybridMultilevel"/>
    <w:lvl w:ilvl="0">
      <w:lvlJc w:val="left"/>
      <w:lvlText w:val="(%1)"/>
      <w:numFmt w:val="upperLetter"/>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1)"/>
      <w:numFmt w:val="lowerRoman"/>
      <w:start w:val="3"/>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1)"/>
      <w:numFmt w:val="decimal"/>
      <w:start w:val="1"/>
    </w:lvl>
  </w:abstractNum>
  <w:abstractNum w:abstractNumId="29">
    <w:nsid w:val="74DE0EE3"/>
    <w:multiLevelType w:val="hybridMultilevel"/>
    <w:lvl w:ilvl="0">
      <w:lvlJc w:val="left"/>
      <w:lvlText w:val="(%1)"/>
      <w:numFmt w:val="decimal"/>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1)"/>
      <w:numFmt w:val="decimal"/>
      <w:start w:val="2"/>
    </w:lvl>
  </w:abstractNum>
  <w:abstractNum w:abstractNumId="35">
    <w:nsid w:val="57FC4FBB"/>
    <w:multiLevelType w:val="hybridMultilevel"/>
    <w:lvl w:ilvl="0">
      <w:lvlJc w:val="left"/>
      <w:lvlText w:val="%1."/>
      <w:numFmt w:val="upperLetter"/>
      <w:start w:val="22"/>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1)"/>
      <w:numFmt w:val="decimal"/>
      <w:start w:val="2"/>
    </w:lvl>
  </w:abstractNum>
  <w:abstractNum w:abstractNumId="39">
    <w:nsid w:val="26F324BA"/>
    <w:multiLevelType w:val="hybridMultilevel"/>
    <w:lvl w:ilvl="0">
      <w:lvlJc w:val="left"/>
      <w:lvlText w:val="(%1)"/>
      <w:numFmt w:val="decimal"/>
      <w:start w:val="1"/>
    </w:lvl>
  </w:abstractNum>
  <w:abstractNum w:abstractNumId="40">
    <w:nsid w:val="7F01579B"/>
    <w:multiLevelType w:val="hybridMultilevel"/>
    <w:lvl w:ilvl="0">
      <w:lvlJc w:val="left"/>
      <w:lvlText w:val="(%1)"/>
      <w:numFmt w:val="decimal"/>
      <w:start w:val="1"/>
    </w:lvl>
  </w:abstractNum>
  <w:abstractNum w:abstractNumId="41">
    <w:nsid w:val="49DA307D"/>
    <w:multiLevelType w:val="hybridMultilevel"/>
    <w:lvl w:ilvl="0">
      <w:lvlJc w:val="left"/>
      <w:lvlText w:val="(%1)"/>
      <w:numFmt w:val="decimal"/>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1)"/>
      <w:numFmt w:val="decimal"/>
      <w:start w:val="4"/>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1)"/>
      <w:numFmt w:val="decimal"/>
      <w:start w:val="3"/>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1)"/>
      <w:numFmt w:val="decimal"/>
      <w:start w:val="1"/>
    </w:lvl>
  </w:abstractNum>
  <w:abstractNum w:abstractNumId="67">
    <w:nsid w:val="2A155DBC"/>
    <w:multiLevelType w:val="hybridMultilevel"/>
    <w:lvl w:ilvl="0">
      <w:lvlJc w:val="left"/>
      <w:lvlText w:val="(%1)"/>
      <w:numFmt w:val="decimal"/>
      <w:start w:val="2"/>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1)"/>
      <w:numFmt w:val="lowerRoman"/>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1)"/>
      <w:numFmt w:val="lowerLetter"/>
      <w:start w:val="3"/>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1)"/>
      <w:numFmt w:val="lowerRoman"/>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emdash "/>
      <w:numFmt w:val="bullet"/>
      <w:start w:val="1"/>
    </w:lvl>
  </w:abstractNum>
  <w:abstractNum w:abstractNumId="84">
    <w:nsid w:val="6C80EC70"/>
    <w:multiLevelType w:val="hybridMultilevel"/>
    <w:lvl w:ilvl="0">
      <w:lvlJc w:val="left"/>
      <w:lvlText w:val="(%1)"/>
      <w:numFmt w:val="decimal"/>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1)"/>
      <w:numFmt w:val="upperLetter"/>
      <w:start w:val="6"/>
    </w:lvl>
  </w:abstractNum>
  <w:abstractNum w:abstractNumId="90">
    <w:nsid w:val="1DF029D3"/>
    <w:multiLevelType w:val="hybridMultilevel"/>
    <w:lvl w:ilvl="0">
      <w:lvlJc w:val="left"/>
      <w:lvlText w:val="(%1)"/>
      <w:numFmt w:val="upperLetter"/>
      <w:start w:val="6"/>
    </w:lvl>
  </w:abstractNum>
  <w:abstractNum w:abstractNumId="91">
    <w:nsid w:val="5675FF36"/>
    <w:multiLevelType w:val="hybridMultilevel"/>
    <w:lvl w:ilvl="0">
      <w:lvlJc w:val="left"/>
      <w:lvlText w:val="(%1)"/>
      <w:numFmt w:val="upperLetter"/>
      <w:start w:val="6"/>
    </w:lvl>
  </w:abstractNum>
  <w:abstractNum w:abstractNumId="92">
    <w:nsid w:val="3DD15094"/>
    <w:multiLevelType w:val="hybridMultilevel"/>
    <w:lvl w:ilvl="0">
      <w:lvlJc w:val="left"/>
      <w:lvlText w:val="(%1)"/>
      <w:numFmt w:val="lowerLetter"/>
      <w:start w:val="1"/>
    </w:lvl>
  </w:abstractNum>
  <w:abstractNum w:abstractNumId="93">
    <w:nsid w:val="3DB012B3"/>
    <w:multiLevelType w:val="hybridMultilevel"/>
    <w:lvl w:ilvl="0">
      <w:lvlJc w:val="left"/>
      <w:lvlText w:val="(%1)"/>
      <w:numFmt w:val="lowerLetter"/>
      <w:start w:val="3"/>
    </w:lvl>
  </w:abstractNum>
  <w:abstractNum w:abstractNumId="94">
    <w:nsid w:val="2708C9AF"/>
    <w:multiLevelType w:val="hybridMultilevel"/>
    <w:lvl w:ilvl="0">
      <w:lvlJc w:val="left"/>
      <w:lvlText w:val="(%1)"/>
      <w:numFmt w:val="lowerLetter"/>
      <w:start w:val="9"/>
    </w:lvl>
  </w:abstractNum>
  <w:abstractNum w:abstractNumId="95">
    <w:nsid w:val="5B25ACE2"/>
    <w:multiLevelType w:val="hybridMultilevel"/>
    <w:lvl w:ilvl="0">
      <w:lvlJc w:val="left"/>
      <w:lvlText w:val="*"/>
      <w:numFmt w:val="bullet"/>
      <w:start w:val="1"/>
    </w:lvl>
    <w:lvl w:ilvl="1">
      <w:lvlJc w:val="left"/>
      <w:lvlText w:val="(%2)"/>
      <w:numFmt w:val="lowerLetter"/>
      <w:start w:val="2"/>
    </w:lvl>
  </w:abstractNum>
  <w:abstractNum w:abstractNumId="96">
    <w:nsid w:val="175DFCF0"/>
    <w:multiLevelType w:val="hybridMultilevel"/>
    <w:lvl w:ilvl="0">
      <w:lvlJc w:val="left"/>
      <w:lvlText w:val="(%1)"/>
      <w:numFmt w:val="lowerLetter"/>
      <w:start w:val="1"/>
    </w:lvl>
    <w:lvl w:ilvl="1">
      <w:lvlJc w:val="left"/>
      <w:lvlText w:val="(%2)"/>
      <w:numFmt w:val="decimal"/>
      <w:start w:val="1"/>
    </w:lvl>
  </w:abstractNum>
  <w:abstractNum w:abstractNumId="97">
    <w:nsid w:val="4F97E3E4"/>
    <w:multiLevelType w:val="hybridMultilevel"/>
    <w:lvl w:ilvl="0">
      <w:lvlJc w:val="left"/>
      <w:lvlText w:val="(%1)"/>
      <w:numFmt w:val="decimal"/>
      <w:start w:val="2"/>
    </w:lvl>
    <w:lvl w:ilvl="1">
      <w:lvlJc w:val="left"/>
      <w:lvlText w:val="(%2)"/>
      <w:numFmt w:val="lowerRoman"/>
      <w:start w:val="1"/>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1)"/>
      <w:numFmt w:val="decimal"/>
      <w:start w:val="30"/>
    </w:lvl>
  </w:abstractNum>
  <w:abstractNum w:abstractNumId="100">
    <w:nsid w:val="5915FF32"/>
    <w:multiLevelType w:val="hybridMultilevel"/>
    <w:lvl w:ilvl="0">
      <w:lvlJc w:val="left"/>
      <w:lvlText w:val="%1."/>
      <w:numFmt w:val="decimal"/>
      <w:start w:val="2"/>
    </w:lvl>
  </w:abstractNum>
  <w:abstractNum w:abstractNumId="101">
    <w:nsid w:val="56438D15"/>
    <w:multiLevelType w:val="hybridMultilevel"/>
    <w:lvl w:ilvl="0">
      <w:lvlJc w:val="left"/>
      <w:lvlText w:val="%1."/>
      <w:numFmt w:val="decimal"/>
      <w:start w:val="3"/>
    </w:lvl>
  </w:abstractNum>
  <w:abstractNum w:abstractNumId="102">
    <w:nsid w:val="519E3149"/>
    <w:multiLevelType w:val="hybridMultilevel"/>
    <w:lvl w:ilvl="0">
      <w:lvlJc w:val="left"/>
      <w:lvlText w:val="(%1)"/>
      <w:numFmt w:val="lowerRoman"/>
      <w:start w:val="5"/>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1)"/>
      <w:numFmt w:val="lowerRoman"/>
      <w:start w:val="1"/>
    </w:lvl>
  </w:abstractNum>
  <w:abstractNum w:abstractNumId="105">
    <w:nsid w:val="4DF72E4E"/>
    <w:multiLevelType w:val="hybridMultilevel"/>
    <w:lvl w:ilvl="0">
      <w:lvlJc w:val="left"/>
      <w:lvlText w:val="(%1)"/>
      <w:numFmt w:val="decimal"/>
      <w:start w:val="4"/>
    </w:lvl>
  </w:abstractNum>
  <w:abstractNum w:abstractNumId="106">
    <w:nsid w:val="5046B5A9"/>
    <w:multiLevelType w:val="hybridMultilevel"/>
    <w:lvl w:ilvl="0">
      <w:lvlJc w:val="left"/>
      <w:lvlText w:val="%1."/>
      <w:numFmt w:val="decimal"/>
      <w:start w:val="4"/>
    </w:lvl>
  </w:abstractNum>
  <w:abstractNum w:abstractNumId="107">
    <w:nsid w:val="5D888A08"/>
    <w:multiLevelType w:val="hybridMultilevel"/>
    <w:lvl w:ilvl="0">
      <w:lvlJc w:val="left"/>
      <w:lvlText w:val="(%1)"/>
      <w:numFmt w:val="lowerLetter"/>
      <w:start w:val="1"/>
    </w:lvl>
  </w:abstractNum>
  <w:abstractNum w:abstractNumId="108">
    <w:nsid w:val="2A082C70"/>
    <w:multiLevelType w:val="hybridMultilevel"/>
    <w:lvl w:ilvl="0">
      <w:lvlJc w:val="left"/>
      <w:lvlText w:val="%1."/>
      <w:numFmt w:val="decimal"/>
      <w:start w:val="5"/>
    </w:lvl>
  </w:abstractNum>
  <w:abstractNum w:abstractNumId="109">
    <w:nsid w:val="5EC6AFD4"/>
    <w:multiLevelType w:val="hybridMultilevel"/>
    <w:lvl w:ilvl="0">
      <w:lvlJc w:val="left"/>
      <w:lvlText w:val="%1."/>
      <w:numFmt w:val="decimal"/>
      <w:start w:val="6"/>
    </w:lvl>
  </w:abstractNum>
  <w:abstractNum w:abstractNumId="110">
    <w:nsid w:val="19E21BB2"/>
    <w:multiLevelType w:val="hybridMultilevel"/>
    <w:lvl w:ilvl="0">
      <w:lvlJc w:val="left"/>
      <w:lvlText w:val="%1."/>
      <w:numFmt w:val="decimal"/>
      <w:start w:val="7"/>
    </w:lvl>
  </w:abstractNum>
  <w:abstractNum w:abstractNumId="111">
    <w:nsid w:val="75E0858A"/>
    <w:multiLevelType w:val="hybridMultilevel"/>
    <w:lvl w:ilvl="0">
      <w:lvlJc w:val="left"/>
      <w:lvlText w:val="%1."/>
      <w:numFmt w:val="decimal"/>
      <w:start w:val="8"/>
    </w:lvl>
  </w:abstractNum>
  <w:abstractNum w:abstractNumId="112">
    <w:nsid w:val="57A61A29"/>
    <w:multiLevelType w:val="hybridMultilevel"/>
    <w:lvl w:ilvl="0">
      <w:lvlJc w:val="left"/>
      <w:lvlText w:val="(%1)"/>
      <w:numFmt w:val="lowerRoman"/>
      <w:start w:val="6"/>
    </w:lvl>
  </w:abstractNum>
  <w:abstractNum w:abstractNumId="113">
    <w:nsid w:val="5399C654"/>
    <w:multiLevelType w:val="hybridMultilevel"/>
    <w:lvl w:ilvl="0">
      <w:lvlJc w:val="left"/>
      <w:lvlText w:val="%1."/>
      <w:numFmt w:val="decimal"/>
      <w:start w:val="10"/>
    </w:lvl>
  </w:abstractNum>
  <w:abstractNum w:abstractNumId="114">
    <w:nsid w:val="20EE1348"/>
    <w:multiLevelType w:val="hybridMultilevel"/>
    <w:lvl w:ilvl="0">
      <w:lvlJc w:val="left"/>
      <w:lvlText w:val="%1."/>
      <w:numFmt w:val="decimal"/>
      <w:start w:val="1"/>
    </w:lvl>
  </w:abstractNum>
  <w:abstractNum w:abstractNumId="115">
    <w:nsid w:val="4427069A"/>
    <w:multiLevelType w:val="hybridMultilevel"/>
    <w:lvl w:ilvl="0">
      <w:lvlJc w:val="left"/>
      <w:lvlText w:val="(%1)"/>
      <w:numFmt w:val="decimal"/>
      <w:start w:val="180"/>
    </w:lvl>
  </w:abstractNum>
  <w:abstractNum w:abstractNumId="116">
    <w:nsid w:val="B37E80A"/>
    <w:multiLevelType w:val="hybridMultilevel"/>
    <w:lvl w:ilvl="0">
      <w:lvlJc w:val="left"/>
      <w:lvlText w:val="%1."/>
      <w:numFmt w:val="decimal"/>
      <w:start w:val="3"/>
    </w:lvl>
  </w:abstractNum>
  <w:abstractNum w:abstractNumId="117">
    <w:nsid w:val="2157F6BC"/>
    <w:multiLevelType w:val="hybridMultilevel"/>
    <w:lvl w:ilvl="0">
      <w:lvlJc w:val="left"/>
      <w:lvlText w:val="(%1)"/>
      <w:numFmt w:val="lowerRoman"/>
      <w:start w:val="1"/>
    </w:lvl>
  </w:abstractNum>
  <w:abstractNum w:abstractNumId="118">
    <w:nsid w:val="704E1DD5"/>
    <w:multiLevelType w:val="hybridMultilevel"/>
    <w:lvl w:ilvl="0">
      <w:lvlJc w:val="left"/>
      <w:lvlText w:val="(%1)"/>
      <w:numFmt w:val="lowerRoman"/>
      <w:start w:val="2"/>
    </w:lvl>
  </w:abstractNum>
  <w:abstractNum w:abstractNumId="119">
    <w:nsid w:val="57D2F10E"/>
    <w:multiLevelType w:val="hybridMultilevel"/>
    <w:lvl w:ilvl="0">
      <w:lvlJc w:val="left"/>
      <w:lvlText w:val="(%1)"/>
      <w:numFmt w:val="decimal"/>
      <w:start w:val="3"/>
    </w:lvl>
  </w:abstractNum>
  <w:abstractNum w:abstractNumId="120">
    <w:nsid w:val="BFFAE18"/>
    <w:multiLevelType w:val="hybridMultilevel"/>
    <w:lvl w:ilvl="0">
      <w:lvlJc w:val="left"/>
      <w:lvlText w:val="%1."/>
      <w:numFmt w:val="decimal"/>
      <w:start w:val="4"/>
    </w:lvl>
  </w:abstractNum>
  <w:abstractNum w:abstractNumId="121">
    <w:nsid w:val="E3E47A8"/>
    <w:multiLevelType w:val="hybridMultilevel"/>
    <w:lvl w:ilvl="0">
      <w:lvlJc w:val="left"/>
      <w:lvlText w:val="%1."/>
      <w:numFmt w:val="decimal"/>
      <w:start w:val="5"/>
    </w:lvl>
  </w:abstractNum>
  <w:abstractNum w:abstractNumId="122">
    <w:nsid w:val="2E48F044"/>
    <w:multiLevelType w:val="hybridMultilevel"/>
    <w:lvl w:ilvl="0">
      <w:lvlJc w:val="left"/>
      <w:lvlText w:val="%1."/>
      <w:numFmt w:val="decimal"/>
      <w:start w:val="6"/>
    </w:lvl>
  </w:abstractNum>
  <w:abstractNum w:abstractNumId="123">
    <w:nsid w:val="49D0FEAC"/>
    <w:multiLevelType w:val="hybridMultilevel"/>
    <w:lvl w:ilvl="0">
      <w:lvlJc w:val="left"/>
      <w:lvlText w:val="%1."/>
      <w:numFmt w:val="decimal"/>
      <w:start w:val="7"/>
    </w:lvl>
  </w:abstractNum>
  <w:abstractNum w:abstractNumId="124">
    <w:nsid w:val="4BEE5A5B"/>
    <w:multiLevelType w:val="hybridMultilevel"/>
    <w:lvl w:ilvl="0">
      <w:lvlJc w:val="left"/>
      <w:lvlText w:val="%1."/>
      <w:numFmt w:val="decimal"/>
      <w:start w:val="8"/>
    </w:lvl>
  </w:abstractNum>
  <w:abstractNum w:abstractNumId="125">
    <w:nsid w:val="5551B9F3"/>
    <w:multiLevelType w:val="hybridMultilevel"/>
    <w:lvl w:ilvl="0">
      <w:lvlJc w:val="left"/>
      <w:lvlText w:val="%1."/>
      <w:numFmt w:val="decimal"/>
      <w:start w:val="9"/>
    </w:lvl>
  </w:abstractNum>
  <w:abstractNum w:abstractNumId="126">
    <w:nsid w:val="24F6AB8E"/>
    <w:multiLevelType w:val="hybridMultilevel"/>
    <w:lvl w:ilvl="0">
      <w:lvlJc w:val="left"/>
      <w:lvlText w:val="%1."/>
      <w:numFmt w:val="lowerLetter"/>
      <w:start w:val="1"/>
    </w:lvl>
  </w:abstractNum>
  <w:abstractNum w:abstractNumId="127">
    <w:nsid w:val="634C574C"/>
    <w:multiLevelType w:val="hybridMultilevel"/>
    <w:lvl w:ilvl="0">
      <w:lvlJc w:val="left"/>
      <w:lvlText w:val="%1."/>
      <w:numFmt w:val="lowerLetter"/>
      <w:start w:val="5"/>
    </w:lvl>
  </w:abstractNum>
  <w:abstractNum w:abstractNumId="128">
    <w:nsid w:val="24E99DD7"/>
    <w:multiLevelType w:val="hybridMultilevel"/>
    <w:lvl w:ilvl="0">
      <w:lvlJc w:val="left"/>
      <w:lvlText w:val="%1."/>
      <w:numFmt w:val="decimal"/>
      <w:start w:val="1"/>
    </w:lvl>
    <w:lvl w:ilvl="1">
      <w:lvlJc w:val="left"/>
      <w:lvlText w:val="-"/>
      <w:numFmt w:val="bullet"/>
      <w:start w:val="1"/>
    </w:lvl>
  </w:abstractNum>
  <w:abstractNum w:abstractNumId="129">
    <w:nsid w:val="2A31B62D"/>
    <w:multiLevelType w:val="hybridMultilevel"/>
    <w:lvl w:ilvl="0">
      <w:lvlJc w:val="left"/>
      <w:lvlText w:val="(%1)"/>
      <w:numFmt w:val="lowerRoman"/>
      <w:start w:val="4"/>
    </w:lvl>
  </w:abstractNum>
  <w:abstractNum w:abstractNumId="130">
    <w:nsid w:val="1849C29B"/>
    <w:multiLevelType w:val="hybridMultilevel"/>
    <w:lvl w:ilvl="0">
      <w:lvlJc w:val="left"/>
      <w:lvlText w:val="%1."/>
      <w:numFmt w:val="decimal"/>
      <w:start w:val="1"/>
    </w:lvl>
    <w:lvl w:ilvl="1">
      <w:lvlJc w:val="left"/>
      <w:lvlText w:val="(%2)"/>
      <w:numFmt w:val="lowerLetter"/>
      <w:start w:val="2"/>
    </w:lvl>
  </w:abstractNum>
  <w:abstractNum w:abstractNumId="131">
    <w:nsid w:val="7DFF9D09"/>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32">
    <w:nsid w:val="75434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3">
    <w:nsid w:val="69E7F3E5"/>
    <w:multiLevelType w:val="hybridMultilevel"/>
    <w:lvl w:ilvl="0">
      <w:lvlJc w:val="left"/>
      <w:lvlText w:val="%1"/>
      <w:numFmt w:val="lowerLetter"/>
      <w:start w:val="1"/>
    </w:lvl>
    <w:lvl w:ilvl="1">
      <w:lvlJc w:val="left"/>
      <w:lvlText w:val="%2."/>
      <w:numFmt w:val="decimal"/>
      <w:start w:val="10"/>
    </w:lvl>
    <w:lvl w:ilvl="2">
      <w:lvlJc w:val="left"/>
      <w:lvlText w:val="-"/>
      <w:numFmt w:val="bullet"/>
      <w:start w:val="1"/>
    </w:lvl>
  </w:abstractNum>
  <w:abstractNum w:abstractNumId="134">
    <w:nsid w:val="2A6DE806"/>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35">
    <w:nsid w:val="1816F8C4"/>
    <w:multiLevelType w:val="hybridMultilevel"/>
    <w:lvl w:ilvl="0">
      <w:lvlJc w:val="left"/>
      <w:lvlText w:val="(%1)"/>
      <w:numFmt w:val="lowerLetter"/>
      <w:start w:val="11"/>
    </w:lvl>
  </w:abstractNum>
  <w:abstractNum w:abstractNumId="136">
    <w:nsid w:val="37DF2233"/>
    <w:multiLevelType w:val="hybridMultilevel"/>
    <w:lvl w:ilvl="0">
      <w:lvlJc w:val="left"/>
      <w:lvlText w:val="%1."/>
      <w:numFmt w:val="decimal"/>
      <w:start w:val="11"/>
    </w:lvl>
    <w:lvl w:ilvl="1">
      <w:lvlJc w:val="left"/>
      <w:lvlText w:val="-"/>
      <w:numFmt w:val="bullet"/>
      <w:start w:val="1"/>
    </w:lvl>
  </w:abstractNum>
  <w:abstractNum w:abstractNumId="137">
    <w:nsid w:val="7AB49DAF"/>
    <w:multiLevelType w:val="hybridMultilevel"/>
    <w:lvl w:ilvl="0">
      <w:lvlJc w:val="left"/>
      <w:lvlText w:val="%1."/>
      <w:numFmt w:val="decimal"/>
      <w:start w:val="13"/>
    </w:lvl>
  </w:abstractNum>
  <w:abstractNum w:abstractNumId="138">
    <w:nsid w:val="759F82CD"/>
    <w:multiLevelType w:val="hybridMultilevel"/>
    <w:lvl w:ilvl="0">
      <w:lvlJc w:val="left"/>
      <w:lvlText w:val="%1."/>
      <w:numFmt w:val="decimal"/>
      <w:start w:val="17"/>
    </w:lvl>
  </w:abstractNum>
  <w:abstractNum w:abstractNumId="139">
    <w:nsid w:val="61E74EA3"/>
    <w:multiLevelType w:val="hybridMultilevel"/>
    <w:lvl w:ilvl="0">
      <w:lvlJc w:val="left"/>
      <w:lvlText w:val="%1."/>
      <w:numFmt w:val="decimal"/>
      <w:start w:val="1"/>
    </w:lvl>
  </w:abstractNum>
  <w:abstractNum w:abstractNumId="140">
    <w:nsid w:val="597B4D84"/>
    <w:multiLevelType w:val="hybridMultilevel"/>
    <w:lvl w:ilvl="0">
      <w:lvlJc w:val="left"/>
      <w:lvlText w:val="%1."/>
      <w:numFmt w:val="decimal"/>
      <w:start w:val="4"/>
    </w:lvl>
  </w:abstractNum>
  <w:abstractNum w:abstractNumId="141">
    <w:nsid w:val="F819E7F"/>
    <w:multiLevelType w:val="hybridMultilevel"/>
    <w:lvl w:ilvl="0">
      <w:lvlJc w:val="left"/>
      <w:lvlText w:val="%1."/>
      <w:numFmt w:val="decimal"/>
      <w:start w:val="5"/>
    </w:lvl>
  </w:abstractNum>
  <w:abstractNum w:abstractNumId="142">
    <w:nsid w:val="57C7D42D"/>
    <w:multiLevelType w:val="hybridMultilevel"/>
    <w:lvl w:ilvl="0">
      <w:lvlJc w:val="left"/>
      <w:lvlText w:val="%1."/>
      <w:numFmt w:val="decimal"/>
      <w:start w:val="6"/>
    </w:lvl>
  </w:abstractNum>
  <w:abstractNum w:abstractNumId="143">
    <w:nsid w:val="312167AD"/>
    <w:multiLevelType w:val="hybridMultilevel"/>
    <w:lvl w:ilvl="0">
      <w:lvlJc w:val="left"/>
      <w:lvlText w:val="%1."/>
      <w:numFmt w:val="decimal"/>
      <w:start w:val="2"/>
    </w:lvl>
  </w:abstractNum>
  <w:abstractNum w:abstractNumId="144">
    <w:nsid w:val="631B64D4"/>
    <w:multiLevelType w:val="hybridMultilevel"/>
    <w:lvl w:ilvl="0">
      <w:lvlJc w:val="left"/>
      <w:lvlText w:val="(%1)"/>
      <w:numFmt w:val="lowerLetter"/>
      <w:start w:val="1"/>
    </w:lvl>
  </w:abstractNum>
  <w:abstractNum w:abstractNumId="145">
    <w:nsid w:val="78B5E776"/>
    <w:multiLevelType w:val="hybridMultilevel"/>
    <w:lvl w:ilvl="0">
      <w:lvlJc w:val="left"/>
      <w:lvlText w:val="%1."/>
      <w:numFmt w:val="decimal"/>
      <w:start w:val="3"/>
    </w:lvl>
  </w:abstractNum>
  <w:abstractNum w:abstractNumId="146">
    <w:nsid w:val="75486E47"/>
    <w:multiLevelType w:val="hybridMultilevel"/>
    <w:lvl w:ilvl="0">
      <w:lvlJc w:val="left"/>
      <w:lvlText w:val="%1."/>
      <w:numFmt w:val="decimal"/>
      <w:start w:val="4"/>
    </w:lvl>
  </w:abstractNum>
  <w:abstractNum w:abstractNumId="147">
    <w:nsid w:val="6E534CDE"/>
    <w:multiLevelType w:val="hybridMultilevel"/>
    <w:lvl w:ilvl="0">
      <w:lvlJc w:val="left"/>
      <w:lvlText w:val="%1."/>
      <w:numFmt w:val="decimal"/>
      <w:start w:val="5"/>
    </w:lvl>
  </w:abstractNum>
  <w:abstractNum w:abstractNumId="148">
    <w:nsid w:val="1A0DDE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5"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jpe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297" Type="http://schemas.openxmlformats.org/officeDocument/2006/relationships/hyperlink" Target="http://www.sec.gov/Archives/edgar/data/1847986/000110465921048248/tm2112475d1_ex1-2.htm" TargetMode="External"/><Relationship Id="rId298" Type="http://schemas.openxmlformats.org/officeDocument/2006/relationships/hyperlink" Target="http://www.sec.gov/Archives/edgar/data/1847986/000110465921033384/tm218972d1_ex3-1.htm" TargetMode="External"/><Relationship Id="rId299" Type="http://schemas.openxmlformats.org/officeDocument/2006/relationships/hyperlink" Target="http://www.sec.gov/Archives/edgar/data/1847986/000110465921033384/tm218972d1_ex3-2.htm" TargetMode="External"/><Relationship Id="rId300" Type="http://schemas.openxmlformats.org/officeDocument/2006/relationships/hyperlink" Target="https://www.sec.gov/Archives/edgar/data/1847986/000110465921099104/tm2118460d8_ex3-3.htm" TargetMode="External"/><Relationship Id="rId301" Type="http://schemas.openxmlformats.org/officeDocument/2006/relationships/hyperlink" Target="http://www.sec.gov/Archives/edgar/data/1847986/000110465921033384/tm218972d1_ex3-4.htm" TargetMode="External"/><Relationship Id="rId302" Type="http://schemas.openxmlformats.org/officeDocument/2006/relationships/hyperlink" Target="http://www.sec.gov/Archives/edgar/data/1847986/000110465921048248/tm2112475d1_ex4-2.htm" TargetMode="External"/><Relationship Id="rId303" Type="http://schemas.openxmlformats.org/officeDocument/2006/relationships/hyperlink" Target="http://www.sec.gov/Archives/edgar/data/0001847986/000110465921091769/tm2118460d2_ex4-3.htm" TargetMode="External"/><Relationship Id="rId304" Type="http://schemas.openxmlformats.org/officeDocument/2006/relationships/hyperlink" Target="https://www.sec.gov/Archives/edgar/data/1847986/000110465921099104/tm2118460d8_ex10-2.htm" TargetMode="External"/><Relationship Id="rId306" Type="http://schemas.openxmlformats.org/officeDocument/2006/relationships/hyperlink" Target="http://www.sec.gov/Archives/edgar/data/1847986/000110465921048248/tm2112475d1_ex10-5.htm" TargetMode="External"/><Relationship Id="rId307" Type="http://schemas.openxmlformats.org/officeDocument/2006/relationships/hyperlink" Target="http://www.sec.gov/Archives/edgar/data/1847986/000110465921033384/tm218972d1_ex10-6.htm" TargetMode="External"/><Relationship Id="rId308" Type="http://schemas.openxmlformats.org/officeDocument/2006/relationships/hyperlink" Target="http://www.sec.gov/Archives/edgar/data/1847986/000110465921033384/tm218972d1_ex10-7.htm" TargetMode="External"/><Relationship Id="rId309" Type="http://schemas.openxmlformats.org/officeDocument/2006/relationships/hyperlink" Target="http://www.sec.gov/Archives/edgar/data/1847986/000110465921048248/tm2112475d1_ex10-8.htm" TargetMode="External"/><Relationship Id="rId310" Type="http://schemas.openxmlformats.org/officeDocument/2006/relationships/hyperlink" Target="https://www.sec.gov/Archives/edgar/data/1847986/000110465921099104/tm2118460d8_ex10-9.htm" TargetMode="External"/><Relationship Id="rId311" Type="http://schemas.openxmlformats.org/officeDocument/2006/relationships/hyperlink" Target="http://www.sec.gov/Archives/edgar/data/1847986/000110465921048248/tm2112475d1_ex14.htm" TargetMode="External"/><Relationship Id="rId312" Type="http://schemas.openxmlformats.org/officeDocument/2006/relationships/hyperlink" Target="http://www.sec.gov/Archives/edgar/data/1847986/000110465921033384/tm218972d1_s1.htm#POWEROFATTORNEY" TargetMode="External"/><Relationship Id="rId313" Type="http://schemas.openxmlformats.org/officeDocument/2006/relationships/hyperlink" Target="http://www.sec.gov/Archives/edgar/data/1847986/000110465921048248/tm2112475d1_ex99-1.htm" TargetMode="External"/><Relationship Id="rId314" Type="http://schemas.openxmlformats.org/officeDocument/2006/relationships/hyperlink" Target="http://www.sec.gov/Archives/edgar/data/1847986/000110465921048248/tm2112475d1_ex99-2.htm" TargetMode="External"/><Relationship Id="rId315" Type="http://schemas.openxmlformats.org/officeDocument/2006/relationships/hyperlink" Target="http://www.sec.gov/Archives/edgar/data/1847986/000110465921048248/tm2112475d1_ex99-3.htm" TargetMode="External"/><Relationship Id="rId316" Type="http://schemas.openxmlformats.org/officeDocument/2006/relationships/hyperlink" Target="http://www.sec.gov/Archives/edgar/data/1847986/000110465921048248/tm2112475d1_ex99-4.htm" TargetMode="External"/><Relationship Id="rId317" Type="http://schemas.openxmlformats.org/officeDocument/2006/relationships/hyperlink" Target="http://www.sec.gov/Archives/edgar/data/1847986/000110465921048248/tm2112475d1_ex99-5.htm" TargetMode="External"/><Relationship Id="rId318" Type="http://schemas.openxmlformats.org/officeDocument/2006/relationships/hyperlink" Target="http://www.sec.gov/Archives/edgar/data/1847986/000110465921048248/tm2112475d1_ex99-6.htm" TargetMode="External"/><Relationship Id="rId319" Type="http://schemas.openxmlformats.org/officeDocument/2006/relationships/hyperlink" Target="http://www.sec.gov/Archives/edgar/data/0001847986/000110465921091769/tm2118460d2_ex99-7.htm" TargetMode="External"/><Relationship Id="rId320" Type="http://schemas.openxmlformats.org/officeDocument/2006/relationships/hyperlink" Target="http://www.sec.gov/Archives/edgar/data/0001847986/000110465921091769/tm2118460d2_ex9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2021-08-05T17:45:31Z</dcterms:created>
  <dcterms:modified xsi:type="dcterms:W3CDTF">2021-08-05T17:45:31Z</dcterms:modified>
</cp:coreProperties>
</file>