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a.htm"/>
      <w:bookmarkStart w:id="1" w:name="ksform10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0101__20"/>
      <w:bookmarkEnd w:id="2"/>
      <w:r>
        <w:rPr>
          <w:rFonts w:ascii="Times New Roman;Times;Serif" w:hAnsi="Times New Roman;Times;Serif"/>
          <w:b/>
          <w:i w:val="false"/>
          <w:caps w:val="false"/>
          <w:smallCaps w:val="false"/>
          <w:sz w:val="36"/>
        </w:rPr>
        <w:t>10-K/A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1_edei--DocumentAnnualReport_c2023"/>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B_edei--CurrentFiscalYearEndDate_c"/>
      <w:bookmarkStart w:id="5" w:name="xdx_90B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6_edei--DocumentFiscalYearFocus_c2"/>
      <w:bookmarkEnd w:id="6"/>
      <w:r>
        <w:rPr>
          <w:rFonts w:ascii="Times New Roman;Times;Serif" w:hAnsi="Times New Roman;Times;Serif"/>
          <w:b/>
          <w:i w:val="false"/>
          <w:caps w:val="false"/>
          <w:smallCaps w:val="false"/>
          <w:sz w:val="20"/>
        </w:rPr>
        <w:t>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7" w:name="xdx_907_edei--DocumentTransitionReport_c"/>
            <w:bookmarkEnd w:id="7"/>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 to 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A_edei--EntityFileNumber_c20230101"/>
      <w:bookmarkEnd w:id="8"/>
      <w:r>
        <w:rPr>
          <w:rFonts w:ascii="Times New Roman;Times;Serif" w:hAnsi="Times New Roman;Times;Serif"/>
          <w:b/>
          <w:i w:val="false"/>
          <w:caps w:val="false"/>
          <w:smallCaps w:val="false"/>
          <w:sz w:val="20"/>
        </w:rPr>
        <w:t>001-40730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4_edei--EntityRegistrantName_c2023"/>
      <w:bookmarkEnd w:id="9"/>
      <w:r>
        <w:rPr>
          <w:rFonts w:ascii="Times New Roman;Times;Serif" w:hAnsi="Times New Roman;Times;Serif"/>
          <w:b/>
          <w:i w:val="false"/>
          <w:caps w:val="false"/>
          <w:smallCaps w:val="false"/>
          <w:sz w:val="36"/>
        </w:rPr>
        <w:t>DRAGONFLY ENERGY HOLDINGS CORP.</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275"/>
        <w:gridCol w:w="60"/>
        <w:gridCol w:w="1535"/>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IncorporationStateCo"/>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TaxIdentificationNum"/>
            <w:bookmarkEnd w:id="11"/>
            <w:r>
              <w:rPr>
                <w:rFonts w:ascii="Times New Roman;Times;Serif" w:hAnsi="Times New Roman;Times;Serif"/>
                <w:b/>
                <w:i w:val="false"/>
                <w:caps w:val="false"/>
                <w:smallCaps w:val="false"/>
                <w:sz w:val="20"/>
              </w:rPr>
              <w:t>85-1873463</w:t>
            </w:r>
          </w:p>
        </w:tc>
      </w:tr>
      <w:tr>
        <w:trPr/>
        <w:tc>
          <w:tcPr>
            <w:tcW w:w="32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AddressLine1_"/>
            <w:bookmarkEnd w:id="12"/>
            <w:r>
              <w:rPr>
                <w:rFonts w:ascii="Times New Roman;Times;Serif" w:hAnsi="Times New Roman;Times;Serif"/>
                <w:b/>
                <w:i w:val="false"/>
                <w:caps w:val="false"/>
                <w:smallCaps w:val="false"/>
                <w:sz w:val="20"/>
              </w:rPr>
              <w:t xml:space="preserve">1190 Trademark Drive, </w:t>
            </w:r>
            <w:bookmarkStart w:id="13" w:name="xdx_90E_edei--EntityAddressAddressLine2_"/>
            <w:bookmarkEnd w:id="13"/>
            <w:r>
              <w:rPr>
                <w:rFonts w:ascii="Times New Roman;Times;Serif" w:hAnsi="Times New Roman;Times;Serif"/>
                <w:b/>
                <w:i w:val="false"/>
                <w:caps w:val="false"/>
                <w:smallCaps w:val="false"/>
                <w:sz w:val="20"/>
              </w:rPr>
              <w:t>#108</w:t>
              <w:br/>
            </w:r>
            <w:bookmarkStart w:id="14" w:name="xdx_903_edei--EntityAddressCityOrTown_c2"/>
            <w:bookmarkEnd w:id="14"/>
            <w:r>
              <w:rPr>
                <w:rFonts w:ascii="Times New Roman;Times;Serif" w:hAnsi="Times New Roman;Times;Serif"/>
                <w:b/>
                <w:i w:val="false"/>
                <w:caps w:val="false"/>
                <w:smallCaps w:val="false"/>
                <w:sz w:val="20"/>
              </w:rPr>
              <w:t xml:space="preserve">Reno, </w:t>
            </w:r>
            <w:bookmarkStart w:id="15" w:name="xdx_909_edei--EntityAddressStateOrProvin"/>
            <w:bookmarkEnd w:id="1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1_edei--EntityAddressPostalZipCode"/>
            <w:bookmarkEnd w:id="16"/>
            <w:r>
              <w:rPr>
                <w:rFonts w:ascii="Times New Roman;Times;Serif" w:hAnsi="Times New Roman;Times;Serif"/>
                <w:b/>
                <w:i w:val="false"/>
                <w:caps w:val="false"/>
                <w:smallCaps w:val="false"/>
                <w:sz w:val="20"/>
              </w:rPr>
              <w:t>89521</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xdx_901_edei--CityAreaCode_c20230101__20"/>
      <w:bookmarkEnd w:id="17"/>
      <w:r>
        <w:rPr>
          <w:rFonts w:ascii="Times New Roman;Times;Serif" w:hAnsi="Times New Roman;Times;Serif"/>
          <w:b/>
          <w:i w:val="false"/>
          <w:caps w:val="false"/>
          <w:smallCaps w:val="false"/>
          <w:sz w:val="20"/>
        </w:rPr>
        <w:t xml:space="preserve">(775) </w:t>
      </w:r>
      <w:bookmarkStart w:id="18" w:name="xdx_904_edei--LocalPhoneNumber_c20230101"/>
      <w:bookmarkEnd w:id="18"/>
      <w:r>
        <w:rPr>
          <w:rFonts w:ascii="Times New Roman;Times;Serif" w:hAnsi="Times New Roman;Times;Serif"/>
          <w:b/>
          <w:i w:val="false"/>
          <w:caps w:val="false"/>
          <w:smallCaps w:val="false"/>
          <w:sz w:val="20"/>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77"/>
        <w:gridCol w:w="60"/>
        <w:gridCol w:w="1231"/>
        <w:gridCol w:w="60"/>
        <w:gridCol w:w="2577"/>
      </w:tblGrid>
      <w:tr>
        <w:trPr/>
        <w:tc>
          <w:tcPr>
            <w:tcW w:w="6277"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1"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7"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30101"/>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30101__2"/>
            <w:bookmarkEnd w:id="20"/>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9_edei--SecurityExchangeName_c2023"/>
            <w:bookmarkEnd w:id="21"/>
            <w:r>
              <w:rPr>
                <w:rFonts w:ascii="Times New Roman;Times;Serif" w:hAnsi="Times New Roman;Times;Serif"/>
                <w:b w:val="false"/>
                <w:i w:val="false"/>
                <w:caps w:val="false"/>
                <w:smallCaps w:val="false"/>
                <w:sz w:val="20"/>
              </w:rPr>
              <w:t>Nasdaq Global Market</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12bTitle_c20230101"/>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30101__2"/>
            <w:bookmarkEnd w:id="23"/>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9_edei--SecurityExchangeName_c2023"/>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D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6" w:name="xdx_904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9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8" w:name="xdx_90E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C_edei--EntityFilerCategory_c2023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center"/>
              <w:rPr>
                <w:caps w:val="false"/>
                <w:smallCaps w:val="false"/>
              </w:rPr>
            </w:pPr>
            <w:bookmarkStart w:id="30" w:name="xdx_900_edei--EntitySmallBusiness_c2023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center"/>
              <w:rPr>
                <w:caps w:val="false"/>
                <w:smallCaps w:val="false"/>
              </w:rPr>
            </w:pPr>
            <w:bookmarkStart w:id="31" w:name="xdx_900_edei--EntityEmergingGrowthCompan"/>
            <w:bookmarkEnd w:id="31"/>
            <w:r>
              <w:rPr>
                <w:caps w:val="false"/>
                <w:smallCaps w:val="false"/>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0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3" w:name="xdx_90C_edei--IcfrAuditorAttestationFlag"/>
      <w:bookmarkEnd w:id="33"/>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statements. </w:t>
      </w:r>
      <w:bookmarkStart w:id="34" w:name="xdx_901_edei--DocumentFinStmtErrorCorrec"/>
      <w:bookmarkEnd w:id="34"/>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bookmarkStart w:id="35" w:name="xdx_90A_edei--DocumentFinStmtRestatement"/>
      <w:bookmarkEnd w:id="35"/>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w:t>
      </w:r>
      <w:bookmarkStart w:id="36" w:name="xdx_90D_edei--EntityShellCompany_c202301"/>
      <w:bookmarkEnd w:id="36"/>
      <w:r>
        <w:rPr>
          <w:rFonts w:ascii="Times New Roman;Times;Serif" w:hAnsi="Times New Roman;Times;Serif"/>
          <w:b w:val="false"/>
          <w:i w:val="false"/>
          <w:caps w:val="false"/>
          <w:smallCaps w:val="false"/>
          <w:sz w:val="20"/>
        </w:rPr>
        <w:t>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stock held by non-affiliates of the Registrant on June 30, 2023, based on the closing price of $1.48 for shares of the registrant’s common stock as reported by the Nasdaq Global Market, was approximately $</w:t>
      </w:r>
      <w:bookmarkStart w:id="37" w:name="xdx_905_edei--EntityPublicFloat_iI_pn5n6"/>
      <w:bookmarkEnd w:id="37"/>
      <w:r>
        <w:rPr>
          <w:rFonts w:ascii="Times New Roman;Times;Serif" w:hAnsi="Times New Roman;Times;Serif"/>
          <w:b w:val="false"/>
          <w:i w:val="false"/>
          <w:caps w:val="false"/>
          <w:smallCaps w:val="false"/>
          <w:sz w:val="20"/>
        </w:rPr>
        <w:t>45.2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16, 2024, there were </w:t>
      </w:r>
      <w:bookmarkStart w:id="38" w:name="xdx_906_edei--EntityCommonStockSharesOut"/>
      <w:bookmarkEnd w:id="38"/>
      <w:r>
        <w:rPr>
          <w:rFonts w:ascii="Times New Roman;Times;Serif" w:hAnsi="Times New Roman;Times;Serif"/>
          <w:b w:val="false"/>
          <w:i w:val="false"/>
          <w:caps w:val="false"/>
          <w:smallCaps w:val="false"/>
          <w:sz w:val="20"/>
        </w:rPr>
        <w:t>60,263,710 shares of the registrant’s common stock, par value $0.0001 per share, issued and outstanding.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9" w:name="xdx_908_edei--DocumentsIncorporatedByRef"/>
      <w:bookmarkEnd w:id="39"/>
      <w:r>
        <w:rPr>
          <w:rFonts w:ascii="Times New Roman;Times;Serif" w:hAnsi="Times New Roman;Times;Serif"/>
          <w:b w:val="false"/>
          <w:i w:val="false"/>
          <w:caps w:val="false"/>
          <w:smallCaps w:val="false"/>
          <w:sz w:val="20"/>
        </w:rPr>
        <w:t>None.</w:t>
      </w:r>
    </w:p>
    <w:p>
      <w:pPr>
        <w:pStyle w:val="TextBody"/>
        <w:bidi w:val="0"/>
        <w:spacing w:before="0" w:after="0"/>
        <w:jc w:val="left"/>
        <w:rPr>
          <w:caps w:val="false"/>
          <w:smallCaps w:val="false"/>
        </w:rPr>
      </w:pPr>
      <w:r>
        <w:rPr>
          <w:caps w:val="false"/>
          <w:smallCaps w:val="false"/>
        </w:rPr>
        <w:t> </w:t>
      </w:r>
    </w:p>
    <w:tbl>
      <w:tblPr>
        <w:tblW w:w="4170" w:type="dxa"/>
        <w:jc w:val="left"/>
        <w:tblInd w:w="0" w:type="dxa"/>
        <w:tblLayout w:type="fixed"/>
        <w:tblCellMar>
          <w:top w:w="0" w:type="dxa"/>
          <w:left w:w="0" w:type="dxa"/>
          <w:bottom w:w="28" w:type="dxa"/>
          <w:right w:w="0" w:type="dxa"/>
        </w:tblCellMar>
      </w:tblPr>
      <w:tblGrid>
        <w:gridCol w:w="1205"/>
        <w:gridCol w:w="60"/>
        <w:gridCol w:w="1280"/>
        <w:gridCol w:w="60"/>
        <w:gridCol w:w="1565"/>
      </w:tblGrid>
      <w:tr>
        <w:trPr/>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Firm Id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Location:</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 w:name="xdx_90D_edei--AuditorFirmId_c20230101__2"/>
            <w:bookmarkEnd w:id="40"/>
            <w:r>
              <w:rPr>
                <w:rFonts w:ascii="Times New Roman;Times;Serif" w:hAnsi="Times New Roman;Times;Serif"/>
                <w:b w:val="false"/>
                <w:i w:val="false"/>
                <w:caps w:val="false"/>
                <w:smallCaps w:val="false"/>
                <w:sz w:val="20"/>
              </w:rPr>
              <w:t>688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pacing w:val="0"/>
                <w:sz w:val="20"/>
              </w:rPr>
            </w:pPr>
            <w:bookmarkStart w:id="41" w:name="xdx_904_edei--AuditorName_c20230101__202"/>
            <w:bookmarkEnd w:id="41"/>
            <w:r>
              <w:rPr>
                <w:rFonts w:ascii="Times New Roman;Times;Serif" w:hAnsi="Times New Roman;Times;Serif"/>
                <w:b w:val="false"/>
                <w:i w:val="false"/>
                <w:caps w:val="false"/>
                <w:smallCaps w:val="false"/>
                <w:spacing w:val="0"/>
                <w:sz w:val="20"/>
              </w:rPr>
              <w:t>Marcum LLP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2" w:name="xdx_90D_edei--AuditorLocation_c20230101_"/>
            <w:bookmarkEnd w:id="42"/>
            <w:r>
              <w:rPr>
                <w:rFonts w:ascii="Times New Roman;Times;Serif" w:hAnsi="Times New Roman;Times;Serif"/>
                <w:b w:val="false"/>
                <w:i w:val="false"/>
                <w:caps w:val="false"/>
                <w:smallCaps w:val="false"/>
                <w:sz w:val="20"/>
              </w:rPr>
              <w:t>New York, NY</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43" w:name="xdx_906_edei--AmendmentDescription_c2023"/>
      <w:bookmarkEnd w:id="43"/>
      <w:r>
        <w:rPr>
          <w:rFonts w:ascii="Times New Roman;Times;Serif" w:hAnsi="Times New Roman;Times;Serif"/>
          <w:b w:val="false"/>
          <w:i w:val="false"/>
          <w:caps w:val="false"/>
          <w:smallCaps w:val="false"/>
          <w:sz w:val="20"/>
        </w:rPr>
        <w:t>This Amendment No. 1 on Form 10-K/A (this “</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amends the Annual Report on Form 10-K for the fiscal year ended December 31, 2023 (the “</w:t>
      </w:r>
      <w:r>
        <w:rPr>
          <w:rFonts w:ascii="Times New Roman;Times;Serif" w:hAnsi="Times New Roman;Times;Serif"/>
          <w:b/>
          <w:i w:val="false"/>
          <w:caps w:val="false"/>
          <w:smallCaps w:val="false"/>
          <w:sz w:val="20"/>
        </w:rPr>
        <w:t>2023 Annual Report</w:t>
      </w:r>
      <w:r>
        <w:rPr>
          <w:rFonts w:ascii="Times New Roman;Times;Serif" w:hAnsi="Times New Roman;Times;Serif"/>
          <w:b w:val="false"/>
          <w:i w:val="false"/>
          <w:caps w:val="false"/>
          <w:smallCaps w:val="false"/>
          <w:sz w:val="20"/>
        </w:rPr>
        <w:t>”) of Dragonfly Energy Holdings Corp.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16, 2024. In this Amendment No. 1, unless the context indicates otherwise, the designations “Dragonfly,” the “Company,” “we,” “us” or “our” refer to Dragonfly Energy Holdings, Corp.</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solely to include the information required by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and Item 14 - “Principal Accounting Fees and Services” of Part III of Form 10-K. The reference on the cover page of the 2023 Annual Report to the incorporation by reference of portions of our definitive proxy statement into Part III of the 2023 Annual Report is hereby deleted. Items 10, 11, 12, 13 and 14 of Part III of the 2023 Annual Report are amended and restated in their entirety as set forth in this Amendment No. 1. In addition, pursuant to Rule 13a-14(a)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we are including with this Amendment No. 1 certain currently dated certifications. We are not including the certifications under Section 906 of the Sarbanes-Oxley Act of 2002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as no financial statements are being filed with this Amendment No. 1 and such certifications are not required to be filed.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other amendments are being made to the Annual Report. This Amendment No. 1 does not reflect events occurring after the April 16, 2024 filing of the 2023 Annual Report or modify or update the disclosure contained in the 2023 Annual Report in any way other than as required to reflect the amendments discussed above and reflected below. Accordingly, this Amendment No. 1 should be read in conjunction with the 2023 Annual Report and our other filings with the SEC.</w:t>
      </w:r>
    </w:p>
    <w:p>
      <w:pPr>
        <w:pStyle w:val="TextBody"/>
        <w:shd w:fill="FFFFFF" w:val="clear"/>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jc w:val="center"/>
        <w:rPr>
          <w:caps w:val="false"/>
          <w:smallCaps w:val="false"/>
        </w:rPr>
      </w:pPr>
      <w:r>
        <w:rPr>
          <w:caps w:val="false"/>
          <w:smallCaps w:val="false"/>
        </w:rPr>
        <w:t> </w:t>
      </w:r>
    </w:p>
    <w:tbl>
      <w:tblPr>
        <w:tblW w:w="9435" w:type="dxa"/>
        <w:jc w:val="left"/>
        <w:tblInd w:w="0" w:type="dxa"/>
        <w:shd w:fill="FFFFFF" w:val="clear"/>
        <w:tblLayout w:type="fixed"/>
        <w:tblCellMar>
          <w:top w:w="0" w:type="dxa"/>
          <w:left w:w="0" w:type="dxa"/>
          <w:bottom w:w="0" w:type="dxa"/>
          <w:right w:w="0" w:type="dxa"/>
        </w:tblCellMar>
      </w:tblPr>
      <w:tblGrid>
        <w:gridCol w:w="695"/>
        <w:gridCol w:w="8165"/>
        <w:gridCol w:w="575"/>
      </w:tblGrid>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i w:val="false"/>
                  <w:caps w:val="false"/>
                  <w:smallCaps w:val="false"/>
                  <w:sz w:val="20"/>
                  <w:u w:val="single"/>
                </w:rPr>
                <w:t>PART III</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6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u w:val="single"/>
                </w:rPr>
                <w:t>Directors, Executive Officers and Corporate Governance</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u w:val="single"/>
                </w:rPr>
                <w:t>Executive Compensation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65" w:type="dxa"/>
            <w:tcBorders/>
            <w:shd w:fill="CCEEFF" w:val="clear"/>
            <w:vAlign w:val="center"/>
          </w:tcPr>
          <w:p>
            <w:pPr>
              <w:pStyle w:val="TableContents"/>
              <w:bidi w:val="0"/>
              <w:spacing w:before="0" w:after="283"/>
              <w:jc w:val="left"/>
              <w:rPr/>
            </w:pPr>
            <w:hyperlink w:anchor="ann_001">
              <w:r>
                <w:rPr>
                  <w:rStyle w:val="InternetLink"/>
                  <w:rFonts w:ascii="Times New Roman;Times;Serif" w:hAnsi="Times New Roman;Times;Serif"/>
                  <w:b w:val="false"/>
                  <w:i w:val="false"/>
                  <w:caps w:val="false"/>
                  <w:smallCaps w:val="false"/>
                  <w:sz w:val="20"/>
                  <w:u w:val="single"/>
                </w:rPr>
                <w:t>Security Ownership of Certain Beneficial Owners and Management and Related Stockholder Matters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65" w:type="dxa"/>
            <w:tcBorders/>
            <w:shd w:fill="CCEEFF" w:val="clear"/>
            <w:vAlign w:val="center"/>
          </w:tcPr>
          <w:p>
            <w:pPr>
              <w:pStyle w:val="TableContents"/>
              <w:bidi w:val="0"/>
              <w:spacing w:before="0" w:after="283"/>
              <w:jc w:val="left"/>
              <w:rPr/>
            </w:pPr>
            <w:hyperlink w:anchor="ann_002">
              <w:r>
                <w:rPr>
                  <w:rStyle w:val="InternetLink"/>
                  <w:rFonts w:ascii="Times New Roman;Times;Serif" w:hAnsi="Times New Roman;Times;Serif"/>
                  <w:b w:val="false"/>
                  <w:i w:val="false"/>
                  <w:caps w:val="false"/>
                  <w:smallCaps w:val="false"/>
                  <w:sz w:val="20"/>
                  <w:u w:val="single"/>
                </w:rPr>
                <w:t>Certain Relationships and Related Transactions, and Director Independence</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65" w:type="dxa"/>
            <w:tcBorders/>
            <w:shd w:fill="CCEEFF" w:val="clear"/>
            <w:vAlign w:val="center"/>
          </w:tcPr>
          <w:p>
            <w:pPr>
              <w:pStyle w:val="TableContents"/>
              <w:bidi w:val="0"/>
              <w:spacing w:before="0" w:after="283"/>
              <w:jc w:val="left"/>
              <w:rPr/>
            </w:pPr>
            <w:hyperlink w:anchor="ann_003">
              <w:r>
                <w:rPr>
                  <w:rStyle w:val="InternetLink"/>
                  <w:rFonts w:ascii="Times New Roman;Times;Serif" w:hAnsi="Times New Roman;Times;Serif"/>
                  <w:b w:val="false"/>
                  <w:i w:val="false"/>
                  <w:caps w:val="false"/>
                  <w:smallCaps w:val="false"/>
                  <w:sz w:val="20"/>
                  <w:u w:val="single"/>
                </w:rPr>
                <w:t>Principal Accounting Fees and Services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center"/>
              <w:rPr/>
            </w:pPr>
            <w:hyperlink w:anchor="ann_004">
              <w:r>
                <w:rPr>
                  <w:rStyle w:val="InternetLink"/>
                  <w:rFonts w:ascii="Times New Roman;Times;Serif" w:hAnsi="Times New Roman;Times;Serif"/>
                  <w:b/>
                  <w:i w:val="false"/>
                  <w:caps w:val="false"/>
                  <w:smallCaps w:val="false"/>
                  <w:sz w:val="20"/>
                  <w:u w:val="single"/>
                </w:rPr>
                <w:t>PART IV</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65" w:type="dxa"/>
            <w:tcBorders/>
            <w:shd w:fill="CCEEFF" w:val="clear"/>
            <w:vAlign w:val="center"/>
          </w:tcPr>
          <w:p>
            <w:pPr>
              <w:pStyle w:val="TableContents"/>
              <w:bidi w:val="0"/>
              <w:spacing w:before="0" w:after="283"/>
              <w:jc w:val="left"/>
              <w:rPr/>
            </w:pPr>
            <w:hyperlink w:anchor="ann_005">
              <w:r>
                <w:rPr>
                  <w:rStyle w:val="InternetLink"/>
                  <w:rFonts w:ascii="Times New Roman;Times;Serif" w:hAnsi="Times New Roman;Times;Serif"/>
                  <w:b w:val="false"/>
                  <w:i w:val="false"/>
                  <w:caps w:val="false"/>
                  <w:smallCaps w:val="false"/>
                  <w:sz w:val="20"/>
                  <w:u w:val="single"/>
                </w:rPr>
                <w:t>Exhibits and Financial Statement Schedules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4" w:name="a_001"/>
      <w:bookmarkEnd w:id="44"/>
      <w:r>
        <w:rPr>
          <w:rFonts w:ascii="Times New Roman;Times;Serif" w:hAnsi="Times New Roman;Times;Serif"/>
          <w:b/>
          <w:i w:val="false"/>
          <w:caps w:val="false"/>
          <w:smallCaps w:val="false"/>
          <w:sz w:val="20"/>
        </w:rPr>
        <w:t>Part III</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 </w:t>
      </w:r>
      <w:bookmarkStart w:id="45" w:name="a_002"/>
      <w:bookmarkEnd w:id="45"/>
      <w:r>
        <w:rPr>
          <w:rFonts w:ascii="Times New Roman;Times;Serif" w:hAnsi="Times New Roman;Times;Serif"/>
          <w:b/>
          <w:i w:val="false"/>
          <w:caps/>
          <w:sz w:val="20"/>
        </w:rPr>
        <w:t>Directors, Executive Officers and Corporate Governance.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members of 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with their respective ages as of April 16, 2024:</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45"/>
        <w:gridCol w:w="60"/>
        <w:gridCol w:w="350"/>
        <w:gridCol w:w="60"/>
        <w:gridCol w:w="7590"/>
      </w:tblGrid>
      <w:tr>
        <w:trPr/>
        <w:tc>
          <w:tcPr>
            <w:tcW w:w="214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 of the Board</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Revenue Officer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since October 2022. Dr. Phares is the co-founder of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Wade Seaburg</w:t>
      </w:r>
      <w:r>
        <w:rPr>
          <w:rFonts w:ascii="Times New Roman;Times;Serif" w:hAnsi="Times New Roman;Times;Serif"/>
          <w:b w:val="false"/>
          <w:i w:val="false"/>
          <w:caps w:val="false"/>
          <w:smallCaps w:val="false"/>
          <w:sz w:val="20"/>
        </w:rPr>
        <w:t xml:space="preserve"> has served as our Chief Revenue Officer since November 2022. Prior to the merger and the other transactions contemplated by that certain Agreement and Plan of Merger, dated May 15, 2022, as amended on July 12, 2022, by and among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Merger Sub and Dragonfly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Times;Serif" w:hAnsi="Times New Roman;Times;Serif"/>
          <w:b/>
          <w:i w:val="false"/>
          <w:caps w:val="false"/>
          <w:smallCaps w:val="false"/>
          <w:sz w:val="20"/>
        </w:rPr>
        <w:t>WESCO</w:t>
      </w:r>
      <w:r>
        <w:rPr>
          <w:rFonts w:ascii="Times New Roman;Times;Serif" w:hAnsi="Times New Roman;Times;Serif"/>
          <w:b w:val="false"/>
          <w:i w:val="false"/>
          <w:caps w:val="false"/>
          <w:smallCaps w:val="false"/>
          <w:sz w:val="20"/>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Tyler Bourns</w:t>
      </w:r>
      <w:r>
        <w:rPr>
          <w:rFonts w:ascii="Times New Roman;Times;Serif" w:hAnsi="Times New Roman;Times;Serif"/>
          <w:b w:val="false"/>
          <w:i w:val="false"/>
          <w:caps w:val="false"/>
          <w:smallCaps w:val="false"/>
          <w:sz w:val="20"/>
        </w:rPr>
        <w:t xml:space="preserve"> has served as our Chief Marketing Officer since November 2022. Prior to the Business Combination, Mr. Bourns 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Luisa Ingargiola </w:t>
      </w:r>
      <w:r>
        <w:rPr>
          <w:rFonts w:ascii="Times New Roman;Times;Serif" w:hAnsi="Times New Roman;Times;Serif"/>
          <w:b w:val="false"/>
          <w:i w:val="false"/>
          <w:caps w:val="false"/>
          <w:smallCaps w:val="false"/>
          <w:sz w:val="20"/>
        </w:rPr>
        <w:t>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and as Audit Committee Chair for Electrameccanica Vehicles Corp. (Nasdaq: SOLO) (“</w:t>
      </w:r>
      <w:r>
        <w:rPr>
          <w:rFonts w:ascii="Times New Roman;Times;Serif" w:hAnsi="Times New Roman;Times;Serif"/>
          <w:b/>
          <w:i w:val="false"/>
          <w:caps w:val="false"/>
          <w:smallCaps w:val="false"/>
          <w:sz w:val="20"/>
        </w:rPr>
        <w:t>Electrameccanica</w:t>
      </w:r>
      <w:r>
        <w:rPr>
          <w:rFonts w:ascii="Times New Roman;Times;Serif" w:hAnsi="Times New Roman;Times;Serif"/>
          <w:b w:val="false"/>
          <w:i w:val="false"/>
          <w:caps w:val="false"/>
          <w:smallCaps w:val="false"/>
          <w:sz w:val="20"/>
        </w:rPr>
        <w:t>”) since March 2018 to March 2024, and following the sale of Electrameccanica to XOS, Inc. (“</w:t>
      </w:r>
      <w:r>
        <w:rPr>
          <w:rFonts w:ascii="Times New Roman;Times;Serif" w:hAnsi="Times New Roman;Times;Serif"/>
          <w:b/>
          <w:i w:val="false"/>
          <w:caps w:val="false"/>
          <w:smallCaps w:val="false"/>
          <w:sz w:val="20"/>
        </w:rPr>
        <w:t>XOS</w:t>
      </w:r>
      <w:r>
        <w:rPr>
          <w:rFonts w:ascii="Times New Roman;Times;Serif" w:hAnsi="Times New Roman;Times;Serif"/>
          <w:b w:val="false"/>
          <w:i w:val="false"/>
          <w:caps w:val="false"/>
          <w:smallCaps w:val="false"/>
          <w:sz w:val="20"/>
        </w:rPr>
        <w:t>”) in March 2024, commenced as a director of XOS,, as a member of the board and Audit Committee Chair for BioCorRx Inc. (OTC: BICX) since April 2018, and as a member of the board and Audit Committee Chair of Vision Marine Technologies, Inc. (NASDAQ: VMAR) since December 2020. Ms. Ingargiola holds a M.B.A. in Health Administration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Rick Parod </w:t>
      </w:r>
      <w:r>
        <w:rPr>
          <w:rFonts w:ascii="Times New Roman;Times;Serif" w:hAnsi="Times New Roman;Times;Serif"/>
          <w:b w:val="false"/>
          <w:i w:val="false"/>
          <w:caps w:val="false"/>
          <w:smallCaps w:val="false"/>
          <w:sz w:val="20"/>
        </w:rPr>
        <w:t>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Karina Montilla Edmonds, Ph.D. </w:t>
      </w:r>
      <w:r>
        <w:rPr>
          <w:rFonts w:ascii="Times New Roman;Times;Serif" w:hAnsi="Times New Roman;Times;Serif"/>
          <w:b w:val="false"/>
          <w:i w:val="false"/>
          <w:caps w:val="false"/>
          <w:smallCaps w:val="false"/>
          <w:sz w:val="20"/>
        </w:rPr>
        <w:t>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Brian Nelson </w:t>
      </w:r>
      <w:r>
        <w:rPr>
          <w:rFonts w:ascii="Times New Roman;Times;Serif" w:hAnsi="Times New Roman;Times;Serif"/>
          <w:b w:val="false"/>
          <w:i w:val="false"/>
          <w:caps w:val="false"/>
          <w:smallCaps w:val="false"/>
          <w:sz w:val="20"/>
        </w:rPr>
        <w:t>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Jonathan Bellows </w:t>
      </w:r>
      <w:r>
        <w:rPr>
          <w:rFonts w:ascii="Times New Roman;Times;Serif" w:hAnsi="Times New Roman;Times;Serif"/>
          <w:b w:val="false"/>
          <w:i w:val="false"/>
          <w:caps w:val="false"/>
          <w:smallCaps w:val="false"/>
          <w:sz w:val="20"/>
        </w:rPr>
        <w:t>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Boyle</w:t>
      </w:r>
      <w:r>
        <w:rPr>
          <w:rFonts w:ascii="Times New Roman;Times;Serif" w:hAnsi="Times New Roman;Times;Serif"/>
          <w:b w:val="false"/>
          <w:i w:val="false"/>
          <w:caps w:val="false"/>
          <w:smallCaps w:val="false"/>
          <w:sz w:val="20"/>
        </w:rPr>
        <w:t xml:space="preserve"> 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Times;Serif" w:hAnsi="Times New Roman;Times;Serif"/>
          <w:b/>
          <w:i w:val="false"/>
          <w:caps w:val="false"/>
          <w:smallCaps w:val="false"/>
          <w:sz w:val="20"/>
        </w:rPr>
        <w:t>S.A.C.</w:t>
      </w:r>
      <w:r>
        <w:rPr>
          <w:rFonts w:ascii="Times New Roman;Times;Serif" w:hAnsi="Times New Roman;Times;Serif"/>
          <w:b w:val="false"/>
          <w:i w:val="false"/>
          <w:caps w:val="false"/>
          <w:smallCaps w:val="false"/>
          <w:sz w:val="20"/>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Times;Serif" w:hAnsi="Times New Roman;Times;Serif"/>
          <w:b/>
          <w:i w:val="false"/>
          <w:caps w:val="false"/>
          <w:smallCaps w:val="false"/>
          <w:sz w:val="20"/>
        </w:rPr>
        <w:t>IISS</w:t>
      </w:r>
      <w:r>
        <w:rPr>
          <w:rFonts w:ascii="Times New Roman;Times;Serif" w:hAnsi="Times New Roman;Times;Serif"/>
          <w:b w:val="false"/>
          <w:i w:val="false"/>
          <w:caps w:val="false"/>
          <w:smallCaps w:val="false"/>
          <w:sz w:val="20"/>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seven directors. Our directors each serve staggered three-year terms with one class being elected at each year’s annual meeting of stockholders,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2026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rPr>
        <w:t>https://dragonflyenergy.com/.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persons who own more than 10% of a registered class of our securities to file with the SEC initial reports of ownership and reports of changes in ownership of common stock and other equity securities of the Company. Directors, executive officers and greater than 10% stockholders are required by SEC regulation to furnish us with copies of all Section 16(a) reports they file. To our knowledge, based solely on the review of the copies of these forms furnished to us and representations that no other reports were required, we believe that all forms required to be filed under Section 16 of the Exchange Act for the year ended December 31, 2023 were filed timely, except for the following: we filed a Form 4 for Karina Edmonds on August 30, 2023 to report her purchases of common stock on October 25, 2022 and February 23, 2023.</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6" w:name="a_003"/>
      <w:bookmarkEnd w:id="46"/>
      <w:r>
        <w:rPr>
          <w:rFonts w:ascii="Times New Roman;Times;Serif" w:hAnsi="Times New Roman;Times;Serif"/>
          <w:b/>
          <w:i w:val="false"/>
          <w:caps w:val="false"/>
          <w:smallCaps w:val="false"/>
          <w:sz w:val="20"/>
        </w:rPr>
        <w:t>ITEM 11. EXECUTIVE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2023, the two most highly-compensated executive officers (other than the Chief Executive Officer) who were serving as executive officers during the fiscal years ended December 31, 2023 and December 31, 2022, and up to two additional individuals for whom disclosure would have been provided but for the fact that such individuals were not serving as an executive officer as of December 31, 2023 for services rendered in all capacities to us for the fiscal year ended December 31, 2023. These individuals are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for fiscal 2023.</w:t>
      </w:r>
    </w:p>
    <w:p>
      <w:pPr>
        <w:pStyle w:val="TextBody"/>
        <w:bidi w:val="0"/>
        <w:spacing w:before="0" w:after="0"/>
        <w:jc w:val="both"/>
        <w:rPr>
          <w:caps w:val="false"/>
          <w:smallCaps w:val="false"/>
        </w:rPr>
      </w:pPr>
      <w:r>
        <w:rPr>
          <w:caps w:val="false"/>
          <w:smallCaps w:val="false"/>
        </w:rPr>
        <w:t> </w:t>
      </w:r>
    </w:p>
    <w:tbl>
      <w:tblPr>
        <w:tblW w:w="10745" w:type="dxa"/>
        <w:jc w:val="left"/>
        <w:tblInd w:w="0" w:type="dxa"/>
        <w:tblLayout w:type="fixed"/>
        <w:tblCellMar>
          <w:top w:w="0" w:type="dxa"/>
          <w:left w:w="0" w:type="dxa"/>
          <w:bottom w:w="0" w:type="dxa"/>
          <w:right w:w="0" w:type="dxa"/>
        </w:tblCellMar>
      </w:tblPr>
      <w:tblGrid>
        <w:gridCol w:w="890"/>
        <w:gridCol w:w="60"/>
        <w:gridCol w:w="440"/>
        <w:gridCol w:w="60"/>
        <w:gridCol w:w="60"/>
        <w:gridCol w:w="695"/>
        <w:gridCol w:w="60"/>
        <w:gridCol w:w="60"/>
        <w:gridCol w:w="60"/>
        <w:gridCol w:w="695"/>
        <w:gridCol w:w="60"/>
        <w:gridCol w:w="60"/>
        <w:gridCol w:w="60"/>
        <w:gridCol w:w="845"/>
        <w:gridCol w:w="290"/>
        <w:gridCol w:w="60"/>
        <w:gridCol w:w="124"/>
        <w:gridCol w:w="541"/>
        <w:gridCol w:w="60"/>
        <w:gridCol w:w="60"/>
        <w:gridCol w:w="231"/>
        <w:gridCol w:w="1004"/>
        <w:gridCol w:w="290"/>
        <w:gridCol w:w="60"/>
        <w:gridCol w:w="230"/>
        <w:gridCol w:w="1005"/>
        <w:gridCol w:w="60"/>
        <w:gridCol w:w="60"/>
        <w:gridCol w:w="98"/>
        <w:gridCol w:w="1137"/>
        <w:gridCol w:w="185"/>
        <w:gridCol w:w="60"/>
        <w:gridCol w:w="60"/>
        <w:gridCol w:w="950"/>
        <w:gridCol w:w="75"/>
      </w:tblGrid>
      <w:tr>
        <w:trPr/>
        <w:tc>
          <w:tcPr>
            <w:tcW w:w="8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255,333</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Interim Chief Financial Officer, President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1,531,545</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3,019,7524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615,891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Operating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598,462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157,693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1,411,742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81,666</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Revenue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489,978</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1,052,093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39,333</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Marketing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235,995</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493,495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 (10)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107,667</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Senior Vice President, Operations, Former Chief Financial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645,998</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1,742,574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301"/>
        <w:gridCol w:w="9829"/>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2023 and December 31, 2022.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years ended December 31, 2023 and December 31, 2022 under the 2022 Plan (as defined below)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the 2023 Annual Report for a discussion of the relevant assumptions used in calculating these amounts.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the fiscal years ended December 31, 2023 and December 31, 2022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the 2023 Annual Report for a discussion of the relevant assumptions used in calculating these amounts.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Dr. Phares received a contingent cash award in the amount of $510,667 for services performed in December 31, 2023, which will not be paid out to Dr. Phares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comprises of payments made to Mr. Nichols under his Separation Agreement (as defined below) and the transfer of the title of a Company van during the year ended December 31, 2023.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comprises of payments made to Mr. Nichols under his Separation Agreement during the year ended December 31, 2022.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Seaburg received a contingent cash award in the amount of $163,333 for services performed in December 31, 2023, which will not be paid out to Mr. Seaburg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Bourns received a contingent cash award in the amount of $78,668 for services performed in December 31, 2023, which will not be paid out to Mr. Bourns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239,259 RSUs were forfeited.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Marchetti received a contingent cash award in the amount of $215,333.33 for services performed in December 31, 2023, which was not to be paid out to Mr. Marchetti until we had achieved a minimum cash balance of $30,000,000, subject to his continued employment on the date of payment. As a result of the termination of Mr. Marchetti’s employment, his contingent cash award was forfeited.</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 Employment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On November 7, 2022, we entered into an employment agreement with each of Mr. Seaburg and Mr. Bourns.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him providing a release of claims to us and his continued compliance with the restrictive covenants in favor of us in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with Mr. Nichols that became effective and fully irrevocable on November 2, 2022. Pursuant to the Separation Agreement, Mr. Nichols received a cash payment of $100,000 in one installment in December 2022 and received a cash payment of $1,000,000 in 24 monthly installments commencing in December 2022. Mr. Nichols’ outstanding equity awards granted by us fully vested and, in the case of options, was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we entered into amendments to the employment agreements with Dr. Phares, Mr. Marchetti, Mr. Seaburg and Mr. Bourns to amend the terms of their annual equity compensation (the “</w:t>
      </w:r>
      <w:r>
        <w:rPr>
          <w:rFonts w:ascii="Times New Roman;Times;Serif" w:hAnsi="Times New Roman;Times;Serif"/>
          <w:b/>
          <w:i w:val="false"/>
          <w:caps w:val="false"/>
          <w:smallCaps w:val="false"/>
          <w:sz w:val="20"/>
        </w:rPr>
        <w:t>Amended Employee Agreements</w:t>
      </w:r>
      <w:r>
        <w:rPr>
          <w:rFonts w:ascii="Times New Roman;Times;Serif" w:hAnsi="Times New Roman;Times;Serif"/>
          <w:b w:val="false"/>
          <w:i w:val="false"/>
          <w:caps w:val="false"/>
          <w:smallCaps w:val="false"/>
          <w:sz w:val="20"/>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Mr. Marchetti’s employment with us as our Senior Vice President, Operations, was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2023, including the vesting dates for the portions of these awards that had not vested as of that date. The NEOs did not hold any other outstanding equity awards as of that date.</w:t>
      </w:r>
    </w:p>
    <w:p>
      <w:pPr>
        <w:pStyle w:val="TextBody"/>
        <w:bidi w:val="0"/>
        <w:spacing w:before="0" w:after="0"/>
        <w:ind w:left="0" w:right="0" w:firstLine="720"/>
        <w:jc w:val="both"/>
        <w:rPr>
          <w:caps w:val="false"/>
          <w:smallCaps w:val="false"/>
        </w:rPr>
      </w:pPr>
      <w:r>
        <w:rPr>
          <w:caps w:val="false"/>
          <w:smallCaps w:val="false"/>
        </w:rPr>
        <w:t> </w:t>
      </w:r>
    </w:p>
    <w:tbl>
      <w:tblPr>
        <w:tblW w:w="8631" w:type="dxa"/>
        <w:jc w:val="left"/>
        <w:tblInd w:w="0" w:type="dxa"/>
        <w:tblLayout w:type="fixed"/>
        <w:tblCellMar>
          <w:top w:w="0" w:type="dxa"/>
          <w:left w:w="0" w:type="dxa"/>
          <w:bottom w:w="0" w:type="dxa"/>
          <w:right w:w="0" w:type="dxa"/>
        </w:tblCellMar>
      </w:tblPr>
      <w:tblGrid>
        <w:gridCol w:w="1655"/>
        <w:gridCol w:w="60"/>
        <w:gridCol w:w="99"/>
        <w:gridCol w:w="1166"/>
        <w:gridCol w:w="290"/>
        <w:gridCol w:w="60"/>
        <w:gridCol w:w="113"/>
        <w:gridCol w:w="1332"/>
        <w:gridCol w:w="60"/>
        <w:gridCol w:w="60"/>
        <w:gridCol w:w="266"/>
        <w:gridCol w:w="1163"/>
        <w:gridCol w:w="60"/>
        <w:gridCol w:w="60"/>
        <w:gridCol w:w="105"/>
        <w:gridCol w:w="770"/>
        <w:gridCol w:w="60"/>
        <w:gridCol w:w="60"/>
        <w:gridCol w:w="92"/>
        <w:gridCol w:w="1025"/>
        <w:gridCol w:w="75"/>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4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Number of</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Securities</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Securities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Securities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Underlying</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Underlying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Underlying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Unexercised</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Unexercised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Unexercised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vAlign w:val="center"/>
          </w:tcPr>
          <w:p>
            <w:pPr>
              <w:pStyle w:val="TableContents"/>
              <w:bidi w:val="0"/>
              <w:spacing w:before="0" w:after="283"/>
              <w:jc w:val="center"/>
              <w:rPr>
                <w:b/>
              </w:rPr>
            </w:pPr>
            <w:r>
              <w:rPr>
                <w:b/>
              </w:rPr>
              <w:t>Option</w:t>
            </w:r>
          </w:p>
        </w:tc>
        <w:tc>
          <w:tcPr>
            <w:tcW w:w="75"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Options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vAlign w:val="center"/>
          </w:tcPr>
          <w:p>
            <w:pPr>
              <w:pStyle w:val="TableContents"/>
              <w:bidi w:val="0"/>
              <w:spacing w:before="0" w:after="283"/>
              <w:jc w:val="center"/>
              <w:rPr>
                <w:b/>
              </w:rPr>
            </w:pPr>
            <w:r>
              <w:rPr>
                <w:b/>
              </w:rPr>
              <w:t>Unearned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center"/>
              <w:rPr/>
            </w:pPr>
            <w:r>
              <w:rPr/>
              <w:t> </w:t>
            </w:r>
          </w:p>
        </w:tc>
      </w:tr>
      <w:tr>
        <w:trPr/>
        <w:tc>
          <w:tcPr>
            <w:tcW w:w="165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Dr. Denis Phares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177,316</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12/5/2029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John Marchetti</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132,995</w:t>
            </w:r>
          </w:p>
        </w:tc>
        <w:tc>
          <w:tcPr>
            <w:tcW w:w="290" w:type="dxa"/>
            <w:tcBorders/>
            <w:shd w:fill="FFFFFF" w:val="clear"/>
            <w:vAlign w:val="center"/>
          </w:tcPr>
          <w:p>
            <w:pPr>
              <w:pStyle w:val="TableContents"/>
              <w:bidi w:val="0"/>
              <w:spacing w:before="0" w:after="283"/>
              <w:jc w:val="left"/>
              <w:rPr/>
            </w:pPr>
            <w:r>
              <w:rPr/>
              <w:t>(1)</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103,423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09/13/2031</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Wade Seaburg</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7,399</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06/09/2030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3,965</w:t>
            </w:r>
          </w:p>
        </w:tc>
        <w:tc>
          <w:tcPr>
            <w:tcW w:w="290"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2,443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10/19/2030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51,716</w:t>
            </w:r>
          </w:p>
        </w:tc>
        <w:tc>
          <w:tcPr>
            <w:tcW w:w="290" w:type="dxa"/>
            <w:tcBorders/>
            <w:shd w:fill="CCEEFF" w:val="clear"/>
            <w:vAlign w:val="center"/>
          </w:tcPr>
          <w:p>
            <w:pPr>
              <w:pStyle w:val="TableContents"/>
              <w:bidi w:val="0"/>
              <w:spacing w:before="0" w:after="283"/>
              <w:jc w:val="left"/>
              <w:rPr/>
            </w:pPr>
            <w:r>
              <w:rPr/>
              <w:t>(3)</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36,940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08/04/2031</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13,918</w:t>
            </w:r>
          </w:p>
        </w:tc>
        <w:tc>
          <w:tcPr>
            <w:tcW w:w="290" w:type="dxa"/>
            <w:tcBorders/>
            <w:shd w:fill="FFFFFF" w:val="clear"/>
            <w:vAlign w:val="center"/>
          </w:tcPr>
          <w:p>
            <w:pPr>
              <w:pStyle w:val="TableContents"/>
              <w:bidi w:val="0"/>
              <w:spacing w:before="0" w:after="283"/>
              <w:jc w:val="left"/>
              <w:rPr/>
            </w:pPr>
            <w:r>
              <w:rPr/>
              <w:t>(4)</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16,989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12/06/2031</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4,555</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12/06/2031</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Tyler Bourns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27,716</w:t>
            </w:r>
          </w:p>
        </w:tc>
        <w:tc>
          <w:tcPr>
            <w:tcW w:w="290" w:type="dxa"/>
            <w:tcBorders/>
            <w:shd w:fill="FFFFFF" w:val="clear"/>
            <w:vAlign w:val="center"/>
          </w:tcPr>
          <w:p>
            <w:pPr>
              <w:pStyle w:val="TableContents"/>
              <w:bidi w:val="0"/>
              <w:spacing w:before="0" w:after="283"/>
              <w:jc w:val="left"/>
              <w:rPr/>
            </w:pPr>
            <w:r>
              <w:rPr/>
              <w:t>(5)</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25,478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12/06/2031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September 10, 2022, with the remaining shares vesting in equal monthly installments over a period of 36 months commencing on October 23641810, 2022. Mr. Marchetti’s employment with us ended on April 19, 2024. As a result, Mr. Marchetti’s vested options were terminated and his unvested options were forfeited on April 19,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October 14, 2021, with the remaining shares vesting in equal monthly installments over a period of 36 months commencing on November 14, 2021.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August 4, 2022, with the remaining shares vesting in equal monthly installments over a period of 36 months commencing on September 4, 2022.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December 6, 2021, with the remaining shares vesting in equal monthly installments over a period of 36 months commencing on January 6, 2022.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November 23, 2022, with the remaining shares vesting in equal monthly installments over a period of 36 months commencing on December 23, 2022. </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2023, on April 12, 2024, Dr. Phares was granted 567,407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239,259 RSUs, Mr. Seaburg was granted 181,481 RSUs, and Mr. Bourns was granted 87,407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$510,667 to Dr. Phares; (ii) $215,333 to Mr. Marchetti, (iii) $163,333 to Mr. Seaburg; and (iv) $78,668 to Mr. Bourns. Each of the approved cash awards will not be paid out to the employees until we have achieved a minimum cash balance of $30,000,000, and are subject to each employee’s continued employment on the date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termination of Mr. Marchetti’s employment, his 239,259 RSUs and cash award of $215,333.33 were forfeited.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RSUs, Mr. Marchetti was granted 86,133 RSUs, Mr. Seaburg was granted 65,333 RSUs and Mr. Bourns was granted 31,466 RSUs. Each grant vested in full on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 Employee Director is entitled to receive the following cash compensation for board service, as applicable: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also has discretion under the director compensation policy to grant Non-Employee Directors equity-based awards under our Dragonfly Energy Holdings 2022 Equity Incentive Plan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October 7, 2022, we granted each of our Non-Employee Directors then serving of the Board (i.e. Jonathan Bellows, Perry Boyle, Karina Montilla Edmonds, Luisa Ingargiola, Brian Nelson, and Rick Parod) an award of 30,000 RSUs under the 2022 Plan that are eligible to vest on the first anniversary of the grant date, subject to the director’s continued service on the Board through the vesting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granted each of our Non-Employee Directors then serving on the Board (i.e. Jonathan Bellows, Perry Boyle, Karina Montilla Edmonds, Luisa Ingargiola, Brian Nelson, and Rick Parod) an award of 222,222 RSUs units under the 2022 Plan that are eligible to vest in three equal annual installments, beginning on the first anniversary of the grant date, subject to the director’s continued service on the Board through each vesting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awarded to, earned by, or paid to our Non-Employee Directors for services on our board during the year ended December 31, 2023. Dr. Phares did not receive any additional compensation for his service on the Board during the year ended December 31,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44"/>
        <w:gridCol w:w="60"/>
        <w:gridCol w:w="168"/>
        <w:gridCol w:w="1931"/>
        <w:gridCol w:w="60"/>
        <w:gridCol w:w="60"/>
        <w:gridCol w:w="81"/>
        <w:gridCol w:w="1094"/>
        <w:gridCol w:w="60"/>
        <w:gridCol w:w="60"/>
        <w:gridCol w:w="236"/>
        <w:gridCol w:w="1029"/>
        <w:gridCol w:w="60"/>
        <w:gridCol w:w="60"/>
        <w:gridCol w:w="379"/>
        <w:gridCol w:w="1649"/>
        <w:gridCol w:w="60"/>
        <w:gridCol w:w="60"/>
        <w:gridCol w:w="61"/>
        <w:gridCol w:w="814"/>
        <w:gridCol w:w="79"/>
      </w:tblGrid>
      <w:tr>
        <w:trPr/>
        <w:tc>
          <w:tcPr>
            <w:tcW w:w="2144"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099" w:type="dxa"/>
            <w:gridSpan w:val="2"/>
            <w:tcBorders>
              <w:bottom w:val="single" w:sz="12" w:space="0" w:color="000000"/>
            </w:tcBorders>
            <w:vAlign w:val="center"/>
          </w:tcPr>
          <w:p>
            <w:pPr>
              <w:pStyle w:val="TableContents"/>
              <w:bidi w:val="0"/>
              <w:spacing w:before="0" w:after="283"/>
              <w:jc w:val="left"/>
              <w:rPr>
                <w:b/>
              </w:rPr>
            </w:pPr>
            <w:r>
              <w:rPr>
                <w:b/>
              </w:rPr>
              <w:t>Fees Earned or Paid 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left"/>
              <w:rPr>
                <w:b/>
              </w:rPr>
            </w:pPr>
            <w:r>
              <w:rPr>
                <w:b/>
              </w:rPr>
              <w:t>Stock Awards</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left"/>
              <w:rPr>
                <w:b/>
              </w:rPr>
            </w:pPr>
            <w:r>
              <w:rPr>
                <w:b/>
              </w:rPr>
              <w:t xml:space="preserve">Option Awards </w:t>
              <w:b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8" w:type="dxa"/>
            <w:gridSpan w:val="2"/>
            <w:tcBorders>
              <w:bottom w:val="single" w:sz="12" w:space="0" w:color="000000"/>
            </w:tcBorders>
            <w:vAlign w:val="center"/>
          </w:tcPr>
          <w:p>
            <w:pPr>
              <w:pStyle w:val="TableContents"/>
              <w:bidi w:val="0"/>
              <w:spacing w:before="0" w:after="283"/>
              <w:jc w:val="left"/>
              <w:rPr>
                <w:b/>
              </w:rPr>
            </w:pPr>
            <w:r>
              <w:rPr>
                <w:b/>
              </w:rPr>
              <w:t>All Other 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left"/>
              <w:rPr>
                <w:b/>
              </w:rPr>
            </w:pPr>
            <w:r>
              <w:rPr>
                <w:b/>
              </w:rPr>
              <w:t>Total ($)</w:t>
            </w:r>
          </w:p>
        </w:tc>
        <w:tc>
          <w:tcPr>
            <w:tcW w:w="79" w:type="dxa"/>
            <w:tcBorders/>
            <w:tcMar>
              <w:bottom w:w="0" w:type="dxa"/>
            </w:tcMar>
            <w:vAlign w:val="center"/>
          </w:tcPr>
          <w:p>
            <w:pPr>
              <w:pStyle w:val="TableContents"/>
              <w:bidi w:val="0"/>
              <w:spacing w:before="0" w:after="283"/>
              <w:jc w:val="left"/>
              <w:rPr/>
            </w:pPr>
            <w:r>
              <w:rPr/>
              <w:t> </w:t>
            </w:r>
          </w:p>
        </w:tc>
      </w:tr>
      <w:tr>
        <w:trPr/>
        <w:tc>
          <w:tcPr>
            <w:tcW w:w="2144" w:type="dxa"/>
            <w:tcBorders/>
            <w:shd w:fill="CCEEFF" w:val="clear"/>
            <w:tcMar>
              <w:bottom w:w="0" w:type="dxa"/>
            </w:tcMar>
            <w:vAlign w:val="center"/>
          </w:tcPr>
          <w:p>
            <w:pPr>
              <w:pStyle w:val="TableContents"/>
              <w:bidi w:val="0"/>
              <w:spacing w:before="0" w:after="283"/>
              <w:jc w:val="left"/>
              <w:rPr/>
            </w:pPr>
            <w:r>
              <w:rPr/>
              <w:t>Jonathan Bellows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right"/>
              <w:rPr/>
            </w:pPr>
            <w:r>
              <w:rPr/>
              <w:t>58,800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shd w:fill="CCEEFF" w:val="clear"/>
            <w:tcMar>
              <w:bottom w:w="0" w:type="dxa"/>
            </w:tcMar>
            <w:vAlign w:val="center"/>
          </w:tcPr>
          <w:p>
            <w:pPr>
              <w:pStyle w:val="TableContents"/>
              <w:bidi w:val="0"/>
              <w:spacing w:before="0" w:after="283"/>
              <w:jc w:val="left"/>
              <w:rPr/>
            </w:pPr>
            <w:r>
              <w:rPr/>
              <w:t> </w:t>
            </w:r>
          </w:p>
        </w:tc>
        <w:tc>
          <w:tcPr>
            <w:tcW w:w="16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158,800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44" w:type="dxa"/>
            <w:tcBorders/>
            <w:shd w:fill="FFFFFF" w:val="clear"/>
            <w:tcMar>
              <w:bottom w:w="0" w:type="dxa"/>
            </w:tcMar>
            <w:vAlign w:val="center"/>
          </w:tcPr>
          <w:p>
            <w:pPr>
              <w:pStyle w:val="TableContents"/>
              <w:bidi w:val="0"/>
              <w:spacing w:before="0" w:after="283"/>
              <w:jc w:val="left"/>
              <w:rPr/>
            </w:pPr>
            <w:r>
              <w:rPr/>
              <w:t>Perry Boyle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right"/>
              <w:rPr/>
            </w:pPr>
            <w:r>
              <w:rPr/>
              <w:t>58,800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 w:type="dxa"/>
            <w:tcBorders/>
            <w:shd w:fill="FFFFFF" w:val="clear"/>
            <w:tcMar>
              <w:bottom w:w="0" w:type="dxa"/>
            </w:tcMar>
            <w:vAlign w:val="center"/>
          </w:tcPr>
          <w:p>
            <w:pPr>
              <w:pStyle w:val="TableContents"/>
              <w:bidi w:val="0"/>
              <w:spacing w:before="0" w:after="283"/>
              <w:jc w:val="left"/>
              <w:rPr/>
            </w:pPr>
            <w:r>
              <w:rPr/>
              <w:t> </w:t>
            </w:r>
          </w:p>
        </w:tc>
        <w:tc>
          <w:tcPr>
            <w:tcW w:w="16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158,800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144" w:type="dxa"/>
            <w:tcBorders/>
            <w:shd w:fill="CCEEFF" w:val="clear"/>
            <w:tcMar>
              <w:bottom w:w="0" w:type="dxa"/>
            </w:tcMar>
            <w:vAlign w:val="center"/>
          </w:tcPr>
          <w:p>
            <w:pPr>
              <w:pStyle w:val="TableContents"/>
              <w:bidi w:val="0"/>
              <w:spacing w:before="0" w:after="283"/>
              <w:jc w:val="left"/>
              <w:rPr/>
            </w:pPr>
            <w:r>
              <w:rPr/>
              <w:t>Karina Montilla Edmonds,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right"/>
              <w:rPr/>
            </w:pPr>
            <w:r>
              <w:rPr/>
              <w:t>68,800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shd w:fill="CCEEFF" w:val="clear"/>
            <w:tcMar>
              <w:bottom w:w="0" w:type="dxa"/>
            </w:tcMar>
            <w:vAlign w:val="center"/>
          </w:tcPr>
          <w:p>
            <w:pPr>
              <w:pStyle w:val="TableContents"/>
              <w:bidi w:val="0"/>
              <w:spacing w:before="0" w:after="283"/>
              <w:jc w:val="left"/>
              <w:rPr/>
            </w:pPr>
            <w:r>
              <w:rPr/>
              <w:t> </w:t>
            </w:r>
          </w:p>
        </w:tc>
        <w:tc>
          <w:tcPr>
            <w:tcW w:w="16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168,800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44" w:type="dxa"/>
            <w:tcBorders/>
            <w:shd w:fill="FFFFFF" w:val="clear"/>
            <w:tcMar>
              <w:bottom w:w="0" w:type="dxa"/>
            </w:tcMar>
            <w:vAlign w:val="center"/>
          </w:tcPr>
          <w:p>
            <w:pPr>
              <w:pStyle w:val="TableContents"/>
              <w:bidi w:val="0"/>
              <w:spacing w:before="0" w:after="283"/>
              <w:jc w:val="left"/>
              <w:rPr/>
            </w:pPr>
            <w:r>
              <w:rPr/>
              <w:t>Luisa Ingargiola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right"/>
              <w:rPr/>
            </w:pPr>
            <w:r>
              <w:rPr/>
              <w:t>98,800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 w:type="dxa"/>
            <w:tcBorders/>
            <w:shd w:fill="FFFFFF" w:val="clear"/>
            <w:tcMar>
              <w:bottom w:w="0" w:type="dxa"/>
            </w:tcMar>
            <w:vAlign w:val="center"/>
          </w:tcPr>
          <w:p>
            <w:pPr>
              <w:pStyle w:val="TableContents"/>
              <w:bidi w:val="0"/>
              <w:spacing w:before="0" w:after="283"/>
              <w:jc w:val="left"/>
              <w:rPr/>
            </w:pPr>
            <w:r>
              <w:rPr/>
              <w:t> </w:t>
            </w:r>
          </w:p>
        </w:tc>
        <w:tc>
          <w:tcPr>
            <w:tcW w:w="16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198,800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144" w:type="dxa"/>
            <w:tcBorders/>
            <w:shd w:fill="CCEEFF" w:val="clear"/>
            <w:tcMar>
              <w:bottom w:w="0" w:type="dxa"/>
            </w:tcMar>
            <w:vAlign w:val="center"/>
          </w:tcPr>
          <w:p>
            <w:pPr>
              <w:pStyle w:val="TableContents"/>
              <w:bidi w:val="0"/>
              <w:spacing w:before="0" w:after="283"/>
              <w:jc w:val="left"/>
              <w:rPr/>
            </w:pPr>
            <w:r>
              <w:rPr/>
              <w:t>Brian Nelson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right"/>
              <w:rPr/>
            </w:pPr>
            <w:r>
              <w:rPr/>
              <w:t>73,800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shd w:fill="CCEEFF" w:val="clear"/>
            <w:tcMar>
              <w:bottom w:w="0" w:type="dxa"/>
            </w:tcMar>
            <w:vAlign w:val="center"/>
          </w:tcPr>
          <w:p>
            <w:pPr>
              <w:pStyle w:val="TableContents"/>
              <w:bidi w:val="0"/>
              <w:spacing w:before="0" w:after="283"/>
              <w:jc w:val="left"/>
              <w:rPr/>
            </w:pPr>
            <w:r>
              <w:rPr/>
              <w:t> </w:t>
            </w:r>
          </w:p>
        </w:tc>
        <w:tc>
          <w:tcPr>
            <w:tcW w:w="16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173,800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44" w:type="dxa"/>
            <w:tcBorders/>
            <w:shd w:fill="FFFFFF" w:val="clear"/>
            <w:tcMar>
              <w:bottom w:w="0" w:type="dxa"/>
            </w:tcMar>
            <w:vAlign w:val="center"/>
          </w:tcPr>
          <w:p>
            <w:pPr>
              <w:pStyle w:val="TableContents"/>
              <w:bidi w:val="0"/>
              <w:spacing w:before="0" w:after="283"/>
              <w:jc w:val="left"/>
              <w:rPr/>
            </w:pPr>
            <w:r>
              <w:rPr/>
              <w:t>Rick Parod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right"/>
              <w:rPr/>
            </w:pPr>
            <w:r>
              <w:rPr/>
              <w:t>58,800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 w:type="dxa"/>
            <w:tcBorders/>
            <w:shd w:fill="FFFFFF" w:val="clear"/>
            <w:tcMar>
              <w:bottom w:w="0" w:type="dxa"/>
            </w:tcMar>
            <w:vAlign w:val="center"/>
          </w:tcPr>
          <w:p>
            <w:pPr>
              <w:pStyle w:val="TableContents"/>
              <w:bidi w:val="0"/>
              <w:spacing w:before="0" w:after="283"/>
              <w:jc w:val="left"/>
              <w:rPr/>
            </w:pPr>
            <w:r>
              <w:rPr/>
              <w:t> </w:t>
            </w:r>
          </w:p>
        </w:tc>
        <w:tc>
          <w:tcPr>
            <w:tcW w:w="16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158,800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60"/>
        <w:gridCol w:w="993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F-33 of our Notes to Consolidated Financial Statements included in our Annual Report. As of April 16, 2024, each Non-Employee Director held 222,222 unvested RSUs.</w:t>
            </w:r>
          </w:p>
        </w:tc>
      </w:tr>
      <w:tr>
        <w:trPr/>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following options remained outstanding: (i) Luisa Ingargiola held options exercisable for 86,688 shares of common stock; and (ii) Brian Nelson held options exercisable for 47,304 shares of common stock.</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7" w:name="ann_001"/>
      <w:bookmarkEnd w:id="47"/>
      <w:r>
        <w:rPr>
          <w:rFonts w:ascii="Times New Roman;Times;Serif" w:hAnsi="Times New Roman;Times;Serif"/>
          <w:b/>
          <w:i w:val="false"/>
          <w:caps w:val="false"/>
          <w:smallCaps w:val="false"/>
          <w:sz w:val="20"/>
        </w:rPr>
        <w:t xml:space="preserve">ITEM 12. </w:t>
      </w:r>
      <w:r>
        <w:rPr>
          <w:rFonts w:ascii="Times New Roman;Times;Serif" w:hAnsi="Times New Roman;Times;Serif"/>
          <w:b/>
          <w:i w:val="false"/>
          <w:caps/>
          <w:sz w:val="20"/>
        </w:rPr>
        <w:t>Security Ownership of Certain Beneficial Owners and Management and Related Stockholder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April 16, 2024, with respect to the beneficial ownership of common stock by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or group of affiliated persons, known by us to beneficially own more than 5% of any class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April 16, 2024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are deemed to be outstanding, but those shares are not deemed to be outstanding for the purpose of computing the percentage ownership of any other security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60,263,710 shares common stock outstanding as of April 16, 2024 plus any shares issuable upon exercise of Presently Exercisable Securities held by such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1190 Trademark Drive, #108, Reno, Nevada 89521.</w:t>
      </w:r>
    </w:p>
    <w:p>
      <w:pPr>
        <w:pStyle w:val="TextBody"/>
        <w:bidi w:val="0"/>
        <w:spacing w:before="0" w:after="0"/>
        <w:ind w:left="0" w:right="0" w:firstLine="720"/>
        <w:jc w:val="both"/>
        <w:rPr>
          <w:caps w:val="false"/>
          <w:smallCaps w:val="false"/>
        </w:rPr>
      </w:pPr>
      <w:r>
        <w:rPr>
          <w:caps w:val="false"/>
          <w:smallCaps w:val="false"/>
        </w:rPr>
        <w:t> </w:t>
      </w:r>
    </w:p>
    <w:tbl>
      <w:tblPr>
        <w:tblW w:w="8418" w:type="dxa"/>
        <w:jc w:val="left"/>
        <w:tblInd w:w="0" w:type="dxa"/>
        <w:tblLayout w:type="fixed"/>
        <w:tblCellMar>
          <w:top w:w="0" w:type="dxa"/>
          <w:left w:w="0" w:type="dxa"/>
          <w:bottom w:w="28" w:type="dxa"/>
          <w:right w:w="0" w:type="dxa"/>
        </w:tblCellMar>
      </w:tblPr>
      <w:tblGrid>
        <w:gridCol w:w="5885"/>
        <w:gridCol w:w="60"/>
        <w:gridCol w:w="67"/>
        <w:gridCol w:w="1242"/>
        <w:gridCol w:w="60"/>
        <w:gridCol w:w="60"/>
        <w:gridCol w:w="78"/>
        <w:gridCol w:w="736"/>
        <w:gridCol w:w="230"/>
      </w:tblGrid>
      <w:tr>
        <w:trPr/>
        <w:tc>
          <w:tcPr>
            <w:tcW w:w="5885" w:type="dxa"/>
            <w:tcBorders>
              <w:bottom w:val="single" w:sz="12" w:space="0" w:color="000000"/>
            </w:tcBorders>
            <w:vAlign w:val="center"/>
          </w:tcPr>
          <w:p>
            <w:pPr>
              <w:pStyle w:val="TableContents"/>
              <w:bidi w:val="0"/>
              <w:spacing w:before="0" w:after="283"/>
              <w:jc w:val="both"/>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283"/>
              <w:jc w:val="center"/>
              <w:rPr>
                <w:b/>
              </w:rPr>
            </w:pPr>
            <w:r>
              <w:rPr>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12" w:space="0" w:color="000000"/>
            </w:tcBorders>
            <w:vAlign w:val="center"/>
          </w:tcPr>
          <w:p>
            <w:pPr>
              <w:pStyle w:val="TableContents"/>
              <w:bidi w:val="0"/>
              <w:spacing w:before="0" w:after="283"/>
              <w:jc w:val="center"/>
              <w:rPr>
                <w:b/>
              </w:rPr>
            </w:pPr>
            <w:r>
              <w:rPr>
                <w:b/>
              </w:rPr>
              <w:t>Percent</w:t>
              <w:br/>
              <w:t>of Class</w:t>
            </w:r>
          </w:p>
        </w:tc>
        <w:tc>
          <w:tcPr>
            <w:tcW w:w="230" w:type="dxa"/>
            <w:tcBorders/>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Dynavolt Technology (HK) Ltd.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11,820,900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19.62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 Gong</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3,073,434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5.04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Dr. Denis Phares </w:t>
            </w:r>
            <w:r>
              <w:rPr>
                <w:rFonts w:ascii="Times New Roman;Times;Serif" w:hAnsi="Times New Roman;Times;Serif"/>
                <w:position w:val="7"/>
                <w:sz w:val="16"/>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16,208,889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26.81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7"/>
                <w:sz w:val="16"/>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535,853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John Marchetti </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162,551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Wade Seaburg </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226,064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Tyler Bourns </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64,058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Luisa Ingargiola </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122,106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Brian Nelson </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81,246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pPr>
            <w:r>
              <w:rPr/>
              <w:t>Perry Boyle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pPr>
            <w:r>
              <w:rPr/>
              <w:t>Jonathan Bellows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pPr>
            <w:r>
              <w:rPr/>
              <w:t>Rick Parod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pPr>
            <w:r>
              <w:rPr/>
              <w:t>Karina Montilla Edmonds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30,300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All Executive Officers and Directors as a group (9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16,844,663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27.74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April 16, 2024. The business address of Mr. Gong is 930 Tahoe Blvd. Suite 802, PMB 860, Incline Village, Nevada 89451.</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25,000,000 shares of common stock not yet payable as the earnout contingencies have not yet been met and will not be met within 60 days of April 16, 2024.</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177,316 shares of common stock issuable upon exercise of outstanding stock options exercisable within 60 days of April 16, 2024.</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Mr. Nichols and information available to us. On November 7, 2022, Mr. Nichols resigned from his position as our Chief Operating Officer.</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162,551 shares of common stock issuable upon exercise of outstanding stock options exercisable within 60 days of April 16, 2024. On April 19, 2024, Mr. Marchetti’s employment with us was terminated. As a result, his vested options were forfeited and his unvested options were terminated on such date.</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97,812 shares of common stock issuable upon exercise of outstanding stock options exercisable within 60 days of April 16, 2024.</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33,261 shares of common stock issuable upon exercise of outstanding stock options exercisable within 60 days of April 16, 2024.</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92,106 shares of common stock issuable upon exercise of outstanding stock options exercisable within 60 days of April 16, 2024.</w:t>
            </w:r>
          </w:p>
        </w:tc>
      </w:tr>
      <w:tr>
        <w:trPr/>
        <w:tc>
          <w:tcPr>
            <w:tcW w:w="316" w:type="dxa"/>
            <w:tcBorders/>
            <w:vAlign w:val="center"/>
          </w:tcPr>
          <w:p>
            <w:pPr>
              <w:pStyle w:val="TableContents"/>
              <w:bidi w:val="0"/>
              <w:spacing w:before="0" w:after="283"/>
              <w:jc w:val="both"/>
              <w:rPr>
                <w:caps w:val="false"/>
                <w:smallCaps w:val="false"/>
              </w:rPr>
            </w:pPr>
            <w:r>
              <w:rPr>
                <w:caps w:val="false"/>
                <w:smallCaps w:val="false"/>
              </w:rPr>
              <w:t> </w:t>
            </w:r>
          </w:p>
        </w:tc>
        <w:tc>
          <w:tcPr>
            <w:tcW w:w="98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51,246 shares of common stock issuable upon exercise of outstanding stock options exercisable within 60 days of April 16,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Business Combination, our Board and stockholders approved the adoption of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in connection with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authorized for issuance under our equity compensation plans as of December 31, 2023.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2"/>
        <w:gridCol w:w="60"/>
        <w:gridCol w:w="124"/>
        <w:gridCol w:w="2038"/>
        <w:gridCol w:w="60"/>
        <w:gridCol w:w="60"/>
        <w:gridCol w:w="616"/>
        <w:gridCol w:w="1938"/>
        <w:gridCol w:w="60"/>
        <w:gridCol w:w="60"/>
        <w:gridCol w:w="185"/>
        <w:gridCol w:w="3054"/>
        <w:gridCol w:w="78"/>
      </w:tblGrid>
      <w:tr>
        <w:trPr/>
        <w:tc>
          <w:tcPr>
            <w:tcW w:w="1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2" w:type="dxa"/>
            <w:gridSpan w:val="2"/>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center"/>
              <w:rPr>
                <w:b/>
              </w:rPr>
            </w:pPr>
            <w:r>
              <w:rPr>
                <w:b/>
              </w:rPr>
              <w:t>Weighted-average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vAlign w:val="center"/>
          </w:tcPr>
          <w:p>
            <w:pPr>
              <w:pStyle w:val="TableContents"/>
              <w:bidi w:val="0"/>
              <w:spacing w:before="0" w:after="283"/>
              <w:jc w:val="center"/>
              <w:rPr>
                <w:b/>
              </w:rPr>
            </w:pPr>
            <w:r>
              <w:rPr>
                <w:b/>
              </w:rPr>
              <w:t>Number of securities remaining available for future issuances under equity compensation plans under equity compensation (excluding) securities reflected in column (a)</w:t>
            </w:r>
          </w:p>
        </w:tc>
        <w:tc>
          <w:tcPr>
            <w:tcW w:w="78" w:type="dxa"/>
            <w:tcBorders/>
            <w:vAlign w:val="center"/>
          </w:tcPr>
          <w:p>
            <w:pPr>
              <w:pStyle w:val="TableContents"/>
              <w:bidi w:val="0"/>
              <w:spacing w:before="0" w:after="283"/>
              <w:jc w:val="left"/>
              <w:rPr/>
            </w:pPr>
            <w:r>
              <w:rPr/>
              <w:t> </w:t>
            </w:r>
          </w:p>
        </w:tc>
      </w:tr>
      <w:tr>
        <w:trPr/>
        <w:tc>
          <w:tcPr>
            <w:tcW w:w="1872" w:type="dxa"/>
            <w:tcBorders>
              <w:bottom w:val="single" w:sz="12" w:space="0" w:color="000000"/>
            </w:tcBorders>
            <w:tcMar>
              <w:bottom w:w="28" w:type="dxa"/>
            </w:tcMar>
            <w:vAlign w:val="center"/>
          </w:tcPr>
          <w:p>
            <w:pPr>
              <w:pStyle w:val="TableContents"/>
              <w:bidi w:val="0"/>
              <w:spacing w:before="0" w:after="283"/>
              <w:jc w:val="left"/>
              <w:rPr>
                <w:b/>
                <w:i/>
              </w:rPr>
            </w:pPr>
            <w:r>
              <w:rPr>
                <w:b/>
                <w:i/>
              </w:rPr>
              <w:t>Plan Category</w:t>
            </w:r>
          </w:p>
        </w:tc>
        <w:tc>
          <w:tcPr>
            <w:tcW w:w="60" w:type="dxa"/>
            <w:tcBorders/>
            <w:vAlign w:val="center"/>
          </w:tcPr>
          <w:p>
            <w:pPr>
              <w:pStyle w:val="TableContents"/>
              <w:bidi w:val="0"/>
              <w:spacing w:before="0" w:after="283"/>
              <w:jc w:val="left"/>
              <w:rPr/>
            </w:pPr>
            <w:r>
              <w:rPr/>
              <w:t> </w:t>
            </w:r>
          </w:p>
        </w:tc>
        <w:tc>
          <w:tcPr>
            <w:tcW w:w="21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(c)(2)</w:t>
            </w:r>
          </w:p>
        </w:tc>
        <w:tc>
          <w:tcPr>
            <w:tcW w:w="78" w:type="dxa"/>
            <w:tcBorders/>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Equity compensation plans approved by security holders </w:t>
            </w:r>
            <w:r>
              <w:rPr>
                <w:rFonts w:ascii="Times New Roman;Times;Serif" w:hAnsi="Times New Roman;Times;Serif"/>
                <w:i/>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38" w:type="dxa"/>
            <w:tcBorders/>
            <w:shd w:fill="CCEEFF" w:val="clear"/>
            <w:vAlign w:val="center"/>
          </w:tcPr>
          <w:p>
            <w:pPr>
              <w:pStyle w:val="TableContents"/>
              <w:bidi w:val="0"/>
              <w:spacing w:before="0" w:after="283"/>
              <w:jc w:val="right"/>
              <w:rPr/>
            </w:pPr>
            <w:r>
              <w:rPr/>
              <w:t>2,411,787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p>
        </w:tc>
        <w:tc>
          <w:tcPr>
            <w:tcW w:w="1938" w:type="dxa"/>
            <w:tcBorders/>
            <w:shd w:fill="CCEEFF" w:val="clear"/>
            <w:vAlign w:val="center"/>
          </w:tcPr>
          <w:p>
            <w:pPr>
              <w:pStyle w:val="TableContents"/>
              <w:bidi w:val="0"/>
              <w:spacing w:before="0" w:after="283"/>
              <w:jc w:val="right"/>
              <w:rPr/>
            </w:pPr>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054" w:type="dxa"/>
            <w:tcBorders/>
            <w:shd w:fill="CCEEFF" w:val="clear"/>
            <w:vAlign w:val="center"/>
          </w:tcPr>
          <w:p>
            <w:pPr>
              <w:pStyle w:val="TableContents"/>
              <w:bidi w:val="0"/>
              <w:spacing w:before="0" w:after="283"/>
              <w:jc w:val="right"/>
              <w:rPr/>
            </w:pPr>
            <w:r>
              <w:rPr/>
              <w:t>6,632,916</w:t>
            </w:r>
          </w:p>
        </w:tc>
        <w:tc>
          <w:tcPr>
            <w:tcW w:w="78"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0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05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left"/>
              <w:rPr>
                <w:i/>
              </w:rPr>
            </w:pPr>
            <w:r>
              <w:rPr>
                <w:i/>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05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left"/>
              <w:rPr>
                <w:b/>
                <w:i/>
              </w:rPr>
            </w:pPr>
            <w:r>
              <w:rPr>
                <w:b/>
                <w:i/>
              </w:rPr>
              <w:t>Total</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38" w:type="dxa"/>
            <w:tcBorders>
              <w:bottom w:val="double" w:sz="6" w:space="0" w:color="000000"/>
            </w:tcBorders>
            <w:shd w:fill="CCEEFF" w:val="clear"/>
            <w:tcMar>
              <w:bottom w:w="28" w:type="dxa"/>
            </w:tcMar>
            <w:vAlign w:val="center"/>
          </w:tcPr>
          <w:p>
            <w:pPr>
              <w:pStyle w:val="TableContents"/>
              <w:bidi w:val="0"/>
              <w:spacing w:before="0" w:after="283"/>
              <w:jc w:val="right"/>
              <w:rPr/>
            </w:pPr>
            <w:r>
              <w:rPr/>
              <w:t>2,411,787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38" w:type="dxa"/>
            <w:tcBorders>
              <w:bottom w:val="double" w:sz="6" w:space="0" w:color="000000"/>
            </w:tcBorders>
            <w:shd w:fill="CCEEFF" w:val="clear"/>
            <w:tcMar>
              <w:bottom w:w="28" w:type="dxa"/>
            </w:tcMar>
            <w:vAlign w:val="center"/>
          </w:tcPr>
          <w:p>
            <w:pPr>
              <w:pStyle w:val="TableContents"/>
              <w:bidi w:val="0"/>
              <w:spacing w:before="0" w:after="283"/>
              <w:jc w:val="right"/>
              <w:rPr/>
            </w:pPr>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54" w:type="dxa"/>
            <w:tcBorders>
              <w:bottom w:val="double" w:sz="6" w:space="0" w:color="000000"/>
            </w:tcBorders>
            <w:shd w:fill="CCEEFF" w:val="clear"/>
            <w:tcMar>
              <w:bottom w:w="28" w:type="dxa"/>
            </w:tcMar>
            <w:vAlign w:val="center"/>
          </w:tcPr>
          <w:p>
            <w:pPr>
              <w:pStyle w:val="TableContents"/>
              <w:bidi w:val="0"/>
              <w:spacing w:before="0" w:after="283"/>
              <w:jc w:val="right"/>
              <w:rPr/>
            </w:pPr>
            <w:r>
              <w:rPr/>
              <w:t>6,632,916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in this row include securities under the 2022 Plan, 2021 Plan and 2019 Plan and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accordance with the “evergreen” provision in the 2022 Plan, an additional 2,410,411 shares were automatically made available for issuance on the first trading day of 2024, which represents an amount equal 4% of the number of shares outstanding on December 31, 2023. In accordance with the “evergreen” provision in the ESPP, an additional 602,602 shares were automatically made available for issuance on the first trading day of 2024, which represents an amount equal to one percent 1% of the number of shares of common stock issued and outstanding on December 31, 2023. The shares made available pursuant to the “evergreen” provisions are excluded from this calculation.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bookmarkStart w:id="48" w:name="ann_002"/>
      <w:bookmarkEnd w:id="48"/>
      <w:r>
        <w:rPr>
          <w:rFonts w:ascii="Times New Roman;Times;Serif" w:hAnsi="Times New Roman;Times;Serif"/>
          <w:b/>
          <w:i w:val="false"/>
          <w:caps/>
          <w:sz w:val="20"/>
        </w:rPr>
        <w:t>ITEM 13. Certain Relationships and Related Transactions, and 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we have had the following transactions or series of similar transactions, since January 1, 2022, to which we were a party or will be a party, in which:</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of our directors, executive officers or holders of more than 5% of our capital stock, or any member of the immediate family of the foregoing persons, had or will have a direct or indirect material interest.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former Chief Financial Officer in September 2021, we loaned Mr. Marchetti $350,000 to repay amounts owed by him to his former employer and entered into a related promissory note with a maturity of March 1, 2026. In connection with the Business Combination and our obligations as a publicly traded company, we forgave all amounts owed under the promissory note effective March 2022. On April 19, 2024, Mr. Marchetti’s employment with us was terminated.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former Chief Operating Officer, would be leaving the Company to pursue other interests. His last day of employment was November 7, 2022 (the “</w:t>
      </w:r>
      <w:r>
        <w:rPr>
          <w:rFonts w:ascii="Times New Roman;Times;Serif" w:hAnsi="Times New Roman;Times;Serif"/>
          <w:b/>
          <w:i w:val="false"/>
          <w:caps w:val="false"/>
          <w:smallCaps w:val="false"/>
          <w:sz w:val="20"/>
        </w:rPr>
        <w:t>Separation Date</w:t>
      </w:r>
      <w:r>
        <w:rPr>
          <w:rFonts w:ascii="Times New Roman;Times;Serif" w:hAnsi="Times New Roman;Times;Serif"/>
          <w:b w:val="false"/>
          <w:i w:val="false"/>
          <w:caps w:val="false"/>
          <w:smallCaps w:val="false"/>
          <w:sz w:val="20"/>
        </w:rPr>
        <w:t>”). On October 25, 2022, we entered into the Separation Agreement with Mr. Nichols that became effective and fully irrevocable on November 2, 2022, which was subsequently amended on November 14, 2022. Pursuant to the Separation Agreement, Mr. Nichols received a cash payment of $100,000 in one installment in December 2022 and was entitled to receive a cash payment of $1,000,000 in 24 monthly installments commencing in December 2022. Mr. Nichols’ outstanding equity awards granted by us fully vested and, in the case of options, were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 with Brian Nelson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unsecured promissory note (the “</w:t>
      </w:r>
      <w:r>
        <w:rPr>
          <w:rFonts w:ascii="Times New Roman;Times;Serif" w:hAnsi="Times New Roman;Times;Serif"/>
          <w:b/>
          <w:i w:val="false"/>
          <w:caps w:val="false"/>
          <w:smallCaps w:val="false"/>
          <w:sz w:val="20"/>
        </w:rPr>
        <w:t>March 2023 Note</w:t>
      </w:r>
      <w:r>
        <w:rPr>
          <w:rFonts w:ascii="Times New Roman;Times;Serif" w:hAnsi="Times New Roman;Times;Serif"/>
          <w:b w:val="false"/>
          <w:i w:val="false"/>
          <w:caps w:val="false"/>
          <w:smallCaps w:val="false"/>
          <w:sz w:val="20"/>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in the amount of $1.7 million (the “</w:t>
      </w:r>
      <w:r>
        <w:rPr>
          <w:rFonts w:ascii="Times New Roman;Times;Serif" w:hAnsi="Times New Roman;Times;Serif"/>
          <w:b/>
          <w:i w:val="false"/>
          <w:caps w:val="false"/>
          <w:smallCaps w:val="false"/>
          <w:sz w:val="20"/>
        </w:rPr>
        <w:t>February Principal Amount</w:t>
      </w:r>
      <w:r>
        <w:rPr>
          <w:rFonts w:ascii="Times New Roman;Times;Serif" w:hAnsi="Times New Roman;Times;Serif"/>
          <w:b w:val="false"/>
          <w:i w:val="false"/>
          <w:caps w:val="false"/>
          <w:smallCaps w:val="false"/>
          <w:sz w:val="20"/>
        </w:rPr>
        <w:t>”) to Mr. Nelson, in a private placement in exchange for cash in an equal amount. The February Note became due and payable in full on March 1, 2024. We were also obligated to pay a $85,000 loan fee (the “</w:t>
      </w:r>
      <w:r>
        <w:rPr>
          <w:rFonts w:ascii="Times New Roman;Times;Serif" w:hAnsi="Times New Roman;Times;Serif"/>
          <w:b/>
          <w:i w:val="false"/>
          <w:caps w:val="false"/>
          <w:smallCaps w:val="false"/>
          <w:sz w:val="20"/>
        </w:rPr>
        <w:t>February Loan Fee</w:t>
      </w:r>
      <w:r>
        <w:rPr>
          <w:rFonts w:ascii="Times New Roman;Times;Serif" w:hAnsi="Times New Roman;Times;Serif"/>
          <w:b w:val="false"/>
          <w:i w:val="false"/>
          <w:caps w:val="false"/>
          <w:smallCaps w:val="false"/>
          <w:sz w:val="20"/>
        </w:rPr>
        <w:t>”) to Mr. Nelson on March 1, 2024. We paid the February Principal Amount and the February Loan Fee on March 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Articles of Incorporation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and our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that certain agreement and plan of merger entered into on October 7, 2022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by and between us and Chardan and Chardan NexTech Investments 2 LLC (or an affiliate thereof if assigned pursuant to the Subscription Agreement,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but does not purport to describe all of the terms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CNTQ, the Sponsor and certain other CNTQ shareholders parties thereto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Legacy Dragonfly, and certain Legacy Dragonfly stockholders entered into an Amended and Restated Registration Rights Agreement (the “</w:t>
      </w:r>
      <w:r>
        <w:rPr>
          <w:rFonts w:ascii="Times New Roman;Times;Serif" w:hAnsi="Times New Roman;Times;Serif"/>
          <w:b/>
          <w:i w:val="false"/>
          <w:caps w:val="false"/>
          <w:smallCaps w:val="false"/>
          <w:sz w:val="20"/>
        </w:rPr>
        <w:t>Amended Registration Rights Agreement</w:t>
      </w:r>
      <w:r>
        <w:rPr>
          <w:rFonts w:ascii="Times New Roman;Times;Serif" w:hAnsi="Times New Roman;Times;Serif"/>
          <w:b w:val="false"/>
          <w:i w:val="false"/>
          <w:caps w:val="false"/>
          <w:smallCaps w:val="false"/>
          <w:sz w:val="20"/>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(the “</w:t>
      </w:r>
      <w:r>
        <w:rPr>
          <w:rFonts w:ascii="Times New Roman;Times;Serif" w:hAnsi="Times New Roman;Times;Serif"/>
          <w:b/>
          <w:i w:val="false"/>
          <w:caps w:val="false"/>
          <w:smallCaps w:val="false"/>
          <w:sz w:val="20"/>
        </w:rPr>
        <w:t xml:space="preserve">Subscription </w:t>
      </w:r>
      <w:r>
        <w:rPr>
          <w:rFonts w:ascii="Times New Roman;Times;Serif" w:hAnsi="Times New Roman;Times;Serif"/>
          <w:b w:val="false"/>
          <w:i w:val="false"/>
          <w:caps w:val="false"/>
          <w:smallCaps w:val="false"/>
          <w:sz w:val="20"/>
        </w:rPr>
        <w:t>Agreement”) by and between Chardan and the Sponsor, the Sponsor agreed to purchase, and Chardan agreed to sell to the Sponsor, an aggregate of 500,000 shares of CNTQ common stock (“</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for gross proceeds Chardan to Chardan of $5 million in a private placement. On September 28, 2022, the Sponsor and Chardan Capital Markets LLC, a New York limited liability company (“</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entered into an assignment, assumption and joinder agreement, pursuant to which the Sponsor assigned all of the Sponsor’s rights, benefits and obligations under the Subscription Agreement to CCM.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dated May 15, 2022 by and between Chardan and Legacy Dragonfly, CCM Investments 5 LLC, an affiliate of CCM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w:t>
      </w:r>
      <w:r>
        <w:rPr>
          <w:rFonts w:ascii="Times New Roman;Times;Serif" w:hAnsi="Times New Roman;Times;Serif"/>
          <w:b/>
          <w:i w:val="false"/>
          <w:caps w:val="false"/>
          <w:smallCaps w:val="false"/>
          <w:sz w:val="20"/>
        </w:rPr>
        <w:t>Chardan Lender</w:t>
      </w:r>
      <w:r>
        <w:rPr>
          <w:rFonts w:ascii="Times New Roman;Times;Serif" w:hAnsi="Times New Roman;Times;Serif"/>
          <w:b w:val="false"/>
          <w:i w:val="false"/>
          <w:caps w:val="false"/>
          <w:smallCaps w:val="false"/>
          <w:sz w:val="20"/>
        </w:rPr>
        <w:t>”),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“Initial Term Loan Lenders”), in connection with the Closing, Chardan, Legacy Dragonfly and the Initial Term Loan Lenders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pursuant to which we pledged to the Administrative Agent our equity interests in Legacy Dragonfly as further collateral security for the obligations under the Term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and September 29, 2023, we obtained a waiver from our Administrative Agent and Term Loan Lenders of our failures to satisfy the Senior Leverage Ratio and Fixed Charge Coverage Ratio tests (the “</w:t>
      </w:r>
      <w:r>
        <w:rPr>
          <w:rFonts w:ascii="Times New Roman;Times;Serif" w:hAnsi="Times New Roman;Times;Serif"/>
          <w:b/>
          <w:i w:val="false"/>
          <w:caps w:val="false"/>
          <w:smallCaps w:val="false"/>
          <w:sz w:val="20"/>
        </w:rPr>
        <w:t>Tests</w:t>
      </w:r>
      <w:r>
        <w:rPr>
          <w:rFonts w:ascii="Times New Roman;Times;Serif" w:hAnsi="Times New Roman;Times;Serif"/>
          <w:b w:val="false"/>
          <w:i w:val="false"/>
          <w:caps w:val="false"/>
          <w:smallCaps w:val="false"/>
          <w:sz w:val="20"/>
        </w:rPr>
        <w:t>”) with respect to the minimum cash requirements under the Term Loan during the quarter ended March 31, 2023 and September 30, 2023, respectively. On December 29, 2023, we received an additional waiver (the “</w:t>
      </w:r>
      <w:r>
        <w:rPr>
          <w:rFonts w:ascii="Times New Roman;Times;Serif" w:hAnsi="Times New Roman;Times;Serif"/>
          <w:b/>
          <w:i w:val="false"/>
          <w:caps w:val="false"/>
          <w:smallCaps w:val="false"/>
          <w:sz w:val="20"/>
        </w:rPr>
        <w:t>December 2023 Waiver</w:t>
      </w:r>
      <w:r>
        <w:rPr>
          <w:rFonts w:ascii="Times New Roman;Times;Serif" w:hAnsi="Times New Roman;Times;Serif"/>
          <w:b w:val="false"/>
          <w:i w:val="false"/>
          <w:caps w:val="false"/>
          <w:smallCaps w:val="false"/>
          <w:sz w:val="20"/>
        </w:rPr>
        <w:t>”) from our Administrative Agent and Term Loan Lenders in regards to our compliance with the Tests as of the last day of the quarter ended December 31, 2023. On March 31, 2024, we received an additional waiver from the Administrative Agent and the Term Loan Lenders in regard to our compliance with our liquidity requirement under the Term Loan as of the last day of the fiscal quarter ended March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Times;Serif" w:hAnsi="Times New Roman;Times;Serif"/>
          <w:b/>
          <w:i w:val="false"/>
          <w:caps w:val="false"/>
          <w:smallCaps w:val="false"/>
          <w:sz w:val="20"/>
        </w:rPr>
        <w:t>Original Penny Warrants</w:t>
      </w:r>
      <w:r>
        <w:rPr>
          <w:rFonts w:ascii="Times New Roman;Times;Serif" w:hAnsi="Times New Roman;Times;Serif"/>
          <w:b w:val="false"/>
          <w:i w:val="false"/>
          <w:caps w:val="false"/>
          <w:smallCaps w:val="false"/>
          <w:sz w:val="20"/>
        </w:rPr>
        <w:t>”) and (ii) warrants to the Term Loan Lenders under the Term Loan exercisable to purchase 1,600,000 shares of our common stock at an exercise price of $10.00 per share (the “</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2023 Waiver provided for a one-time issuance of penny warrants (the “</w:t>
      </w:r>
      <w:r>
        <w:rPr>
          <w:rFonts w:ascii="Times New Roman;Times;Serif" w:hAnsi="Times New Roman;Times;Serif"/>
          <w:b/>
          <w:i w:val="false"/>
          <w:caps w:val="false"/>
          <w:smallCaps w:val="false"/>
          <w:sz w:val="20"/>
        </w:rPr>
        <w:t>Waiver Penny Warrants</w:t>
      </w:r>
      <w:r>
        <w:rPr>
          <w:rFonts w:ascii="Times New Roman;Times;Serif" w:hAnsi="Times New Roman;Times;Serif"/>
          <w:b w:val="false"/>
          <w:i w:val="false"/>
          <w:caps w:val="false"/>
          <w:smallCaps w:val="false"/>
          <w:sz w:val="20"/>
        </w:rPr>
        <w:t>” and, collectively with the Original Penny Warrants and the $10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 purchase up to 1,286,671 shares of our common stock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 exercise period of 10 years from the date of issuance. As of April 16, 2024, 1,996,323 shares of common stock have been issued upon the exercise of Penny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Warrants had an exercise period of five years from the date of issuance and had customary cashless exercise provisions. As of December 31, 2022, the $10 Warrants have been exercised in full and are no longer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we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with CCM in connection with the Closing. In addition, we appointed LifeSci Capital, LLC as “qualified independent underwriter” with respect to the transactions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During the year ended December 31, 2022, we did not sell any shares of our common stock under the ChEF Equity Facility. During the year ended December 31, 2023, we issued and sold approximately 588,500 shares of our common stock under the ChEF Equity Facility, resulting in net cash proceeds of $1,278,566. From January 1, 2024 through April 16, 2024, we did not issue any shares of common stock under the ChEF Equity Facility.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or ratified by our Audit Committee.</w:t>
      </w:r>
    </w:p>
    <w:p>
      <w:pPr>
        <w:pStyle w:val="TextBody"/>
        <w:bidi w:val="0"/>
        <w:spacing w:before="0" w:after="0"/>
        <w:ind w:left="0" w:right="0" w:firstLine="4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Rick Parod, Perry Boyle, Jonathan Bellows, Karina Montilla Edmonds, Brian Nelson, and Luisa Ingargiola are an “independent directors” as such term is defined under the applicable rules of Nasdaq.</w:t>
      </w:r>
    </w:p>
    <w:p>
      <w:pPr>
        <w:pStyle w:val="TextBody"/>
        <w:bidi w:val="0"/>
        <w:spacing w:before="0" w:after="0"/>
        <w:ind w:left="0" w:right="0" w:firstLine="4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pStyle w:val="TextBody"/>
        <w:bidi w:val="0"/>
        <w:spacing w:before="0" w:after="0"/>
        <w:ind w:left="0" w:right="0" w:firstLine="47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bookmarkStart w:id="49" w:name="ann_003"/>
      <w:bookmarkEnd w:id="49"/>
      <w:r>
        <w:rPr>
          <w:rFonts w:ascii="Times New Roman;Times;Serif" w:hAnsi="Times New Roman;Times;Serif"/>
          <w:b/>
          <w:i w:val="false"/>
          <w:caps/>
          <w:sz w:val="20"/>
        </w:rPr>
        <w:t>ITEM 14. Principal Accountant Fees and Servicers.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Marcum LLP (“</w:t>
      </w:r>
      <w:r>
        <w:rPr>
          <w:rFonts w:ascii="Times New Roman;Times;Serif" w:hAnsi="Times New Roman;Times;Serif"/>
          <w:b/>
          <w:i w:val="false"/>
          <w:caps w:val="false"/>
          <w:smallCaps w:val="false"/>
          <w:sz w:val="20"/>
        </w:rPr>
        <w:t>Marcum</w:t>
      </w:r>
      <w:r>
        <w:rPr>
          <w:rFonts w:ascii="Times New Roman;Times;Serif" w:hAnsi="Times New Roman;Times;Serif"/>
          <w:b w:val="false"/>
          <w:i w:val="false"/>
          <w:caps w:val="false"/>
          <w:smallCaps w:val="false"/>
          <w:sz w:val="20"/>
        </w:rPr>
        <w:t>”) was appointed as our independent registered public accounting firm. The aggregate fees billed to us by Marcum for professional services rendered during the twelve months ended December 31, 2023, and 2022, are set forth in the table below:</w:t>
      </w:r>
    </w:p>
    <w:p>
      <w:pPr>
        <w:pStyle w:val="TextBody"/>
        <w:bidi w:val="0"/>
        <w:spacing w:before="0" w:after="0"/>
        <w:ind w:left="0" w:right="0" w:firstLine="720"/>
        <w:jc w:val="both"/>
        <w:rPr>
          <w:caps w:val="false"/>
          <w:smallCaps w:val="false"/>
        </w:rPr>
      </w:pPr>
      <w:r>
        <w:rPr>
          <w:caps w:val="false"/>
          <w:smallCaps w:val="false"/>
        </w:rPr>
        <w:t> </w:t>
      </w:r>
    </w:p>
    <w:tbl>
      <w:tblPr>
        <w:tblW w:w="5968" w:type="dxa"/>
        <w:jc w:val="left"/>
        <w:tblInd w:w="0" w:type="dxa"/>
        <w:tblLayout w:type="fixed"/>
        <w:tblCellMar>
          <w:top w:w="0" w:type="dxa"/>
          <w:left w:w="0" w:type="dxa"/>
          <w:bottom w:w="28" w:type="dxa"/>
          <w:right w:w="0" w:type="dxa"/>
        </w:tblCellMar>
      </w:tblPr>
      <w:tblGrid>
        <w:gridCol w:w="2045"/>
        <w:gridCol w:w="60"/>
        <w:gridCol w:w="273"/>
        <w:gridCol w:w="1561"/>
        <w:gridCol w:w="60"/>
        <w:gridCol w:w="60"/>
        <w:gridCol w:w="641"/>
        <w:gridCol w:w="1193"/>
        <w:gridCol w:w="75"/>
      </w:tblGrid>
      <w:tr>
        <w:trPr/>
        <w:tc>
          <w:tcPr>
            <w:tcW w:w="2045" w:type="dxa"/>
            <w:tcBorders>
              <w:bottom w:val="single" w:sz="12" w:space="0" w:color="000000"/>
            </w:tcBorders>
            <w:vAlign w:val="center"/>
          </w:tcPr>
          <w:p>
            <w:pPr>
              <w:pStyle w:val="TableContents"/>
              <w:bidi w:val="0"/>
              <w:spacing w:before="0" w:after="283"/>
              <w:jc w:val="left"/>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pPr>
            <w:r>
              <w:rPr/>
              <w:t>Audit fees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61" w:type="dxa"/>
            <w:tcBorders/>
            <w:shd w:fill="CCEEFF" w:val="clear"/>
            <w:tcMar>
              <w:bottom w:w="0" w:type="dxa"/>
            </w:tcMar>
            <w:vAlign w:val="center"/>
          </w:tcPr>
          <w:p>
            <w:pPr>
              <w:pStyle w:val="TableContents"/>
              <w:bidi w:val="0"/>
              <w:spacing w:before="0" w:after="283"/>
              <w:jc w:val="right"/>
              <w:rPr/>
            </w:pPr>
            <w:r>
              <w:rPr/>
              <w:t>440,000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left"/>
              <w:rPr/>
            </w:pPr>
            <w:r>
              <w:rPr/>
              <w:t>$</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pPr>
            <w:r>
              <w:rPr/>
              <w:t>Audit-related fees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pPr>
            <w:r>
              <w:rPr/>
              <w:t>Tax fees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pPr>
            <w:r>
              <w:rPr/>
              <w:t>All other fees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FFFFFF" w:val="clear"/>
            <w:vAlign w:val="center"/>
          </w:tcPr>
          <w:p>
            <w:pPr>
              <w:pStyle w:val="TableContents"/>
              <w:bidi w:val="0"/>
              <w:spacing w:before="0" w:after="283"/>
              <w:jc w:val="left"/>
              <w:rPr/>
            </w:pPr>
            <w:r>
              <w:rPr/>
              <w:t> </w:t>
            </w:r>
          </w:p>
        </w:tc>
        <w:tc>
          <w:tcPr>
            <w:tcW w:w="156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vAlign w:val="center"/>
          </w:tcPr>
          <w:p>
            <w:pPr>
              <w:pStyle w:val="TableContents"/>
              <w:bidi w:val="0"/>
              <w:spacing w:before="0" w:after="283"/>
              <w:jc w:val="left"/>
              <w:rPr/>
            </w:pPr>
            <w:r>
              <w:rPr/>
              <w:t> </w:t>
            </w:r>
          </w:p>
        </w:tc>
        <w:tc>
          <w:tcPr>
            <w:tcW w:w="1193"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vAlign w:val="center"/>
          </w:tcPr>
          <w:p>
            <w:pPr>
              <w:pStyle w:val="TableContents"/>
              <w:bidi w:val="0"/>
              <w:spacing w:before="0" w:after="283"/>
              <w:jc w:val="left"/>
              <w:rPr/>
            </w:pPr>
            <w:r>
              <w:rPr/>
              <w:t>$</w:t>
            </w:r>
          </w:p>
        </w:tc>
        <w:tc>
          <w:tcPr>
            <w:tcW w:w="1561" w:type="dxa"/>
            <w:tcBorders>
              <w:bottom w:val="double" w:sz="6" w:space="0" w:color="000000"/>
            </w:tcBorders>
            <w:shd w:fill="CCEEFF" w:val="clear"/>
            <w:vAlign w:val="center"/>
          </w:tcPr>
          <w:p>
            <w:pPr>
              <w:pStyle w:val="TableContents"/>
              <w:bidi w:val="0"/>
              <w:spacing w:before="0" w:after="283"/>
              <w:jc w:val="right"/>
              <w:rPr/>
            </w:pPr>
            <w:r>
              <w:rPr/>
              <w:t>440,000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 w:type="dxa"/>
            <w:tcBorders>
              <w:bottom w:val="double" w:sz="6" w:space="0" w:color="000000"/>
            </w:tcBorders>
            <w:shd w:fill="CCEEFF" w:val="clear"/>
            <w:vAlign w:val="center"/>
          </w:tcPr>
          <w:p>
            <w:pPr>
              <w:pStyle w:val="TableContents"/>
              <w:bidi w:val="0"/>
              <w:spacing w:before="0" w:after="283"/>
              <w:jc w:val="left"/>
              <w:rPr/>
            </w:pPr>
            <w:r>
              <w:rPr/>
              <w:t>$</w:t>
            </w:r>
          </w:p>
        </w:tc>
        <w:tc>
          <w:tcPr>
            <w:tcW w:w="1193" w:type="dxa"/>
            <w:tcBorders>
              <w:bottom w:val="double" w:sz="6"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1"/>
        <w:gridCol w:w="9984"/>
      </w:tblGrid>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professional services that are reasonably related to the performance of the audit or review of our financial statements but are not reported under “Audit fees.”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billed for professional services relating to tax compliance, tax planning, and tax advice.</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consist of fees billed for services not associated with audit or tax.</w:t>
            </w:r>
          </w:p>
        </w:tc>
      </w:tr>
    </w:tbl>
    <w:p>
      <w:pPr>
        <w:pStyle w:val="TextBody"/>
        <w:bidi w:val="0"/>
        <w:spacing w:before="0" w:after="0"/>
        <w:ind w:left="8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Practices and Procedures</w:t>
      </w:r>
    </w:p>
    <w:p>
      <w:pPr>
        <w:pStyle w:val="TextBody"/>
        <w:bidi w:val="0"/>
        <w:spacing w:before="0" w:after="0"/>
        <w:ind w:left="8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of our accounting and financial reporting processes and the audits of our financial statements by our independent auditors (the “</w:t>
            </w:r>
            <w:r>
              <w:rPr>
                <w:rFonts w:ascii="Times New Roman;Times;Serif" w:hAnsi="Times New Roman;Times;Serif"/>
                <w:b/>
                <w:i w:val="false"/>
                <w:caps w:val="false"/>
                <w:smallCaps w:val="false"/>
                <w:sz w:val="20"/>
              </w:rPr>
              <w:t>Independent Auditors</w:t>
            </w:r>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periodic reviews of the adequacy of the accounting and financial reporting processes and systems of internal control that are conducted by the Independent Auditors and our senior management;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independence and performance of the Independent Auditors;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legal and regulatory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Marcum in 2023 were approved by the Audit Committee.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0" w:name="ann_004"/>
      <w:bookmarkEnd w:id="50"/>
      <w:r>
        <w:rPr>
          <w:rFonts w:ascii="Times New Roman;Times;Serif" w:hAnsi="Times New Roman;Times;Serif"/>
          <w:b/>
          <w:i w:val="false"/>
          <w:caps w:val="false"/>
          <w:smallCaps w:val="false"/>
          <w:sz w:val="20"/>
        </w:rPr>
        <w:t>Part 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1" w:name="ann_005"/>
      <w:bookmarkEnd w:id="51"/>
      <w:r>
        <w:rPr>
          <w:rFonts w:ascii="Times New Roman;Times;Serif" w:hAnsi="Times New Roman;Times;Serif"/>
          <w:b/>
          <w:i w:val="false"/>
          <w:caps w:val="false"/>
          <w:smallCaps w:val="false"/>
          <w:sz w:val="20"/>
        </w:rPr>
        <w:t>Item 15. Exhibit and Financial Statement Schedules</w:t>
      </w:r>
    </w:p>
    <w:p>
      <w:pPr>
        <w:pStyle w:val="TextBody"/>
        <w:bidi w:val="0"/>
        <w:spacing w:before="0" w:after="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230"/>
        <w:gridCol w:w="6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Financial Statements, Financial Statement Schedules, and Exhibits.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Financial Statements. </w:t>
            </w:r>
            <w:r>
              <w:rPr>
                <w:rFonts w:ascii="Times New Roman;Times;Serif" w:hAnsi="Times New Roman;Times;Serif"/>
                <w:b w:val="false"/>
                <w:i w:val="false"/>
                <w:caps w:val="false"/>
                <w:smallCaps w:val="false"/>
                <w:sz w:val="20"/>
              </w:rPr>
              <w:t>No financial statements are filed with this Amendment No. 1. These items were included as part of the 2023 Annual Report.</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Financial Statement Schedules. </w:t>
            </w:r>
            <w:r>
              <w:rPr>
                <w:rFonts w:ascii="Times New Roman;Times;Serif" w:hAnsi="Times New Roman;Times;Serif"/>
                <w:b w:val="false"/>
                <w:i w:val="false"/>
                <w:caps w:val="false"/>
                <w:smallCaps w:val="false"/>
                <w:sz w:val="20"/>
              </w:rPr>
              <w:t>Financial statement schedules have been omitted because they are either not required, not applicable, or the information is otherwise included in the 2023 Annual Report.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Exhibits. </w:t>
            </w:r>
            <w:r>
              <w:rPr>
                <w:rFonts w:ascii="Times New Roman;Times;Serif" w:hAnsi="Times New Roman;Times;Serif"/>
                <w:b w:val="false"/>
                <w:i w:val="false"/>
                <w:caps w:val="false"/>
                <w:smallCaps w:val="false"/>
                <w:sz w:val="20"/>
              </w:rPr>
              <w:t>The following exhibits are filed with this Amendment No. 1 or are incorporated herein by reference, as indicated.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
        <w:gridCol w:w="60"/>
        <w:gridCol w:w="7354"/>
        <w:gridCol w:w="60"/>
        <w:gridCol w:w="504"/>
        <w:gridCol w:w="60"/>
        <w:gridCol w:w="655"/>
        <w:gridCol w:w="60"/>
        <w:gridCol w:w="689"/>
      </w:tblGrid>
      <w:tr>
        <w:trPr/>
        <w:tc>
          <w:tcPr>
            <w:tcW w:w="7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68"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5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9"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Plan of Conversion.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June 2023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06/21/2023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Underwriters’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December 2023 Lender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54"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
        <w:gridCol w:w="60"/>
        <w:gridCol w:w="7929"/>
        <w:gridCol w:w="60"/>
        <w:gridCol w:w="353"/>
        <w:gridCol w:w="60"/>
        <w:gridCol w:w="485"/>
        <w:gridCol w:w="60"/>
        <w:gridCol w:w="631"/>
      </w:tblGrid>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Equity Facility Letter Agreement, dated as of May 15, 2022, by and among Dragonfly Energy Corp., Dragonfly Energy Holdings Corp. (f/k/a Chardan NexTech Acquisition 2 Corp.) and CCM Investments 5 LLC (included as Annex K to the proxy statement/prospectus).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Subscription Agreement, dated as of May 15, 2022, between Dragonfly Energy Holdings Corp. (f/k/a Chardan NexTech Acquisition 2 Corp.) and Chardan NexTech Investments 2 LLC (included as Annex F to the proxy statement/prospectus).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Director Indemnification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09/14/2022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Multi-tenant Industrial Triple Net Lease, dated as of March 1, 2021, between Dragonfly Energy Corp. and Icon Reno Property Owner Pool 3 Nevada,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Lease, dated as of February 8, 2022, between Dragonfly Energy Corp. and Prologis, 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Purchase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Registration Rights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Term Loan Agreement, dated as of October 7, 2022, by and among the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Pledge Agreement, dated as of October 7, 2022, by and among Dragonfly Energy Holdings Corp.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Agreement, dated as of January 1,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Employment Agreement, dated as of January 1,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Employment Agreement, dated as of August 17, 2021, by and between Dragonfly Energy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Dragonfly Energy Corp. 2019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Dragonfly Energy Corp. 2021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Amended and Restated Registration Rights Agreement, dated as of October 7, 2022, by and among Dragonfly Energy Holdings Corp. and each of the stockholders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03/02/2023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9"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Separation Agreement by and between Dragonfly Energy Holdings Corp. and Sean Nichols, dated October 25,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
        <w:gridCol w:w="60"/>
        <w:gridCol w:w="7954"/>
        <w:gridCol w:w="60"/>
        <w:gridCol w:w="332"/>
        <w:gridCol w:w="60"/>
        <w:gridCol w:w="485"/>
        <w:gridCol w:w="60"/>
        <w:gridCol w:w="628"/>
      </w:tblGrid>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First Amendment to Separation Agreement by and between Dragonfly Energy Holdings Corp. and Sean Nichols, dated November 14,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Asset Purchase Agreement, dated April 22, 2022, by and among Dragonfly Energy Corp., Thomason Jones Company, LLC, William Thomason and Richard Jones.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Manufacturing Supply Agreement, dated November 19, 2021, by and between Dragonfly Energy Holdings Corp. and Keystone RV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Asset Purchase Agreement, dated January 1, 2022, by and between Dragonfly Energy Holdings Corp. and Bourns Productions,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Assignment and Assumption Agreement, dated January 1, 2022, by and between Dragonfly Energy Corp. and Bourns Productions,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Assignment and Assumption of Lease Agreement, dated January 1, 2022, by and among Dragonfly Energy Corp., Bourns Productions, Inc. and Los Angeles &amp; Steel Co.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Research and Development Lab Lease, dated April 25, 2019, by and between Dragonfly Energy Corp. and BRE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Amendment No. 1 to Research and Lab Lease, dated March 12, 2020, by and between Dragonfly Energy Corp. and DRE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Amendment No. 2 to Research and Lab Lease, dated July 27, 2020, by and between Dragonfly Energy Corp. and DRE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Amendment No. 3 to Research and Lab Lease, dated August 26, 2020, by and between Dragonfly Energy Corp. and DRE RS Greg Park Owner LLC</w:t>
              </w:r>
            </w:hyperlink>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Amendment No. 4 to Research and Lab Lease, dated December 16, 2020, by and between Dragonfly Energy Corp. and BRS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Amendment No. 5 to Research and Lab Lease, dated January 28, 2022, by and between Dragonfly Energy Corp. and BRS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Limited Waiver, dated as of December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Employment Agreement, dated as of November 7, 2022, by and between Dragonfly Energy Holdings Corp. and Wade Seaburg.</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Employment Agreement, dated as of November 7, 2022, by and between Dragonfly Energy Holdings Corp. and Tyler Bourns.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Fernley Lease, dated April 12, 2024, by and between Dragonfly Energy Corp., Cottonmill Properties, LLC, and Marlene Thier.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4"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
        <w:gridCol w:w="60"/>
        <w:gridCol w:w="7599"/>
        <w:gridCol w:w="60"/>
        <w:gridCol w:w="370"/>
        <w:gridCol w:w="60"/>
        <w:gridCol w:w="485"/>
        <w:gridCol w:w="60"/>
        <w:gridCol w:w="779"/>
      </w:tblGrid>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Wade Seaburg.</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Tyler Bourns.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Letter dated November 21, 2023 from BDO USA, P.C. to the Securities Exchange Commission.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11/21/2023</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List of Subsidiaries.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Consent of Marcum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Consent of BDO USA, P.C.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Required Under Rule 13a-14(a) and 15d-14(a) of the Securities Exchange Act of 1934,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Required Under Rule 13a-14(a) and 15d-14(a) of the Securities Exchange Act of 1934,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Certification of Chief Executive Officer Required Under Rule 13a-14(b) of the Securities Exchange Act of 1934, as amended, and 18 U.S.C. §1350.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Dragonfly Energy Holdings Corp. Compensation Recovery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furnished.</w:t>
            </w:r>
          </w:p>
        </w:tc>
      </w:tr>
      <w:tr>
        <w:trPr/>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schedules and exhibits to the agreement have been omitted pursuant to Item 601(b)(2) of Regulation S-K. A copy of any omitted schedule and/or exhibit will be furnished to the Securities and Exchange Commission upon request.</w:t>
            </w:r>
          </w:p>
        </w:tc>
      </w:tr>
      <w:tr>
        <w:trPr/>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form 10-K/A to be signed on its behalf by the undersigned, thereunto duly authorized, in Reno, Nevada, on the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2024.</w:t>
      </w:r>
    </w:p>
    <w:p>
      <w:pPr>
        <w:pStyle w:val="TextBody"/>
        <w:bidi w:val="0"/>
        <w:spacing w:before="0" w:after="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320"/>
        <w:gridCol w:w="6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jc w:val="left"/>
        <w:rPr>
          <w:caps w:val="false"/>
          <w:smallCaps w:val="false"/>
        </w:rPr>
      </w:pPr>
      <w:bookmarkStart w:id="52" w:name="ex31-1.htm"/>
      <w:bookmarkStart w:id="53" w:name="ksex311"/>
      <w:bookmarkEnd w:id="52"/>
      <w:bookmarkEnd w:id="5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on Form 10-K for the period ended December 31, 2023 of Dragonfly Energy Holdings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54" w:name="ex31-2.htm"/>
      <w:bookmarkStart w:id="55" w:name="ksex312"/>
      <w:bookmarkEnd w:id="54"/>
      <w:bookmarkEnd w:id="5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Annual Report for the period ended December 31, 2023 of Dragonfly Energy Holdings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7986/000110465922081684/cntq-20210630xs4.htm" TargetMode="External"/><Relationship Id="rId3" Type="http://schemas.openxmlformats.org/officeDocument/2006/relationships/hyperlink" Target="https://www.sec.gov/Archives/edgar/data/1847986/000110465922081684/cntq-20210630xex2d1a.htm" TargetMode="External"/><Relationship Id="rId4" Type="http://schemas.openxmlformats.org/officeDocument/2006/relationships/hyperlink" Target="https://www.sec.gov/Archives/edgar/data/1847986/000149315223010262/ex2-1.htm" TargetMode="External"/><Relationship Id="rId5" Type="http://schemas.openxmlformats.org/officeDocument/2006/relationships/hyperlink" Target="https://www.sec.gov/Archives/edgar/data/1847986/000149315223010262/ex3-1.htm" TargetMode="External"/><Relationship Id="rId6" Type="http://schemas.openxmlformats.org/officeDocument/2006/relationships/hyperlink" Target="https://www.sec.gov/Archives/edgar/data/1847986/000149315223043109/ex3-1.htm" TargetMode="External"/><Relationship Id="rId7" Type="http://schemas.openxmlformats.org/officeDocument/2006/relationships/hyperlink" Target="https://www.sec.gov/Archives/edgar/data/1847986/000149315223010262/ex3-2.htm" TargetMode="External"/><Relationship Id="rId8" Type="http://schemas.openxmlformats.org/officeDocument/2006/relationships/hyperlink" Target="https://www.sec.gov/Archives/edgar/data/1847986/000110465922107212/tm2222125d3_ex4-1.htm" TargetMode="External"/><Relationship Id="rId9" Type="http://schemas.openxmlformats.org/officeDocument/2006/relationships/hyperlink" Target="https://www.sec.gov/Archives/edgar/data/1847986/000110465922107212/tm2222125d3_ex4-2.htm" TargetMode="External"/><Relationship Id="rId10" Type="http://schemas.openxmlformats.org/officeDocument/2006/relationships/hyperlink" Target="https://www.sec.gov/Archives/edgar/data/1847986/000110465922107212/tm2222125d3_ex4-3.htm" TargetMode="External"/><Relationship Id="rId11" Type="http://schemas.openxmlformats.org/officeDocument/2006/relationships/hyperlink" Target="https://www.sec.gov/Archives/edgar/data/1847986/000110465922110688/dfli-20220630xex4d4.htm" TargetMode="External"/><Relationship Id="rId12" Type="http://schemas.openxmlformats.org/officeDocument/2006/relationships/hyperlink" Target="https://www.sec.gov/Archives/edgar/data/1847986/000149315223012533/ex4-5.htm" TargetMode="External"/><Relationship Id="rId13" Type="http://schemas.openxmlformats.org/officeDocument/2006/relationships/hyperlink" Target="https://www.sec.gov/Archives/edgar/data/1847986/000149315223007147/ex4-1.htm" TargetMode="External"/><Relationship Id="rId14" Type="http://schemas.openxmlformats.org/officeDocument/2006/relationships/hyperlink" Target="https://www.sec.gov/ix?doc=/Archives/edgar/data/1847986/000149315223021997/form8-k.htm" TargetMode="External"/><Relationship Id="rId15" Type="http://schemas.openxmlformats.org/officeDocument/2006/relationships/hyperlink" Target="https://www.sec.gov/Archives/edgar/data/1847986/000149315223021293/ex4-8.htm" TargetMode="External"/><Relationship Id="rId16" Type="http://schemas.openxmlformats.org/officeDocument/2006/relationships/hyperlink" Target="https://www.sec.gov/Archives/edgar/data/1847986/000149315223046623/ex4-1.htm" TargetMode="External"/><Relationship Id="rId17" Type="http://schemas.openxmlformats.org/officeDocument/2006/relationships/hyperlink" Target="https://www.sec.gov/Archives/edgar/data/1847986/000149315224014831/ex4-10.htm" TargetMode="External"/><Relationship Id="rId18" Type="http://schemas.openxmlformats.org/officeDocument/2006/relationships/hyperlink" Target="https://www.sec.gov/ix?doc=/Archives/edgar/data/1847986/000110465922081684/cntq-20210630xs4.htm" TargetMode="External"/><Relationship Id="rId19" Type="http://schemas.openxmlformats.org/officeDocument/2006/relationships/hyperlink" Target="https://www.sec.gov/ix?doc=/Archives/edgar/data/1847986/000110465922081684/cntq-20210630xs4.htm" TargetMode="External"/><Relationship Id="rId20" Type="http://schemas.openxmlformats.org/officeDocument/2006/relationships/hyperlink" Target="https://www.sec.gov/ix?doc=/Archives/edgar/data/1847986/000110465922081684/cntq-20210630xs4.htm" TargetMode="External"/><Relationship Id="rId21" Type="http://schemas.openxmlformats.org/officeDocument/2006/relationships/hyperlink" Target="https://www.sec.gov/ix?doc=/Archives/edgar/data/1847986/000110465922081684/cntq-20210630xs4.htm" TargetMode="External"/><Relationship Id="rId22" Type="http://schemas.openxmlformats.org/officeDocument/2006/relationships/hyperlink" Target="https://www.sec.gov/Archives/edgar/data/1847986/000110465922107212/tm2222125d3_ex10-5.htm" TargetMode="External"/><Relationship Id="rId23" Type="http://schemas.openxmlformats.org/officeDocument/2006/relationships/hyperlink" Target="https://www.sec.gov/Archives/edgar/data/1847986/000110465922107212/tm2222125d3_ex10-6.htm" TargetMode="External"/><Relationship Id="rId24" Type="http://schemas.openxmlformats.org/officeDocument/2006/relationships/hyperlink" Target="https://www.sec.gov/Archives/edgar/data/1847986/000110465922099731/tm2218377d21_ex10-10.htm" TargetMode="External"/><Relationship Id="rId25" Type="http://schemas.openxmlformats.org/officeDocument/2006/relationships/hyperlink" Target="https://www.sec.gov/Archives/edgar/data/1847986/000110465922081684/cntq-20210630xex10d11.htm" TargetMode="External"/><Relationship Id="rId26" Type="http://schemas.openxmlformats.org/officeDocument/2006/relationships/hyperlink" Target="https://www.sec.gov/ix?doc=/Archives/edgar/data/1847986/000110465922081684/cntq-20210630xs4.htm" TargetMode="External"/><Relationship Id="rId27" Type="http://schemas.openxmlformats.org/officeDocument/2006/relationships/hyperlink" Target="https://www.sec.gov/Archives/edgar/data/1847986/000110465922107212/tm2222125d3_ex10-10.htm" TargetMode="External"/><Relationship Id="rId28" Type="http://schemas.openxmlformats.org/officeDocument/2006/relationships/hyperlink" Target="https://www.sec.gov/Archives/edgar/data/1847986/000110465922107212/tm2222125d3_ex10-11.htm" TargetMode="External"/><Relationship Id="rId29" Type="http://schemas.openxmlformats.org/officeDocument/2006/relationships/hyperlink" Target="https://www.sec.gov/Archives/edgar/data/1847986/000110465922107212/tm2222125d3_ex10-12.htm" TargetMode="External"/><Relationship Id="rId30" Type="http://schemas.openxmlformats.org/officeDocument/2006/relationships/hyperlink" Target="https://www.sec.gov/Archives/edgar/data/1847986/000110465922107212/tm2222125d3_ex10-13.htm" TargetMode="External"/><Relationship Id="rId31" Type="http://schemas.openxmlformats.org/officeDocument/2006/relationships/hyperlink" Target="https://www.sec.gov/Archives/edgar/data/1847986/000110465922107212/tm2222125d3_ex10-14.htm" TargetMode="External"/><Relationship Id="rId32" Type="http://schemas.openxmlformats.org/officeDocument/2006/relationships/hyperlink" Target="https://www.sec.gov/Archives/edgar/data/1847986/000110465922107212/tm2222125d3_ex10-15.htm" TargetMode="External"/><Relationship Id="rId33" Type="http://schemas.openxmlformats.org/officeDocument/2006/relationships/hyperlink" Target="https://www.sec.gov/Archives/edgar/data/1847986/000110465922107212/tm2222125d3_ex10-16.htm" TargetMode="External"/><Relationship Id="rId34" Type="http://schemas.openxmlformats.org/officeDocument/2006/relationships/hyperlink" Target="https://www.sec.gov/Archives/edgar/data/1847986/000110465922107212/tm2222125d3_ex10-17.htm" TargetMode="External"/><Relationship Id="rId35" Type="http://schemas.openxmlformats.org/officeDocument/2006/relationships/hyperlink" Target="https://www.sec.gov/Archives/edgar/data/1847986/000110465922107212/tm2222125d3_ex10-18.htm" TargetMode="External"/><Relationship Id="rId36" Type="http://schemas.openxmlformats.org/officeDocument/2006/relationships/hyperlink" Target="https://www.sec.gov/Archives/edgar/data/1847986/000110465922107212/tm2222125d3_ex10-19.htm" TargetMode="External"/><Relationship Id="rId37" Type="http://schemas.openxmlformats.org/officeDocument/2006/relationships/hyperlink" Target="https://www.sec.gov/Archives/edgar/data/1847986/000110465922107212/tm2222125d3_ex10-20.htm" TargetMode="External"/><Relationship Id="rId38" Type="http://schemas.openxmlformats.org/officeDocument/2006/relationships/hyperlink" Target="https://www.sec.gov/Archives/edgar/data/1847986/000110465922107212/tm2222125d3_ex10-21.htm" TargetMode="External"/><Relationship Id="rId39" Type="http://schemas.openxmlformats.org/officeDocument/2006/relationships/hyperlink" Target="https://www.sec.gov/Archives/edgar/data/1847986/000110465922114961/dfli-20220630xex10d22.htm" TargetMode="External"/><Relationship Id="rId40" Type="http://schemas.openxmlformats.org/officeDocument/2006/relationships/hyperlink" Target="https://www.sec.gov/Archives/edgar/data/1847986/000110465922114961/dfli-20220630xex10d23.htm" TargetMode="External"/><Relationship Id="rId41" Type="http://schemas.openxmlformats.org/officeDocument/2006/relationships/hyperlink" Target="https://www.sec.gov/Archives/edgar/data/1847986/000110465922114961/dfli-20220630xex10d24.htm" TargetMode="External"/><Relationship Id="rId42" Type="http://schemas.openxmlformats.org/officeDocument/2006/relationships/hyperlink" Target="https://www.sec.gov/Archives/edgar/data/1847986/000149315223006564/ex10-1.htm" TargetMode="External"/><Relationship Id="rId43" Type="http://schemas.openxmlformats.org/officeDocument/2006/relationships/hyperlink" Target="https://www.sec.gov/Archives/edgar/data/1847986/000149315223012533/ex10-26.htm" TargetMode="External"/><Relationship Id="rId44" Type="http://schemas.openxmlformats.org/officeDocument/2006/relationships/hyperlink" Target="https://www.sec.gov/Archives/edgar/data/1847986/000149315223012533/ex10-27.htm" TargetMode="External"/><Relationship Id="rId45" Type="http://schemas.openxmlformats.org/officeDocument/2006/relationships/hyperlink" Target="https://www.sec.gov/Archives/edgar/data/1847986/000149315223012533/ex10-28.htm" TargetMode="External"/><Relationship Id="rId46" Type="http://schemas.openxmlformats.org/officeDocument/2006/relationships/hyperlink" Target="https://www.sec.gov/Archives/edgar/data/1847986/000149315223012533/ex10-29.htm" TargetMode="External"/><Relationship Id="rId47" Type="http://schemas.openxmlformats.org/officeDocument/2006/relationships/hyperlink" Target="https://www.sec.gov/Archives/edgar/data/1847986/000149315223012533/ex10-30.htm" TargetMode="External"/><Relationship Id="rId48" Type="http://schemas.openxmlformats.org/officeDocument/2006/relationships/hyperlink" Target="https://www.sec.gov/Archives/edgar/data/1847986/000149315223012533/ex10-31.htm" TargetMode="External"/><Relationship Id="rId49" Type="http://schemas.openxmlformats.org/officeDocument/2006/relationships/hyperlink" Target="https://www.sec.gov/Archives/edgar/data/1847986/000149315223012533/ex10-32.htm" TargetMode="External"/><Relationship Id="rId50" Type="http://schemas.openxmlformats.org/officeDocument/2006/relationships/hyperlink" Target="https://www.sec.gov/Archives/edgar/data/1847986/000149315223012533/ex10-33.htm" TargetMode="External"/><Relationship Id="rId51" Type="http://schemas.openxmlformats.org/officeDocument/2006/relationships/hyperlink" Target="https://www.sec.gov/Archives/edgar/data/1847986/000149315223012533/ex10-34.htm" TargetMode="External"/><Relationship Id="rId52" Type="http://schemas.openxmlformats.org/officeDocument/2006/relationships/hyperlink" Target="https://www.sec.gov/Archives/edgar/data/1847986/000149315223012533/ex10-35.htm" TargetMode="External"/><Relationship Id="rId53" Type="http://schemas.openxmlformats.org/officeDocument/2006/relationships/hyperlink" Target="https://www.sec.gov/Archives/edgar/data/1847986/000149315223012533/ex10-36.htm" TargetMode="External"/><Relationship Id="rId54" Type="http://schemas.openxmlformats.org/officeDocument/2006/relationships/hyperlink" Target="https://www.sec.gov/Archives/edgar/data/1847986/000149315223012533/ex10-37.htm" TargetMode="External"/><Relationship Id="rId55" Type="http://schemas.openxmlformats.org/officeDocument/2006/relationships/hyperlink" Target="https://www.sec.gov/Archives/edgar/data/1847986/000149315223012533/ex10-38.htm" TargetMode="External"/><Relationship Id="rId56" Type="http://schemas.openxmlformats.org/officeDocument/2006/relationships/hyperlink" Target="https://www.sec.gov/Archives/edgar/data/1847986/000149315223009479/ex10-1.htm" TargetMode="External"/><Relationship Id="rId57" Type="http://schemas.openxmlformats.org/officeDocument/2006/relationships/hyperlink" Target="https://www.sec.gov/Archives/edgar/data/1847986/000149315223046623/ex10-1.htm" TargetMode="External"/><Relationship Id="rId58" Type="http://schemas.openxmlformats.org/officeDocument/2006/relationships/hyperlink" Target="https://www.sec.gov/Archives/edgar/data/1847986/000149315224014831/ex10-42.htm" TargetMode="External"/><Relationship Id="rId59" Type="http://schemas.openxmlformats.org/officeDocument/2006/relationships/hyperlink" Target="https://www.sec.gov/Archives/edgar/data/1847986/000149315224014831/ex10-43.htm" TargetMode="External"/><Relationship Id="rId60" Type="http://schemas.openxmlformats.org/officeDocument/2006/relationships/hyperlink" Target="https://www.sec.gov/Archives/edgar/data/1847986/000149315224014831/ex10-44.htm" TargetMode="External"/><Relationship Id="rId61" Type="http://schemas.openxmlformats.org/officeDocument/2006/relationships/hyperlink" Target="https://www.sec.gov/Archives/edgar/data/1847986/000149315224014831/ex10-45.htm" TargetMode="External"/><Relationship Id="rId62" Type="http://schemas.openxmlformats.org/officeDocument/2006/relationships/hyperlink" Target="https://www.sec.gov/Archives/edgar/data/1847986/000149315224014831/ex10-46.htm" TargetMode="External"/><Relationship Id="rId63" Type="http://schemas.openxmlformats.org/officeDocument/2006/relationships/hyperlink" Target="https://www.sec.gov/Archives/edgar/data/1847986/000149315224014831/ex10-47.htm" TargetMode="External"/><Relationship Id="rId64" Type="http://schemas.openxmlformats.org/officeDocument/2006/relationships/hyperlink" Target="https://www.sec.gov/Archives/edgar/data/1847986/000149315223042295/ex16-1.htm" TargetMode="External"/><Relationship Id="rId65" Type="http://schemas.openxmlformats.org/officeDocument/2006/relationships/hyperlink" Target="https://www.sec.gov/Archives/edgar/data/1847986/000110465922107212/tm2222125d3_ex21-1.htm" TargetMode="External"/><Relationship Id="rId66" Type="http://schemas.openxmlformats.org/officeDocument/2006/relationships/hyperlink" Target="https://www.sec.gov/Archives/edgar/data/1847986/000149315224014831/ex23-1.htm" TargetMode="External"/><Relationship Id="rId67" Type="http://schemas.openxmlformats.org/officeDocument/2006/relationships/hyperlink" Target="https://www.sec.gov/Archives/edgar/data/1847986/000149315224014831/ex23-2.htm" TargetMode="External"/><Relationship Id="rId68" Type="http://schemas.openxmlformats.org/officeDocument/2006/relationships/hyperlink" Target="https://www.sec.gov/Archives/edgar/data/1847986/000149315224014831/ex32-1.htm" TargetMode="External"/><Relationship Id="rId69" Type="http://schemas.openxmlformats.org/officeDocument/2006/relationships/hyperlink" Target="https://www.sec.gov/Archives/edgar/data/1847986/000149315224014831/ex97-1.htm" TargetMode="External"/><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16602</Words>
  <Characters>89288</Characters>
  <CharactersWithSpaces>106621</CharactersWithSpaces>
  <Paragraphs>3041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