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 2025, Dragonfly Energy Holdings Corp. (the “Company”) received notice (the “Notice”) from The Nasdaq Stock Market LLC (“Nasdaq”) that, based on the plan of compliance submitted by the Company, a Nasdaq Hearings Panel (the “Panel”) had granted the Company an exception until November 10, 2025 (the “Exception”) to regain compliance with (i) the $1.00 minimum bid price requirement for continued listing on The Nasdaq Capital Market under Nasdaq Listing Rule 5550(a)(2) (the “Bid Price Requirement”) and (ii) the requirement to maintain a minimum market value of listed securities (“MVLS”) of $35 million for continued listing on The Nasdaq Capital Market under Nasdaq Listing Rule 5550(b)(2) (the “MVLS Requirement”), subject to the Company’s achievement of certain milestones, including the conversion by the holder of its remaining outstanding shares of preferred stock of the Company into shares of common stock of the Company by July 18, 2025 and the restructuring of a portion of the Company’s outstanding debt or conversion of such debt into shares of the Company’s common stock by mid-August 2025. In the event the Company fails to meet these and other milestones set forth in the compliance plan submitted to the Panel or otherwise regain compliance with the Bid Price Requirement and the MVLS Requirement or the alternative criteria by November 10, 2025, its securities will be delisted from Nasdaq. The Exception was granted following the Company’s hearing with the Panel on June 24, 2025.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May 14, 2025, the Company received a notice from the Listing Qualifications Staff (the “Staff”) of Nasdaq indicating that, based upon the Company’s non-compliance with the Bid Price Requirement, the Staff had determined to delist the Company’s securities from Nasdaq, subject to the Company’s request for a hearing before the Panel. The Company timely requested a hearing before the Panel. In addition, on June 11, 2025, the Company received an additional staff determination letter indicating that, based upon the Company’s non-compliance with the MVLS Requirement, the Staff had determined such non-compliance served as an additional basis for delisting the Company’s securities from Nasdaq. Additionally, as of the date of this Current Report, the Company does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or redeemable warrants, which will continue to trade on The Nasdaq Capital Market under the symbols “DFLI” and “DFLIW”, respectively, subject to the Company’s compliance with the other continued listing requirements of The Nasdaq Capital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intends to continue to take definitive steps and use its reasonable best efforts to achieve these milestones and achieve compliance with the Bid Price Requirement and the MVLS Requirement within the established dates or maintain compliance with the other Nasdaq listing requirements, there is significant risk that the Company may not be able to achieve these milestones or regain compliance with the Bid Price Requirement and the MVLS Requirement within the established dates or maintain compliance with the other Nasdaq listing requirements. In the event the Company is unable to do so, the Company’s securities will be delisted from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July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 w:leader="none" w:pos="6720" w:val="left"/>
          <w:tab w:leader="none" w:pos="7580" w:val="left"/>
          <w:tab w:leader="none" w:pos="8260" w:val="left"/>
          <w:tab w:leader="none" w:pos="8940" w:val="left"/>
          <w:tab w:leader="none" w:pos="9480" w:val="left"/>
          <w:tab w:leader="none" w:pos="10300" w:val="left"/>
          <w:tab w:leader="none" w:pos="10940" w:val="left"/>
        </w:tabs>
        <w:rPr>
          <w:sz w:val="20"/>
          <w:szCs w:val="20"/>
          <w:color w:val="auto"/>
        </w:rPr>
      </w:pPr>
      <w:r>
        <w:rPr>
          <w:rFonts w:ascii="Times New Roman" w:cs="Times New Roman" w:eastAsia="Times New Roman" w:hAnsi="Times New Roman"/>
          <w:sz w:val="18"/>
          <w:szCs w:val="18"/>
          <w:color w:val="auto"/>
        </w:rPr>
        <w:t>Title:</w:t>
        <w:tab/>
        <w:t>Chief</w:t>
        <w:tab/>
        <w:t>Executive</w:t>
        <w:tab/>
        <w:t>Officer,</w:t>
        <w:tab/>
        <w:t>Interim</w:t>
        <w:tab/>
        <w:t>Chief</w:t>
        <w:tab/>
        <w:t>Financial</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2025-07-07T06:43:38Z</dcterms:created>
  <dcterms:modified xsi:type="dcterms:W3CDTF">2025-07-07T06:43:38Z</dcterms:modified>
</cp:coreProperties>
</file>