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p>
      <w:pPr>
        <w:spacing w:after="0" w:line="203"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we are not soliciting an offer to buy these securities in any jurisdiction where the offer or sale is not permitted.</w:t>
      </w:r>
    </w:p>
    <w:p>
      <w:pPr>
        <w:spacing w:after="0" w:line="176" w:lineRule="exact"/>
        <w:rPr>
          <w:sz w:val="24"/>
          <w:szCs w:val="24"/>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FF0000"/>
        </w:rPr>
        <w:t>Subject to completion, dated October 6, 2025</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163830</wp:posOffset>
            </wp:positionV>
            <wp:extent cx="174879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41" w:lineRule="exact"/>
        <w:rPr>
          <w:sz w:val="24"/>
          <w:szCs w:val="24"/>
          <w:color w:val="auto"/>
        </w:rPr>
      </w:pPr>
    </w:p>
    <w:p>
      <w:pPr>
        <w:spacing w:after="0"/>
        <w:tabs>
          <w:tab w:leader="none" w:pos="1600" w:val="left"/>
          <w:tab w:leader="none" w:pos="596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8"/>
          <w:szCs w:val="18"/>
          <w:color w:val="auto"/>
        </w:rPr>
        <w:t>shares of our common stock at an offering price of $</w:t>
      </w:r>
      <w:r>
        <w:rPr>
          <w:sz w:val="20"/>
          <w:szCs w:val="20"/>
          <w:color w:val="auto"/>
        </w:rPr>
        <w:tab/>
      </w:r>
      <w:r>
        <w:rPr>
          <w:rFonts w:ascii="Times New Roman" w:cs="Times New Roman" w:eastAsia="Times New Roman" w:hAnsi="Times New Roman"/>
          <w:sz w:val="17"/>
          <w:szCs w:val="17"/>
          <w:color w:val="auto"/>
        </w:rPr>
        <w:t>per share.</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and our public warrants (the “Public Warrants”) are currently listed on the Nasdaq Capital Market under the symbol “DFLIW.” On October 3, 2025, the last reported sales price of our common stock on the Nasdaq Capital Market was $1.89 per share and the last reported sales price of our Public Warrants was $0.175.</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future filings. See “Prospectus Supplement Summary—Emerging Growth Company and Smaller Reporting Company.”</w:t>
      </w:r>
    </w:p>
    <w:p>
      <w:pPr>
        <w:spacing w:after="0" w:line="172"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buying any shares, you should read the discussion of material risks of investing in our securities in “Risk Factors” beginning on page S-5 of this prospectus supplement, on page 3 of the accompanying prospectus and in the documents incorporated by reference in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20" w:type="dxa"/>
            <w:vAlign w:val="bottom"/>
          </w:tcPr>
          <w:p>
            <w:pPr>
              <w:spacing w:after="0"/>
              <w:rPr>
                <w:sz w:val="20"/>
                <w:szCs w:val="20"/>
                <w:color w:val="auto"/>
              </w:rPr>
            </w:pPr>
          </w:p>
        </w:tc>
        <w:tc>
          <w:tcPr>
            <w:tcW w:w="19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940" w:type="dxa"/>
            <w:vAlign w:val="bottom"/>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194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940" w:type="dxa"/>
            <w:vAlign w:val="bottom"/>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4"/>
          <w:szCs w:val="24"/>
          <w:color w:val="auto"/>
        </w:rPr>
      </w:pPr>
    </w:p>
    <w:p>
      <w:pPr>
        <w:ind w:firstLine="8"/>
        <w:spacing w:after="0" w:line="286" w:lineRule="auto"/>
        <w:tabs>
          <w:tab w:leader="none" w:pos="2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 for certain of its reasonable out-of-pocket expenses. See “Underwriting” beginning on page 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for more information on this offering and the underwriting arrangements.</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w:t>
            </w:r>
          </w:p>
        </w:tc>
        <w:tc>
          <w:tcPr>
            <w:tcW w:w="5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2025. We have granted the underwriter an option for a period of 30 days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to purchase up to</w:t>
            </w:r>
          </w:p>
        </w:tc>
        <w:tc>
          <w:tcPr>
            <w:tcW w:w="9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additional shares of our common stock. If the underwriter exercises the option in full, the total underwriting discounts and</w:t>
            </w: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 payable by us will be $</w:t>
            </w:r>
          </w:p>
        </w:tc>
        <w:tc>
          <w:tcPr>
            <w:tcW w:w="424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rPr>
              <w:t>and the total proceeds to us, before expenses, will be $</w:t>
            </w:r>
          </w:p>
        </w:tc>
        <w:tc>
          <w:tcPr>
            <w:tcW w:w="412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40" w:type="dxa"/>
            <w:vAlign w:val="bottom"/>
            <w:gridSpan w:val="2"/>
          </w:tcPr>
          <w:p>
            <w:pPr>
              <w:jc w:val="center"/>
              <w:ind w:left="1157"/>
              <w:spacing w:after="0"/>
              <w:rPr>
                <w:sz w:val="20"/>
                <w:szCs w:val="20"/>
                <w:color w:val="auto"/>
              </w:rPr>
            </w:pPr>
            <w:r>
              <w:rPr>
                <w:rFonts w:ascii="Times New Roman" w:cs="Times New Roman" w:eastAsia="Times New Roman" w:hAnsi="Times New Roman"/>
                <w:sz w:val="18"/>
                <w:szCs w:val="18"/>
                <w:i w:val="1"/>
                <w:iCs w:val="1"/>
                <w:color w:val="auto"/>
              </w:rPr>
              <w:t>Sole Bookrunner</w:t>
            </w:r>
          </w:p>
        </w:tc>
        <w:tc>
          <w:tcPr>
            <w:tcW w:w="4120" w:type="dxa"/>
            <w:vAlign w:val="bottom"/>
          </w:tcPr>
          <w:p>
            <w:pPr>
              <w:spacing w:after="0"/>
              <w:rPr>
                <w:sz w:val="24"/>
                <w:szCs w:val="24"/>
                <w:color w:val="auto"/>
              </w:rPr>
            </w:pPr>
          </w:p>
        </w:tc>
      </w:tr>
      <w:tr>
        <w:trPr>
          <w:trHeight w:val="383"/>
        </w:trPr>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40" w:type="dxa"/>
            <w:vAlign w:val="bottom"/>
            <w:gridSpan w:val="2"/>
          </w:tcPr>
          <w:p>
            <w:pPr>
              <w:jc w:val="center"/>
              <w:ind w:left="1137"/>
              <w:spacing w:after="0"/>
              <w:rPr>
                <w:sz w:val="20"/>
                <w:szCs w:val="20"/>
                <w:color w:val="auto"/>
              </w:rPr>
            </w:pPr>
            <w:r>
              <w:rPr>
                <w:rFonts w:ascii="Times New Roman" w:cs="Times New Roman" w:eastAsia="Times New Roman" w:hAnsi="Times New Roman"/>
                <w:sz w:val="29"/>
                <w:szCs w:val="29"/>
                <w:b w:val="1"/>
                <w:bCs w:val="1"/>
                <w:color w:val="auto"/>
                <w:w w:val="98"/>
              </w:rPr>
              <w:t>Canaccord Genuity</w:t>
            </w:r>
          </w:p>
        </w:tc>
        <w:tc>
          <w:tcPr>
            <w:tcW w:w="4120" w:type="dxa"/>
            <w:vAlign w:val="bottom"/>
          </w:tcPr>
          <w:p>
            <w:pPr>
              <w:spacing w:after="0"/>
              <w:rPr>
                <w:sz w:val="24"/>
                <w:szCs w:val="24"/>
                <w:color w:val="auto"/>
              </w:rPr>
            </w:pPr>
          </w:p>
        </w:tc>
      </w:tr>
      <w:tr>
        <w:trPr>
          <w:trHeight w:val="425"/>
        </w:trPr>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4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The date of this prospectus supplement is</w:t>
            </w:r>
          </w:p>
        </w:tc>
        <w:tc>
          <w:tcPr>
            <w:tcW w:w="412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1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6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34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71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5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w:t>
            </w:r>
          </w:p>
        </w:tc>
        <w:tc>
          <w:tcPr>
            <w:tcW w:w="6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74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 has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underwriter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the underwriter are offering to sell, and seeking offers to buy, shares of our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299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S-5 and in the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In addition, we are currently exploring opportunities within North America as part of our efforts to build a cell manufacturing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Tech Hub Award</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Tech Hub, a program designed to strengthen Nevada’s lithium battery supply chain, has selected us for funding in its first round of awards. The agreement relating to the award is currently being finalized. The award, expected to total approximately $300,000, will be applied toward high-impact modernization and workforce development initiatives. Key elements of the project include advancing toward ISO 9001 certification, modernizing production systems and upgrading our battery manufacturing lines. There can be no assurance that a definitive agreement will be executed, that the final award amount will be as expected or that the contemplated project will be undertaken or completed as described.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573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Compliance with Nasdaq Continued Listing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2025, we received a notice from the Listing Qualifications Staff (the “Staff”) of The Nasdaq Stock Market LLC (“Nasdaq”) indicating that, based upon our non-compliance with the $1.00 minimum bid price requirement for continued listing on The Nasdaq Capital Market under Nasdaq Listing Rule 5550(a)(2) (the “Bid Price Requirement”), the Staff had determined to delist the our securities from Nasdaq, subject to our request for a hearing before a Nasdaq Hearings Panel (the “Panel”). We timely requested a hearing before the Panel. In addition, on June 11, 2025, we received an additional staff determination letter indicating that, based upon our non-compliance with the requirement to maintain a minimum market value of listed securities (“MVLS”) of $35 million for continued listing on The Nasdaq Capital Market under Nasdaq Listing Rule 5550(b)(2)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a notice (the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6"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1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6640" w:type="dxa"/>
            <w:vAlign w:val="bottom"/>
          </w:tcPr>
          <w:p>
            <w:pPr>
              <w:spacing w:after="0"/>
              <w:rPr>
                <w:sz w:val="24"/>
                <w:szCs w:val="24"/>
                <w:color w:val="auto"/>
              </w:rPr>
            </w:pP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1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shares (or</w:t>
            </w:r>
          </w:p>
        </w:tc>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if the underwriter exercises in full its option to purchase additional shares).</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172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w:t>
            </w: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 have granted the underwriter the option, exercisable for 30 days from the date of this prospectus supplement,</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shares from us</w:t>
            </w: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purchase up to additional shares of our common stock.</w:t>
            </w: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w:t>
            </w:r>
          </w:p>
        </w:tc>
      </w:tr>
      <w:tr>
        <w:trPr>
          <w:trHeight w:val="216"/>
        </w:trPr>
        <w:tc>
          <w:tcPr>
            <w:tcW w:w="2560" w:type="dxa"/>
            <w:vAlign w:val="bottom"/>
          </w:tcPr>
          <w:p>
            <w:pPr>
              <w:spacing w:after="0"/>
              <w:rPr>
                <w:sz w:val="18"/>
                <w:szCs w:val="18"/>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purposes, including the prepayment of $4.0 million under our Term Loan, Guarantee and Security Agreement,</w:t>
            </w:r>
          </w:p>
        </w:tc>
      </w:tr>
      <w:tr>
        <w:trPr>
          <w:trHeight w:val="216"/>
        </w:trPr>
        <w:tc>
          <w:tcPr>
            <w:tcW w:w="2560" w:type="dxa"/>
            <w:vAlign w:val="bottom"/>
          </w:tcPr>
          <w:p>
            <w:pPr>
              <w:spacing w:after="0"/>
              <w:rPr>
                <w:sz w:val="18"/>
                <w:szCs w:val="18"/>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dated October 7, 2022, with ALTER DOMUS (US) LLC, as agent, and certain lenders (as amended to date, the</w:t>
            </w:r>
          </w:p>
        </w:tc>
      </w:tr>
      <w:tr>
        <w:trPr>
          <w:trHeight w:val="216"/>
        </w:trPr>
        <w:tc>
          <w:tcPr>
            <w:tcW w:w="2560" w:type="dxa"/>
            <w:vAlign w:val="bottom"/>
          </w:tcPr>
          <w:p>
            <w:pPr>
              <w:spacing w:after="0"/>
              <w:rPr>
                <w:sz w:val="18"/>
                <w:szCs w:val="18"/>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“Term Loan Agreement”), continued investments in initiatives intended to drive near term revenue, and</w:t>
            </w:r>
          </w:p>
        </w:tc>
      </w:tr>
      <w:tr>
        <w:trPr>
          <w:trHeight w:val="216"/>
        </w:trPr>
        <w:tc>
          <w:tcPr>
            <w:tcW w:w="2560" w:type="dxa"/>
            <w:vAlign w:val="bottom"/>
          </w:tcPr>
          <w:p>
            <w:pPr>
              <w:spacing w:after="0"/>
              <w:rPr>
                <w:sz w:val="18"/>
                <w:szCs w:val="18"/>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continued strategic investment in next generation battery technologies, including scaling the dry electrode</w:t>
            </w:r>
          </w:p>
        </w:tc>
      </w:tr>
      <w:tr>
        <w:trPr>
          <w:trHeight w:val="234"/>
        </w:trPr>
        <w:tc>
          <w:tcPr>
            <w:tcW w:w="2560" w:type="dxa"/>
            <w:vAlign w:val="bottom"/>
          </w:tcPr>
          <w:p>
            <w:pPr>
              <w:spacing w:after="0"/>
              <w:rPr>
                <w:sz w:val="20"/>
                <w:szCs w:val="20"/>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process and its application to solid-state batteries. See “Use of Proceeds” on page S-8.</w:t>
            </w: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S-5. of this</w:t>
            </w:r>
          </w:p>
        </w:tc>
      </w:tr>
      <w:tr>
        <w:trPr>
          <w:trHeight w:val="216"/>
        </w:trPr>
        <w:tc>
          <w:tcPr>
            <w:tcW w:w="2560" w:type="dxa"/>
            <w:vAlign w:val="bottom"/>
          </w:tcPr>
          <w:p>
            <w:pPr>
              <w:spacing w:after="0"/>
              <w:rPr>
                <w:sz w:val="18"/>
                <w:szCs w:val="18"/>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prospectus supplement and under similar headings in the other documents that are filed after the date hereof and</w:t>
            </w:r>
          </w:p>
        </w:tc>
      </w:tr>
      <w:tr>
        <w:trPr>
          <w:trHeight w:val="216"/>
        </w:trPr>
        <w:tc>
          <w:tcPr>
            <w:tcW w:w="2560" w:type="dxa"/>
            <w:vAlign w:val="bottom"/>
          </w:tcPr>
          <w:p>
            <w:pPr>
              <w:spacing w:after="0"/>
              <w:rPr>
                <w:sz w:val="18"/>
                <w:szCs w:val="18"/>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 for a discussion of</w:t>
            </w:r>
          </w:p>
        </w:tc>
      </w:tr>
      <w:tr>
        <w:trPr>
          <w:trHeight w:val="234"/>
        </w:trPr>
        <w:tc>
          <w:tcPr>
            <w:tcW w:w="2560" w:type="dxa"/>
            <w:vAlign w:val="bottom"/>
          </w:tcPr>
          <w:p>
            <w:pPr>
              <w:spacing w:after="0"/>
              <w:rPr>
                <w:sz w:val="20"/>
                <w:szCs w:val="20"/>
                <w:color w:val="auto"/>
              </w:rPr>
            </w:pP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factors to consider before deciding to purchase our securities.</w:t>
            </w: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887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61,805,765 shares of common stock outstanding on October 3, 2025 and excludes:</w:t>
      </w:r>
    </w:p>
    <w:p>
      <w:pPr>
        <w:spacing w:after="0" w:line="162" w:lineRule="exact"/>
        <w:rPr>
          <w:sz w:val="20"/>
          <w:szCs w:val="20"/>
          <w:color w:val="auto"/>
        </w:rPr>
      </w:pPr>
    </w:p>
    <w:p>
      <w:pPr>
        <w:ind w:left="640" w:hanging="321"/>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our merger in October 2022 (the “Business Combination”);</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October 3, 2025, with an exercise price of $103.50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(the “Private Warrants”) outstanding as of October 3, 2025, with an exercise price of $103.50 per share;</w:t>
      </w:r>
    </w:p>
    <w:p>
      <w:pPr>
        <w:ind w:left="64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other warrants outstanding as of October 3, 2025, with a weighted average exercise price of $18.22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(the “Penny Warrants”) outstanding as of October 3, 2025, with an exercise price of $0.09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October 3, 2025, with an exercise price of $0.01 per share;</w:t>
      </w: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137,522 shares of common stock underlying outstanding options as October 3, 2025, with a weighted average exercise price of $24.90 per share;</w:t>
      </w:r>
    </w:p>
    <w:p>
      <w:pPr>
        <w:ind w:left="640" w:hanging="321"/>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169,758 shares of common stock underlying outstanding restricted stock units as of October 3, 2025; and</w:t>
      </w:r>
    </w:p>
    <w:p>
      <w:pPr>
        <w:spacing w:after="0" w:line="9" w:lineRule="exact"/>
        <w:rPr>
          <w:rFonts w:ascii="Times New Roman" w:cs="Times New Roman" w:eastAsia="Times New Roman" w:hAnsi="Times New Roman"/>
          <w:sz w:val="18"/>
          <w:szCs w:val="18"/>
          <w:color w:val="auto"/>
        </w:rPr>
      </w:pPr>
    </w:p>
    <w:p>
      <w:pPr>
        <w:jc w:val="both"/>
        <w:ind w:left="640" w:right="20" w:hanging="321"/>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1,149,115 shares of commons stock available for future awards under our equity incentive plans and employee stock purchase plan (or 10,149,115 if the amendment to our 2022 equity incentive plan is approved at our annual meeting of stockholders to be held on October 15, 2025).</w:t>
      </w:r>
    </w:p>
    <w:p>
      <w:pPr>
        <w:spacing w:after="0" w:line="186" w:lineRule="exact"/>
        <w:rPr>
          <w:sz w:val="20"/>
          <w:szCs w:val="20"/>
          <w:color w:val="auto"/>
        </w:rPr>
      </w:pPr>
    </w:p>
    <w:p>
      <w:pPr>
        <w:ind w:left="720" w:right="20" w:hanging="719"/>
        <w:spacing w:after="0" w:line="261"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notice from the Staff of Nasdaq indicating that, based upon our non-compliance with the Bid Price Requirement, the Staff had determined to delist our securities from Nasdaq, subject to our request for a hearing before the Panel. We timely requested a hearing before the Panel. In addition, 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the Notice from Nasdaq that, based on the plan of compliance that we had submitted, the Panel had granted us the Exception, until November 10, 2025,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take definitive steps and use reasonable best efforts to achieve these milestones and achieve compliance with the Bid Price Requirement and the MVLS Requirement within the established dates or maintain compliance with the other Nasdaq listing requirements, there is significant risk that we may not be able to achieve these milestones or regain compliance with the Bid Price Requirement and the MVLS Requirement within the established dates or maintain compliance with the other Nasdaq listing requirements. In the event we are unable to do so, our securities will be delisted from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experience immediate and substantial dilution in your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offering price per share of common stock and the pro forma net tangible book value per share of common stock immediately after this offering. After giving effect to the sale of</w:t>
      </w:r>
    </w:p>
    <w:p>
      <w:pPr>
        <w:spacing w:after="0"/>
        <w:tabs>
          <w:tab w:leader="none" w:pos="4360" w:val="left"/>
        </w:tabs>
        <w:rPr>
          <w:sz w:val="20"/>
          <w:szCs w:val="20"/>
          <w:color w:val="auto"/>
        </w:rPr>
      </w:pPr>
      <w:r>
        <w:rPr>
          <w:rFonts w:ascii="Times New Roman" w:cs="Times New Roman" w:eastAsia="Times New Roman" w:hAnsi="Times New Roman"/>
          <w:sz w:val="18"/>
          <w:szCs w:val="18"/>
          <w:color w:val="auto"/>
        </w:rPr>
        <w:t>shares of our common stock at the offering price of $</w:t>
      </w:r>
      <w:r>
        <w:rPr>
          <w:sz w:val="20"/>
          <w:szCs w:val="20"/>
          <w:color w:val="auto"/>
        </w:rPr>
        <w:tab/>
      </w:r>
      <w:r>
        <w:rPr>
          <w:rFonts w:ascii="Times New Roman" w:cs="Times New Roman" w:eastAsia="Times New Roman" w:hAnsi="Times New Roman"/>
          <w:sz w:val="18"/>
          <w:szCs w:val="18"/>
          <w:color w:val="auto"/>
        </w:rPr>
        <w:t>per share, and after deducting underwriting discounts and commissions and estimated offering</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expenses, you will experience immediate dilution of $ per share, representing the difference between our pro forma net tangible book value per share as of June 30, 2025 after giving effect to this offering at the offering price. See “Dilution” for a more detailed discussion of the dilution you will incur if you purchase shares of common stock in this offering.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shares of common stock we issue in connection with the restructuring of our outstanding debt or conversion of such debt into shares of our common stock will result in further dilution to our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The net proceeds from this offering will be used for working capital and other general corporate purposes, including the prepayment of $4.0 million under the Term Loan Agreement, continued investments in initiatives intended to drive near term revenue, and continued strategic investment in next generation battery technologies, including scaling the dry electrode process and its application to solid-state batteries.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the proceeds are being used appropriately. The net proceeds from this offering may be used for corporate purposes that do not increase our operating results or enhance the value of our common stock.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3, 2025, we had (i) 2,777,778 shares of common stock reserved for issuance in the event of certain milestones in connection the Business Combination; (ii) 1,046,948 shares of common stock issuable upon exercise of Public Warrants, with an exercise price of $103.50 per share; (iii) 166,821 shares of common stock issuable upon exercise of Private Warrants, with an exercise price of $103.50 per share; (iv) 1,300,254 shares of common stock issuable upon exercise of other warrants, with a weighted average exercise price of $18.22 per share; (v) 1,061,685 shares of common stock issuable upon exercise of Penny Warrants, with an exercise price of $0.09 per share; (vi) 680,473 shares of common stock issuable upon exercise of Penny Warrants, with an exercise price of $0.01 per share; (vii) 137,522 shares of common stock underlying outstanding options, with a weighted average exercise price of $24.90 per share; (viii) 169,758 shares of common stock underlying outstanding restricted stock and (ix) 1,149,115 shares of commons stock available for future awards under our equity incentive plans and employee stock purchase plan (or 10,149,115 if the amendment to our 2022 equity incentive plan is approved at our annual meeting of stockholders to be held on October 15, 2025).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These factors include, but are not limited to:</w:t>
      </w:r>
    </w:p>
    <w:p>
      <w:pPr>
        <w:spacing w:after="0" w:line="176"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tabs>
          <w:tab w:leader="none" w:pos="7200" w:val="left"/>
        </w:tabs>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w:t>
      </w:r>
      <w:r>
        <w:rPr>
          <w:sz w:val="20"/>
          <w:szCs w:val="20"/>
          <w:color w:val="auto"/>
        </w:rPr>
        <w:tab/>
      </w:r>
      <w:r>
        <w:rPr>
          <w:rFonts w:ascii="Times New Roman" w:cs="Times New Roman" w:eastAsia="Times New Roman" w:hAnsi="Times New Roman"/>
          <w:sz w:val="18"/>
          <w:szCs w:val="18"/>
          <w:color w:val="auto"/>
        </w:rPr>
        <w:t>million, after deducting the underwriting discounts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If the underwriter exercises in full its option to purchase additional shares, we estimate that</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net proceeds from this offering will be approximately $ million, after deducting the underwriting discounts and commissions and estimated offering expenses payable by 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prepayment of $4.0 million under the Term Loan Agreement, continued investments in initiatives intended to drive near term revenue, and continued strategic investment in next generation battery technologies, including scaling the dry electrode process and its application to solid-state batteries. The Term Loan Agreement provides for senior secured term loan facility (the “Term Loan”), the principal of which is approximately $70.0 million as of the date of this prospectus supplement and before the repayment set forth above. The Term Loan matures on October 7, 2027 and accrues interest at a per annum rate equal to adjusted SOFR plus a margin ranging from 9.75% to 13.5%, depending on our senior leverage ratio.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with respect to the prepayment of a portion of the Term Loan, we have not determined the amount of net proceeds to be used specifically for such purposes and, as a result, management will retain broad discretion over the allocation of net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offering price per share of common stock and the pro forma net tangible book value per share of common stock immediately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June 30, 2025 was approximately $(15.4 million), or $(0.41) per share of common stock. Net tangible book value per share is determined by dividing total tangible assets, which excludes intangible assets, less total liabilities, by the aggregate number of shares of common stock outstanding as of June 30,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(i) the conversion of 3.13 shares of our Series A Convertible Preferred Stock, par value $0.0001 per share (the “Series A Preferred Stock”) into 217,840 shares of common stock; (ii) the issuance of 2,100,000 shares of common stock in exchange for the remaining shares of Series A Preferred Stock, and (iii) the issuance of 21,980,000 shares of common stock at a public offering price of $0.25 per share for net proceeds of $5.0 million in our public offering that closed on July 31, 2025 (the “July 2025 Offering”), each subsequent to June 30, 2025 (the “Pro Forma Events”), our pro forma net tangible book deficit as of June 30, 2025, would have been approximately $(10.3 million), or $(0.17) per share of common stock.</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shares of common stock at the offering price of $ per share and after deducting underwriting discounts and commissions and estimated offering expenses payable by us, our pro forma net tangible book value as of June 30, 2025 would have been</w:t>
      </w:r>
    </w:p>
    <w:tbl>
      <w:tblPr>
        <w:tblLayout w:type="fixed"/>
        <w:tblInd w:w="0" w:type="dxa"/>
        <w:tblCellMar>
          <w:top w:w="0" w:type="dxa"/>
          <w:left w:w="0" w:type="dxa"/>
          <w:bottom w:w="0" w:type="dxa"/>
          <w:right w:w="0" w:type="dxa"/>
        </w:tblCellMar>
      </w:tblP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approximately $</w:t>
            </w:r>
          </w:p>
        </w:tc>
        <w:tc>
          <w:tcPr>
            <w:tcW w:w="16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million, or $</w:t>
            </w:r>
          </w:p>
        </w:tc>
        <w:tc>
          <w:tcPr>
            <w:tcW w:w="6800" w:type="dxa"/>
            <w:vAlign w:val="bottom"/>
            <w:gridSpan w:val="7"/>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per share. This represents an immediate increase in pro forma net tangible book value of $</w:t>
            </w:r>
          </w:p>
        </w:tc>
        <w:tc>
          <w:tcPr>
            <w:tcW w:w="138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w w:val="99"/>
              </w:rPr>
              <w:t>per share to our</w:t>
            </w:r>
          </w:p>
        </w:tc>
      </w:tr>
      <w:tr>
        <w:trPr>
          <w:trHeight w:val="23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existing stockholders and an immediate dilution of $</w:t>
            </w:r>
          </w:p>
        </w:tc>
        <w:tc>
          <w:tcPr>
            <w:tcW w:w="584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per share issued to the new investors purchasing securities in this offering.</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common stock</w:t>
            </w:r>
          </w:p>
        </w:tc>
        <w:tc>
          <w:tcPr>
            <w:tcW w:w="9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2025</w:t>
            </w: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(0.41)</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Pro Forma Events</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0.24</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as of June 30, 2025</w:t>
            </w: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6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4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9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underwriter exercises in full its option to purchase additional shares of common stock in this offering at the offering price of $ per share, our pro forma net tangible book value after the offering would be $ per share, the increase in the pro forma net tangible book value to existing stockholders would be $ per share, and the dilution to new investors purchasing securities in this offering would be $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the Business Combination;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June 30, 2025, with an exercise price of $103.50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outstanding as of June 30, 2025, with an exercise price of $103.50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warrants outstanding as of June 30, 2025, with a weighted average exercise price of $18.22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outstanding as of June 30, 2025, with an exercise price of $0.09 per share;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June 30, 2025, with an exercise price of $0.01 per share;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158,247 shares of common stock underlying outstanding options as of June 30, 2025, with a weighted average exercise price of $25.59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195,878 shares of common stock underlying outstanding restricted stock units as of June 30, 2025;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1,189,254 shares of commons stock available for future awards under our equity incentive plans and employee stock purchase plan.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We have 405,000,000 shares of capital stock authorized under our Articles of Incorporation, which consists of 400,000,000 shares of common stock with a par value of $0.0001 per share and 5,000,000 shares of preferred stock with par value $0.0001 per share. Our common stock is listed on The Nasdaq Capital Market under the symbol “DFLI.” Our transfer agent is Equiniti Trust Company,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October 6, 2025, between us and Canaccord Genuity LLC, or Canaccord Genuity, the underwriter, we have agreed to sell to the underwriter, and the underwriter has agreed to purchase from us, the number of shares of common stock shown opposite its name below:</w:t>
      </w:r>
    </w:p>
    <w:p>
      <w:pPr>
        <w:sectPr>
          <w:pgSz w:w="11900" w:h="16838" w:orient="portrait"/>
          <w:cols w:equalWidth="0" w:num="1">
            <w:col w:w="11240"/>
          </w:cols>
          <w:pgMar w:left="320" w:top="684" w:right="339" w:bottom="1440" w:gutter="0" w:footer="0" w:header="0"/>
        </w:sect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-6102985</wp:posOffset>
            </wp:positionH>
            <wp:positionV relativeFrom="paragraph">
              <wp:posOffset>5715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8900" w:space="720"/>
            <w:col w:w="162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underwriting agreement provides that the underwriter will purchase all of the shares of common stock if any of them are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 is offering the shares of common stock subject to its acceptance of the shares of common stock from us and subject to prior sale. The underwriter reserves the right to withdraw, cancel or modify offers to the public and to reject orders in whole or in part. In addition, the underwriter has advised us that it does not intend to confirm sales to any account over which they exercise discretionary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directly to investors at the offering price set forth on the cover</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page of this prospectus supplement and to certain dealers, which may include the underwriter, at that price less a concession not in excess of $ per share of common stock. After the offering, the offering price, concession and reallowance to dealers may be reduced by the representative. No such reduction will change the amount of proceeds to be received by us as set forth on the cover page of this prospectus supplement.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offering price, the underwriting discounts and commissions that we are to pay the underwriter and the proceeds, before expenses, to us in connection with this offering. Such amounts are shown assuming both no exercise and full exercise of the underwriter’s option to purchase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3" w:name="page14"/>
    <w:bookmarkEnd w:id="13"/>
    <w:tbl>
      <w:tblPr>
        <w:tblLayout w:type="fixed"/>
        <w:tblInd w:w="58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5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16"/>
        </w:trPr>
        <w:tc>
          <w:tcPr>
            <w:tcW w:w="5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 TO</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 TO</w:t>
            </w:r>
          </w:p>
        </w:tc>
      </w:tr>
      <w:tr>
        <w:trPr>
          <w:trHeight w:val="216"/>
        </w:trPr>
        <w:tc>
          <w:tcPr>
            <w:tcW w:w="5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16"/>
        </w:trPr>
        <w:tc>
          <w:tcPr>
            <w:tcW w:w="59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596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net expenses payable by us in connection with this offering, other than the estimated underwriting discounts and commissions referred to</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above, will be approximately $ . We have agreed to reimburse the underwriter for certain of its expenses incurred in connection with this offering in an amount not to exceed $100,000 in the aggregate.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“DFLI.”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purchase shares of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Additional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granted to the underwriter an option, exercisable for 30 days from the date of this prospectus supplement, to purchase, from time to time, in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whole or in part, up to an aggregate of shares from us at the offering price set forth on the cover page of this prospectus supplement, less underwriting discounts and commissions. If the underwriter exercises this option, the underwriter will be obligated, subject to specified conditions, to purchase such additional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Sales of Similar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subject to specified exceptions, not to directly or indirectly:</w:t>
      </w:r>
    </w:p>
    <w:p>
      <w:pPr>
        <w:spacing w:after="0" w:line="225"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us or our affiliates or any person in privity with us or our affiliates),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90 days after the date of this prospectus supplement without the prior written consent of Canaccord Genuity.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and directors have agreed, subject to certain exceptions, not 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the underwriter, for a period of 90 days after the date of this prospectus.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our common stock and other securities subject to the lock-up agreements described above in whole or in part at any time. When determining whether or not to release our common stock and other securities from lock-up agreements, the underwriter will consider, among other factors, the holder’s reasons for requesting the release, the number of shares for which the release is being requested and market conditions at the time of the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Stabilization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 may close out any covered short position by either exercising its option to purchase additional shares of our common stock or purchasing shares of our common stock in the open market. In determining the source of shares to close out the covered short position, the underwriter will consider, among other things, the price of shares available for purchase in the open market as compared to the price at which it may purchase shares through the option to purchase additional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 must close out any naked short position by purchasing shares in the open market. A naked short position is more likely to be created if the underwriter is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 for the purpose of fixing or maintaining the price of the common stock. A syndicate covering transaction is the bid for or the purchase of shares of common stock on behalf of the underwriter to reduce a short position incurred by the underwriter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 to reclaim the selling concession otherwise accruing in connection with the offering if the common stock originally sold are purchased in a covering transaction and therefore have not been effectively placed.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common stock. The underwriter is not obligated to engage in these activities and, if commenced, any of the activities may be discontinued at any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may also engage in passive market making transactions in our common stock on The Nasdaq Capital Market in accordance with Rule 103 of Regulation M during a period before the commencement of offers or sales of shares of our securities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 sites and any information contained in any other web site maintained by the underwriter is not part of this prospectus supplement, has not been approved and/or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Activities and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its various business activities, the underwriter and certain of its affiliates may make or hold a broad array of investments and actively trade debt and equity securities (or related derivative securities) and financial instruments (including bank loans) for their own accounts and for the accounts of their respective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Canaccord Genuity served as the underwriter for the July 2025 Offering and received compensation in connection therewith.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securities under, the offering contemplated hereby will be deemed to have represented, warranted and agreed to and with the underwriter and its affiliates and us that:</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book-running manager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 underwriter and its affiliates, and others will rely upon the truth and accuracy of the foregoing representation, acknowledgement and agreement. Notwithstanding the above, a person who is not a qualified investor and who has notified the underwriter of such fact in writing may, with the prior consent of the underwriter, be permitted to acquire securities in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the underwriter to publish a prospectus pursuant to section 85 of the FSMA or supplement a prospectus pursuant to Article 23 of the UK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w:t>
      </w:r>
    </w:p>
    <w:p>
      <w:pPr>
        <w:spacing w:after="0" w:line="1" w:lineRule="exact"/>
        <w:rPr>
          <w:sz w:val="20"/>
          <w:szCs w:val="20"/>
          <w:color w:val="auto"/>
        </w:rPr>
      </w:pPr>
    </w:p>
    <w:p>
      <w:pPr>
        <w:jc w:val="both"/>
        <w:ind w:firstLine="8"/>
        <w:spacing w:after="0" w:line="253" w:lineRule="auto"/>
        <w:tabs>
          <w:tab w:leader="none" w:pos="2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person in the UK who acquires any securities in the offer or to whom any offer is made will be deemed to have represented, acknowledged and agreed to and with us, the underwriter and its affiliates that it meets the criteria outlined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Bermuda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purchasing securities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right="2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0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 is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Non-U.S. Legend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this prospectus supplement shall not constitute an offer to sell or the solicitation of an offer to buy the securities described herein.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in certain jurisdictions may be restricted by law. You must inform yourself about, and observe, any such restrictions. You must comply with all applicable laws and 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 are not making an offer of, or invitation to purchase, any of the securities to any person in any jurisdiction in which such offer or solicitation would be unlawful.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will be passed upon for us by Parsons Behle &amp; Latimer, Reno, Nevada and Lowenstein Sandler LLP, New York, New York. Mintz, Levin, Cohn, Ferris, Glovsky and Popeo, P.C., New York, New York is counsel for the underwriter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supplement the information on our website, and you should not consider it to be a part of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37">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38">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May 16, 2025 and August 14, 2025,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40">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July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July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w:t>
      </w:r>
      <w:hyperlink r:id="rId55">
        <w:r>
          <w:rPr>
            <w:rFonts w:ascii="Times New Roman" w:cs="Times New Roman" w:eastAsia="Times New Roman" w:hAnsi="Times New Roman"/>
            <w:sz w:val="18"/>
            <w:szCs w:val="18"/>
            <w:u w:val="single" w:color="auto"/>
            <w:color w:val="0000EE"/>
          </w:rPr>
          <w:t>September 4, 2025</w:t>
        </w:r>
      </w:hyperlink>
      <w:r>
        <w:rPr>
          <w:rFonts w:ascii="Times New Roman" w:cs="Times New Roman" w:eastAsia="Times New Roman" w:hAnsi="Times New Roman"/>
          <w:sz w:val="18"/>
          <w:szCs w:val="18"/>
          <w:color w:val="000000"/>
        </w:rPr>
        <w:t>; and</w:t>
      </w:r>
    </w:p>
    <w:p>
      <w:pPr>
        <w:spacing w:after="0" w:line="175" w:lineRule="exact"/>
        <w:rPr>
          <w:rFonts w:ascii="Times New Roman" w:cs="Times New Roman" w:eastAsia="Times New Roman" w:hAnsi="Times New Roman"/>
          <w:sz w:val="18"/>
          <w:szCs w:val="18"/>
          <w:color w:val="000000"/>
        </w:rPr>
      </w:pPr>
    </w:p>
    <w:p>
      <w:pPr>
        <w:jc w:val="both"/>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57">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our Annual Report Form 10-K Form </w:t>
      </w:r>
      <w:hyperlink r:id="rId58">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3">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5">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 xml:space="preserve">May 1, 2023 </w:t>
        </w:r>
      </w:hyperlink>
      <w:hyperlink r:id="rId9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June 21, 2023</w:t>
        </w:r>
      </w:hyperlink>
      <w:hyperlink r:id="rId96">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99">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709930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276860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Roman"/>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upperLetter"/>
      <w:start w:val="2"/>
    </w:lvl>
    <w:lvl w:ilvl="1">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lvl w:ilvl="1">
      <w:lvlJc w:val="left"/>
      <w:lvlText w:val="(%2)"/>
      <w:numFmt w:val="upp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jpe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jpe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37" Type="http://schemas.openxmlformats.org/officeDocument/2006/relationships/hyperlink" Target="https://www.sec.gov/ix?doc=/Archives/edgar/data/1847986/000164117225001755/form10-k.htm" TargetMode="External"/><Relationship Id="rId38" Type="http://schemas.openxmlformats.org/officeDocument/2006/relationships/hyperlink" Target="https://www.sec.gov/Archives/edgar/data/1847986/000164117225011280/form10-q.htm" TargetMode="External"/><Relationship Id="rId39" Type="http://schemas.openxmlformats.org/officeDocument/2006/relationships/hyperlink" Target="https://www.sec.gov/Archives/edgar/data/1847986/000149315225011982/form10-q.htm" TargetMode="External"/><Relationship Id="rId40" Type="http://schemas.openxmlformats.org/officeDocument/2006/relationships/hyperlink" Target="https://www.sec.gov/ix?doc=/Archives/edgar/data/1847986/000149315225000307/form8-k.htm" TargetMode="External"/><Relationship Id="rId41" Type="http://schemas.openxmlformats.org/officeDocument/2006/relationships/hyperlink" Target="https://www.sec.gov/ix?doc=/Archives/edgar/data/1847986/000149315225005013/form8-k.htm" TargetMode="External"/><Relationship Id="rId42" Type="http://schemas.openxmlformats.org/officeDocument/2006/relationships/hyperlink" Target="https://www.sec.gov/ix?doc=/Archives/edgar/data/1847986/000149315225008445/form8-k.htm" TargetMode="External"/><Relationship Id="rId43" Type="http://schemas.openxmlformats.org/officeDocument/2006/relationships/hyperlink" Target="https://www.sec.gov/ix?doc=/Archives/edgar/data/1847986/000149315225009633/form8-k.htm" TargetMode="External"/><Relationship Id="rId44" Type="http://schemas.openxmlformats.org/officeDocument/2006/relationships/hyperlink" Target="https://www.sec.gov/ix?doc=/Archives/edgar/data/1847986/000164117225000298/form8-k.htm" TargetMode="External"/><Relationship Id="rId45" Type="http://schemas.openxmlformats.org/officeDocument/2006/relationships/hyperlink" Target="https://www.sec.gov/ix?doc=/Archives/edgar/data/1847986/000164117225006463/form8-k.htm" TargetMode="External"/><Relationship Id="rId46" Type="http://schemas.openxmlformats.org/officeDocument/2006/relationships/hyperlink" Target="https://www.sec.gov/ix?doc=/Archives/edgar/data/1847986/000164117225009296/form8-k.htm" TargetMode="External"/><Relationship Id="rId47" Type="http://schemas.openxmlformats.org/officeDocument/2006/relationships/hyperlink" Target="https://www.sec.gov/ix?doc=/Archives/edgar/data/1847986/000164117225013480/form8-k.htm" TargetMode="External"/><Relationship Id="rId48" Type="http://schemas.openxmlformats.org/officeDocument/2006/relationships/hyperlink" Target="https://www.sec.gov/ix?doc=/Archives/edgar/data/1847986/000164117225015095/form8-k.htm" TargetMode="External"/><Relationship Id="rId49" Type="http://schemas.openxmlformats.org/officeDocument/2006/relationships/hyperlink" Target="https://www.sec.gov/ix?doc=/Archives/edgar/data/1847986/000164117225016196/form8-k.htm" TargetMode="External"/><Relationship Id="rId50" Type="http://schemas.openxmlformats.org/officeDocument/2006/relationships/hyperlink" Target="https://www.sec.gov/ix?doc=/Archives/edgar/data/1847986/000164117225016938/form8-k.htm" TargetMode="External"/><Relationship Id="rId51" Type="http://schemas.openxmlformats.org/officeDocument/2006/relationships/hyperlink" Target="https://www.sec.gov/ix?doc=/Archives/edgar/data/1847986/000164117225017928/form8-k.htm" TargetMode="External"/><Relationship Id="rId52" Type="http://schemas.openxmlformats.org/officeDocument/2006/relationships/hyperlink" Target="https://www.sec.gov/ix?doc=/Archives/edgar/data/1847986/000164117225020360/form8-k.htm" TargetMode="External"/><Relationship Id="rId53" Type="http://schemas.openxmlformats.org/officeDocument/2006/relationships/hyperlink" Target="https://www.sec.gov/Archives/edgar/data/1847986/000164117225021256/form8-k.htm" TargetMode="External"/><Relationship Id="rId54" Type="http://schemas.openxmlformats.org/officeDocument/2006/relationships/hyperlink" Target="https://www.sec.gov/Archives/edgar/data/1847986/000164117225021587/form8-k.htm" TargetMode="External"/><Relationship Id="rId55" Type="http://schemas.openxmlformats.org/officeDocument/2006/relationships/hyperlink" Target="https://www.sec.gov/Archives/edgar/data/1847986/000149315225012605/form8-k.htm" TargetMode="External"/><Relationship Id="rId56" Type="http://schemas.openxmlformats.org/officeDocument/2006/relationships/hyperlink" Target="https://www.sec.gov/Archives/edgar/data/1847986/000110465921102670/tm2124648d1_8a12b.htm" TargetMode="External"/><Relationship Id="rId57" Type="http://schemas.openxmlformats.org/officeDocument/2006/relationships/hyperlink" Target="https://www.sec.gov/Archives/edgar/data/1847986/000164117225001755/ex4-18.htm" TargetMode="External"/><Relationship Id="rId58" Type="http://schemas.openxmlformats.org/officeDocument/2006/relationships/hyperlink" Target="https://www.sec.gov/Archives/edgar/data/1847986/000164117225001755/form10-k.htm" TargetMode="External"/><Relationship Id="rId92" Type="http://schemas.openxmlformats.org/officeDocument/2006/relationships/hyperlink" Target="https://www.sec.gov/ix?doc=/Archives/edgar/data/1847986/000149315223014966/form10-ka.htm" TargetMode="External"/><Relationship Id="rId93" Type="http://schemas.openxmlformats.org/officeDocument/2006/relationships/hyperlink" Target="https://www.sec.gov/Archives/edgar/data/1847986/000149315223017432/form10-q.htm" TargetMode="External"/><Relationship Id="rId94" Type="http://schemas.openxmlformats.org/officeDocument/2006/relationships/hyperlink" Target="https://www.sec.gov/Archives/edgar/data/1847986/000149315223029680/form10-q.htm" TargetMode="External"/><Relationship Id="rId95" Type="http://schemas.openxmlformats.org/officeDocument/2006/relationships/hyperlink" Target="https://www.sec.gov/ix?doc=/Archives/edgar/data/1847986/000149315223041072/form10-q.htm" TargetMode="External"/><Relationship Id="rId96" Type="http://schemas.openxmlformats.org/officeDocument/2006/relationships/hyperlink" Target="https://www.sec.gov/ix?doc=/Archives/edgar/data/0001847986/000149315223010262/form8-k.htm" TargetMode="External"/><Relationship Id="rId97" Type="http://schemas.openxmlformats.org/officeDocument/2006/relationships/hyperlink" Target="https://www.sec.gov/ix?doc=/Archives/edgar/data/0001847986/000149315223014971/form8-k.htm" TargetMode="External"/><Relationship Id="rId98" Type="http://schemas.openxmlformats.org/officeDocument/2006/relationships/hyperlink" Target="https://www.sec.gov/ix?doc=/Archives/edgar/data/0001847986/000149315223021997/form8-k.htm" TargetMode="External"/><Relationship Id="rId99"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2025-10-06T06:06:52Z</dcterms:created>
  <dcterms:modified xsi:type="dcterms:W3CDTF">2025-10-06T06:06:52Z</dcterms:modified>
</cp:coreProperties>
</file>