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404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April 15,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4"/>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40415"/>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1190 Trademark Drive, #108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Reno, </w:t>
            </w:r>
            <w:bookmarkStart w:id="10" w:name="xdx_909_edei--EntityAddressStateOrProvin"/>
            <w:bookmarkEnd w:id="10"/>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2" w:name="xdx_90E_edei--CityAreaCode_c20240415__20"/>
      <w:bookmarkEnd w:id="12"/>
      <w:r>
        <w:rPr>
          <w:rFonts w:ascii="Times New Roman;Times;Serif" w:hAnsi="Times New Roman;Times;Serif"/>
          <w:b/>
          <w:i w:val="false"/>
          <w:caps w:val="false"/>
          <w:smallCaps w:val="false"/>
          <w:sz w:val="20"/>
          <w:u w:val="single"/>
        </w:rPr>
        <w:t xml:space="preserve">(775) </w:t>
      </w:r>
      <w:bookmarkStart w:id="13" w:name="xdx_905_edei--LocalPhoneNumber_c20240415"/>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1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404"/>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4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40415"/>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40415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4_edei--SecurityExchangeName_c2024"/>
            <w:bookmarkEnd w:id="20"/>
            <w:r>
              <w:rPr>
                <w:rFonts w:ascii="Times New Roman;Times;Serif" w:hAnsi="Times New Roman;Times;Serif"/>
                <w:b w:val="false"/>
                <w:i w:val="false"/>
                <w:caps w:val="false"/>
                <w:smallCaps w:val="false"/>
                <w:sz w:val="20"/>
              </w:rPr>
              <w:t>Nasdaq Global Market</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12bTitle_c20240415"/>
            <w:bookmarkEnd w:id="21"/>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TradingSymbol_c20240415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6_edei--SecurityExchangeName_c2024"/>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E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8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2024,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earnings release disclosing certain information regarding its results of operations for the fourth quarter and year ended December 31, 2023. As previously announced, following the publication of the press release, the Company will host an earnings call at 5:00 p.m. (Eastern Time) on April 15, 2024, via a webcast. During the webcast, the Company’s financial results for the fourth quarter and year ended December 31, 2023 will be discussed. A copy of the press release is attached as Exhibit 99.1 hereto and incorporated in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April 15, 2024.</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1805"/>
        <w:gridCol w:w="590"/>
        <w:gridCol w:w="567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15,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895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Fourth Quarter 2023 and Full Year Financial Results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Successful diversification of revenue underway, with launch in Q4 2023 of all-electric auxiliary power units (“APU”) to the trucking industry; Enables compliance with increasing anti-idling regulations, reduction in fuel costs, increased uptime and payloads, and the reduction of harmful emissions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Q4 2023, achieved successful deposition of cathode electrodes, and double-sided dry deposition of both anode and cathode electrodes, at scale, using the Company’s patented dry electrode battery manufacturing process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0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Continued expansion of recreational vehicle market share, with OGV Luxury Coach, a division of Forest River Inc., to provide Battle Born lithium batteries as standard equipment on all OGV units</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(April 15, 2024)</w:t>
      </w:r>
      <w:r>
        <w:rPr>
          <w:rFonts w:ascii="Times New Roman;Times;Serif" w:hAnsi="Times New Roman;Times;Serif"/>
          <w:b w:val="false"/>
          <w:i w:val="false"/>
          <w:caps w:val="false"/>
          <w:smallCaps w:val="false"/>
          <w:sz w:val="20"/>
        </w:rPr>
        <w:t xml:space="preserve"> — Dragonfly Energy Holdings Corp. (“Dragonfly Energy” or the “Company”) (Nasdaq: DFLI), maker of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an industry leader in energy storage, today reported its financial and operational results for the fourth quarter and full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Fourth Quarter 2023 Financial Highlights </w:t>
      </w:r>
    </w:p>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$10.4 million, compared to $20.2 million in Q4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was $2.0 million, compared to $4.0 million in Q4 2022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$(5.4) million, compared to $(32.9) million in Q4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$3.0 million, compared to a Net Loss of $(32.5) million in Q4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$0.05, compared to a Net Loss of $(0.76) per share in Q4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was $7.4 million, compared to $(28.0) million in Q4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$(2.1) million, compared to $(4.7) million in Q4 2022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Year 2023 Financial Highlights </w:t>
      </w:r>
    </w:p>
    <w:p>
      <w:pPr>
        <w:pStyle w:val="TextBody"/>
        <w:bidi w:val="0"/>
        <w:spacing w:before="0" w:after="0"/>
        <w:ind w:left="0" w:right="0" w:hanging="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$64.4 million, compared to $86.3 million in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of $15.4 million, compared to $23.6 million in 2022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of $(42.9) million, compared to $(58.0) million in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for the full year 2023 was $3.4 million, compared to $(32.8) million in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the full year 2023 was $(17.1) million, compared to $(7.9) million in 2022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and Business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expanded market share with inclusion as standard equipment by recreational vehicle (“RV”) giant, Forest River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the John Lennon Educational Tour Bus is now powered by Battle Born Batteries, moving the nonprofit mobile recording studio toward improved sustainability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partnership with Ameresco to boost renewable energy and power system applications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Coachmen RVs will include Battle Born Batteries as an optional upgrade on its Entourage Class C Motorhomes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entrance into heavy-duty trucking market, with new Battle Born All-Electric APU, enabling reduced fuel costs, increased uptime and payload, and lower harmful emissions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successful cathode electrode dry deposition, at scale, for American made lithium batteries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Despite the near-term growth and market headwinds, we have continued to execute and achieve our stated targets and milestones,” said Denis Phares, Chief Executive Officer of Dragonfly Energy. “In 2023, we completed the pilot line for our patented chemistry-agnostic dry deposition process, proving that we could produce anode and cathode materials at scale, and are now in the process of delivering sample battery cells to customers across several different industries and markets. We are extremely excited about 2024 as the convergence of the new cell manufacturing, the expansion of our customer base and market segments, and the stabilization and return to growth of the RV markets sets the stage for an expected return to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and Full Year 2022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 2023 Net Sales were $10.4 million, compared to $20.2 million in the fourth quarter of 2022. Full year 2023 Net Sales were $64.4 million, compared to $86.3 million in 2022. Direct-To-Consumer (“DTC”) revenue decreased by $15.6 million as a result of decreased customer demand, particularly in the RV market, due to rising interest rates and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 2023 Gross Profit was $2.0 million, compared to $4.0 million in the fourth quarter of 2022. Full year 2023 Gross Profit was $15.4 million, down from $23.6 million in 2023. The year-over-year decline in 2023 gross profit was primarily driven by lower unit volume sales, a change in revenue mix that included a larger percentage of lower margin OEM sales, as well as higher material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 the fourth quarter of 2023 were $(5.4) million, compared to $(32.9) million in the fourth quarter of 2022. Full year 2023 Operating Expenses were $(42.9) million, down from $(58.0) million. The decrease was primarily driven by the absence of expenses associated with the Business Combination in 2022 and lower overall employee-related costs, partially offset by an increase in stock-based compensation costs, as well as higher compliance, insurance, and professional fees related to public company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in the fourth quarter of 2023 was $6.3 million, compared to a Total Other Expense of $(2.7) million in the prior year quarter. Other Income for fiscal 2023 was approximately $13.6 million, compared to an Other Expenses of $(6.3) million in 2022. The income contribution in 2023 was primarily due to a change in fair market value of a warrant liability in the amount of $29.6 million, partially offset by interest expense of $16.0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Net Income of $3.0 million, or $0.05 per diluted share in the fourth quarter of 2023, compared to a Net Loss of $(32.5) million or $(0.76) per diluted share in the prior year quarter. For the full year 2023, the Company had a Net Loss of $(13.8) million, or $(0.26) per diluted share, compared to a Net Loss of $(40.0) million or $(1.04) per diluted share for the full year 2022. The full year results were driven by reduced demand in the RV market, partially offset by lower cost of goods sold, lower operating expenses and increased 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in the fourth quarter of 2023 was $7.4 million, compared to a negative $(28.0) million in the fourth quarter of 2022. Full year 2023 EBITDA totaled $3.4 million, compared to a negative $(32.8) million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2023, Adjusted EBITDA excluding stock-based compensation, changes in the fair market value of our warrants, and other one-time expenses, was a negative $(2.1) million, compared to a negative $(4.7) million for the fourth quarter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2023, Adjusted EBITDA excluding stock-based compensation, changes in the fair market value of Dragonfly Energy’s warrants, and other one-time expenses, was a negative $(17.1) million, compared to negative $(7.9) million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Q1 2024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RV market appears to have stabilized and is showing early signs of recovery. In addition, the Company’s entry into the heavy-duty trucking market, while still in its early stages, is gaining traction and has the potential to be a more meaningful revenue contributor in the second half of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expected to range between $12.0 - $13.0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is expected in the range of 24.0% - 26.0%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Expenses are expected to be in a range of $(8.0) - $(9.0) million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Income (Expense) is expected be an expense in the range of $(3.5) – $(4.5) million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is expected to be between $(8.0) - $(10.5) million for the first quarter of 2024, or $(0.13) - $(0.17) per share based on approximately 61.0 million shares outstanding</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fourth quarter and full year 2023 financial results this afternoon, Monday, April 15, 2024, at 5:00 pm E.T. The call can also be accessed live via live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The call can also be accessed live via telephone by dialing (206) 962-3782, toll-free in North America (888) 259-6580, or for international callers +1 (416) 764-8624, and referencing conference ID: 94560450.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www.dragonflyenergy.com/investors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2024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2023 to be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Sioban Hickie</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DragonflyIR@icrinc.com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(775) 221-8892</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6"/>
        <w:gridCol w:w="60"/>
        <w:gridCol w:w="187"/>
        <w:gridCol w:w="1009"/>
        <w:gridCol w:w="95"/>
        <w:gridCol w:w="60"/>
        <w:gridCol w:w="187"/>
        <w:gridCol w:w="1009"/>
        <w:gridCol w:w="112"/>
      </w:tblGrid>
      <w:tr>
        <w:trPr/>
        <w:tc>
          <w:tcPr>
            <w:tcW w:w="7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2022</w:t>
            </w:r>
          </w:p>
        </w:tc>
        <w:tc>
          <w:tcPr>
            <w:tcW w:w="112" w:type="dxa"/>
            <w:tcBorders/>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12,713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17,781</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1,444</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38,778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50,189</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1,624</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2,002</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525</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55,920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73,832</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16,714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10,214</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275</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1,709</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18,793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12,393</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(2,824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(1,633</w:t>
            </w:r>
          </w:p>
        </w:tc>
        <w:tc>
          <w:tcPr>
            <w:tcW w:w="112" w:type="dxa"/>
            <w:tcBorders/>
            <w:shd w:fill="FFFFFF" w:val="clear"/>
            <w:vAlign w:val="center"/>
          </w:tcPr>
          <w:p>
            <w:pPr>
              <w:pStyle w:val="TableContents"/>
              <w:bidi w:val="0"/>
              <w:spacing w:before="0" w:after="283"/>
              <w:jc w:val="left"/>
              <w:rPr/>
            </w:pPr>
            <w:r>
              <w:rPr/>
              <w:t>)</w:t>
            </w:r>
          </w:p>
        </w:tc>
      </w:tr>
      <w:tr>
        <w:trPr/>
        <w:tc>
          <w:tcPr>
            <w:tcW w:w="7486"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10,760</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Operating lease right of use asset, net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3,315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4,513</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89,105</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10,258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13,475</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6,250</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932</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238</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128</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19,683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19,242</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1,188</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Financing lease liability,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40,377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41,463</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4,463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32,831</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Accrued expenses-long term</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492</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3,541</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6,915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36,899</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78,362</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Preferred stock, 5,000,000 shares at $0.0001 par value, authorized, no shares issued and outstanding as of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Common stock, 250,000,000 shares at $0.0001 par value, authorized, 60,260,282 and 43,272,728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w:t>
            </w:r>
          </w:p>
        </w:tc>
        <w:tc>
          <w:tcPr>
            <w:tcW w:w="11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69,445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38,461</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(41,539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(27,722</w:t>
            </w:r>
          </w:p>
        </w:tc>
        <w:tc>
          <w:tcPr>
            <w:tcW w:w="112" w:type="dxa"/>
            <w:tcBorders/>
            <w:shd w:fill="CCEEFF" w:val="clear"/>
            <w:vAlign w:val="center"/>
          </w:tcPr>
          <w:p>
            <w:pPr>
              <w:pStyle w:val="TableContents"/>
              <w:bidi w:val="0"/>
              <w:spacing w:before="0" w:after="283"/>
              <w:jc w:val="left"/>
              <w:rPr/>
            </w:pPr>
            <w:r>
              <w:rPr/>
              <w:t>)</w:t>
            </w:r>
          </w:p>
        </w:tc>
      </w:tr>
      <w:tr>
        <w:trPr/>
        <w:tc>
          <w:tcPr>
            <w:tcW w:w="7486"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10,743</w:t>
            </w:r>
          </w:p>
        </w:tc>
        <w:tc>
          <w:tcPr>
            <w:tcW w:w="11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89,105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of GAAP to Non-GAAP Measures (Unaudited)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1"/>
        <w:gridCol w:w="60"/>
        <w:gridCol w:w="213"/>
        <w:gridCol w:w="1298"/>
        <w:gridCol w:w="114"/>
        <w:gridCol w:w="106"/>
        <w:gridCol w:w="213"/>
        <w:gridCol w:w="1298"/>
        <w:gridCol w:w="80"/>
        <w:gridCol w:w="60"/>
        <w:gridCol w:w="217"/>
        <w:gridCol w:w="1328"/>
        <w:gridCol w:w="114"/>
        <w:gridCol w:w="106"/>
        <w:gridCol w:w="217"/>
        <w:gridCol w:w="1328"/>
        <w:gridCol w:w="182"/>
      </w:tblGrid>
      <w:tr>
        <w:trPr/>
        <w:tc>
          <w:tcPr>
            <w:tcW w:w="32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15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2023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5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2022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1" w:type="dxa"/>
            <w:gridSpan w:val="2"/>
            <w:tcBorders/>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511" w:type="dxa"/>
            <w:gridSpan w:val="2"/>
            <w:tcBorders/>
            <w:vAlign w:val="center"/>
          </w:tcPr>
          <w:p>
            <w:pPr>
              <w:pStyle w:val="TableContents"/>
              <w:bidi w:val="0"/>
              <w:spacing w:before="0" w:after="283"/>
              <w:jc w:val="left"/>
              <w:rPr>
                <w:caps w:val="false"/>
                <w:smallCaps w:val="false"/>
              </w:rPr>
            </w:pPr>
            <w:r>
              <w:rPr>
                <w:caps w:val="false"/>
                <w:smallCaps w:val="false"/>
              </w:rPr>
              <w:t xml:space="preser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2"/>
            <w:tcBorders/>
            <w:vAlign w:val="center"/>
          </w:tcPr>
          <w:p>
            <w:pPr>
              <w:pStyle w:val="TableContents"/>
              <w:bidi w:val="0"/>
              <w:spacing w:before="0" w:after="283"/>
              <w:jc w:val="left"/>
              <w:rPr>
                <w:caps w:val="false"/>
                <w:smallCaps w:val="false"/>
              </w:rPr>
            </w:pPr>
            <w:r>
              <w:rPr>
                <w:caps w:val="false"/>
                <w:smallCaps w:val="false"/>
              </w:rPr>
              <w:t xml:space="preserve">  </w:t>
            </w:r>
          </w:p>
        </w:tc>
        <w:tc>
          <w:tcPr>
            <w:tcW w:w="11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545" w:type="dxa"/>
            <w:gridSpan w:val="2"/>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10,438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20,209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64,392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86,251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8,405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16,152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48,946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62,633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2,033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4,057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15,446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23,618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531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813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3,863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2,764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3,275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27,788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26,389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41,566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1,548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4,340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12,623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13,671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5,354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32,941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42,875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58,001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(3,321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(28,884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(27,429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(34,383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Income (Expense)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(4,110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(3,322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(16,015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(6,979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10,400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5,446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29,582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5,446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(4,824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(4,824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Other Income (Expense)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6,309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(2,660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13,586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(6,317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2,988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(31,544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(13,843 </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(40,700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Income Tax Benefit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(709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3,014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(32,535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(13,817 </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(39,991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Per Share-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(0.76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(0.26 </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Per Share-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0.05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(0.76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(0.26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3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r>
      <w:tr>
        <w:trPr/>
        <w:tc>
          <w:tcPr>
            <w:tcW w:w="32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59,590,032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42,948,026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52,786,481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38,565,307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60,597,708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42,948,026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52,786,481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38,565,307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9023" w:type="dxa"/>
        <w:jc w:val="left"/>
        <w:tblInd w:w="0" w:type="dxa"/>
        <w:tblLayout w:type="fixed"/>
        <w:tblCellMar>
          <w:top w:w="0" w:type="dxa"/>
          <w:left w:w="0" w:type="dxa"/>
          <w:bottom w:w="0" w:type="dxa"/>
          <w:right w:w="0" w:type="dxa"/>
        </w:tblCellMar>
      </w:tblPr>
      <w:tblGrid>
        <w:gridCol w:w="4790"/>
        <w:gridCol w:w="60"/>
        <w:gridCol w:w="305"/>
        <w:gridCol w:w="1649"/>
        <w:gridCol w:w="95"/>
        <w:gridCol w:w="60"/>
        <w:gridCol w:w="305"/>
        <w:gridCol w:w="1649"/>
        <w:gridCol w:w="110"/>
      </w:tblGrid>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(13,817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(39,991</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6,710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2,467</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Debt extinguishment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4,824</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Assumption of warrant liability</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1,990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1,822</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(29,582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(5,446</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(453</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4,938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1,192</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891</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56</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Write-off of prepaid inventory</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(309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(769</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11,411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(22,732</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(1,467</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5,459</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1,520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1,196</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(1,156</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(3,527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4,428</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433</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(196</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(3,889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pPr>
            <w:r>
              <w:rPr/>
              <w:t>(5,705</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(17,706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(45,696</w:t>
            </w:r>
          </w:p>
        </w:tc>
        <w:tc>
          <w:tcPr>
            <w:tcW w:w="110" w:type="dxa"/>
            <w:tcBorders/>
            <w:shd w:fill="CCEEFF" w:val="clear"/>
            <w:vAlign w:val="center"/>
          </w:tcPr>
          <w:p>
            <w:pPr>
              <w:pStyle w:val="TableContents"/>
              <w:bidi w:val="0"/>
              <w:spacing w:before="0" w:after="283"/>
              <w:jc w:val="left"/>
              <w:rPr>
                <w:b/>
              </w:rPr>
            </w:pPr>
            <w:r>
              <w:rPr>
                <w:b/>
              </w:rPr>
              <w:t>)</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(6,885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(6,862</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(6,885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(6,827</w:t>
            </w:r>
          </w:p>
        </w:tc>
        <w:tc>
          <w:tcPr>
            <w:tcW w:w="110" w:type="dxa"/>
            <w:tcBorders/>
            <w:shd w:fill="FFFFFF" w:val="clear"/>
            <w:vAlign w:val="center"/>
          </w:tcPr>
          <w:p>
            <w:pPr>
              <w:pStyle w:val="TableContents"/>
              <w:bidi w:val="0"/>
              <w:spacing w:before="0" w:after="283"/>
              <w:jc w:val="left"/>
              <w:rPr>
                <w:b/>
              </w:rPr>
            </w:pPr>
            <w:r>
              <w:rPr>
                <w:b/>
              </w:rPr>
              <w:t>)</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Proceeds from public offering</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24,177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Payments from public offering costs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Proceeds from term loan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75,000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Repayment of note payable</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(5,275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(45,000</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Proceeds from exercise of public warrants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(4,032</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706</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Proceeds from stock purchase agreement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15,000</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Proceeds from exercise of investor warrants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41,674</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(5,068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(10,849</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Cash and cash equivalents - beginning of year</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17,781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12" w:space="0" w:color="000000"/>
            </w:tcBorders>
            <w:shd w:fill="CCEEFF" w:val="clear"/>
            <w:tcMar>
              <w:bottom w:w="28" w:type="dxa"/>
            </w:tcMar>
            <w:vAlign w:val="center"/>
          </w:tcPr>
          <w:p>
            <w:pPr>
              <w:pStyle w:val="TableContents"/>
              <w:bidi w:val="0"/>
              <w:spacing w:before="0" w:after="283"/>
              <w:jc w:val="right"/>
              <w:rPr/>
            </w:pPr>
            <w:r>
              <w:rPr/>
              <w:t>28,630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b/>
              </w:rPr>
            </w:pPr>
            <w:r>
              <w:rPr>
                <w:b/>
              </w:rPr>
              <w:t>Cash and cash equivalents - end of year</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4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and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51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of GAAP to Non-GAAP Measures (Unaudited) </w:t>
            </w:r>
          </w:p>
        </w:tc>
      </w:tr>
      <w:tr>
        <w:trPr/>
        <w:tc>
          <w:tcPr>
            <w:tcW w:w="51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Dollars in Thousands)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8"/>
        <w:gridCol w:w="95"/>
        <w:gridCol w:w="278"/>
        <w:gridCol w:w="1304"/>
        <w:gridCol w:w="130"/>
        <w:gridCol w:w="95"/>
        <w:gridCol w:w="278"/>
        <w:gridCol w:w="1304"/>
        <w:gridCol w:w="130"/>
        <w:gridCol w:w="95"/>
        <w:gridCol w:w="278"/>
        <w:gridCol w:w="1304"/>
        <w:gridCol w:w="130"/>
        <w:gridCol w:w="95"/>
        <w:gridCol w:w="278"/>
        <w:gridCol w:w="1304"/>
        <w:gridCol w:w="149"/>
      </w:tblGrid>
      <w:tr>
        <w:trPr/>
        <w:tc>
          <w:tcPr>
            <w:tcW w:w="295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3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3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r>
          </w:p>
        </w:tc>
        <w:tc>
          <w:tcPr>
            <w:tcW w:w="149" w:type="dxa"/>
            <w:tcBorders/>
            <w:vAlign w:val="center"/>
          </w:tcPr>
          <w:p>
            <w:pPr>
              <w:pStyle w:val="TableContents"/>
              <w:bidi w:val="0"/>
              <w:spacing w:before="0" w:after="283"/>
              <w:jc w:val="left"/>
              <w:rPr/>
            </w:pPr>
            <w:r>
              <w:rPr/>
              <w:t> </w:t>
            </w:r>
          </w:p>
        </w:tc>
      </w:tr>
      <w:tr>
        <w:trPr/>
        <w:tc>
          <w:tcPr>
            <w:tcW w:w="295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49" w:type="dxa"/>
            <w:tcBorders/>
            <w:vAlign w:val="center"/>
          </w:tcPr>
          <w:p>
            <w:pPr>
              <w:pStyle w:val="TableContents"/>
              <w:bidi w:val="0"/>
              <w:spacing w:before="0" w:after="283"/>
              <w:jc w:val="left"/>
              <w:rPr/>
            </w:pPr>
            <w:r>
              <w:rPr/>
              <w:t> </w:t>
            </w:r>
          </w:p>
        </w:tc>
      </w:tr>
      <w:tr>
        <w:trPr/>
        <w:tc>
          <w:tcPr>
            <w:tcW w:w="295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82"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r>
      <w:tr>
        <w:trPr/>
        <w:tc>
          <w:tcPr>
            <w:tcW w:w="2958" w:type="dxa"/>
            <w:tcBorders/>
            <w:shd w:fill="CCEEFF" w:val="clear"/>
            <w:vAlign w:val="center"/>
          </w:tcPr>
          <w:p>
            <w:pPr>
              <w:pStyle w:val="TableContents"/>
              <w:bidi w:val="0"/>
              <w:spacing w:before="0" w:after="283"/>
              <w:jc w:val="left"/>
              <w:rPr/>
            </w:pPr>
            <w:r>
              <w:rPr/>
              <w:t xml:space="preserve">Net (loss)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3,014 </w:t>
            </w:r>
          </w:p>
        </w:tc>
        <w:tc>
          <w:tcPr>
            <w:tcW w:w="130" w:type="dxa"/>
            <w:tcBorders/>
            <w:shd w:fill="CCEEFF" w:val="clear"/>
            <w:vAlign w:val="center"/>
          </w:tcPr>
          <w:p>
            <w:pPr>
              <w:pStyle w:val="TableContents"/>
              <w:bidi w:val="0"/>
              <w:spacing w:before="0" w:after="283"/>
              <w:jc w:val="lef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(32,535 </w:t>
            </w:r>
          </w:p>
        </w:tc>
        <w:tc>
          <w:tcPr>
            <w:tcW w:w="130" w:type="dxa"/>
            <w:tcBorders/>
            <w:shd w:fill="CCEEFF" w:val="clear"/>
            <w:vAlign w:val="center"/>
          </w:tcPr>
          <w:p>
            <w:pPr>
              <w:pStyle w:val="TableContents"/>
              <w:bidi w:val="0"/>
              <w:spacing w:before="0" w:after="283"/>
              <w:jc w:val="lef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(13,817 </w:t>
            </w:r>
          </w:p>
        </w:tc>
        <w:tc>
          <w:tcPr>
            <w:tcW w:w="130" w:type="dxa"/>
            <w:tcBorders/>
            <w:shd w:fill="CCEEFF" w:val="clear"/>
            <w:vAlign w:val="center"/>
          </w:tcPr>
          <w:p>
            <w:pPr>
              <w:pStyle w:val="TableContents"/>
              <w:bidi w:val="0"/>
              <w:spacing w:before="0" w:after="283"/>
              <w:jc w:val="lef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(39,991 </w:t>
            </w:r>
          </w:p>
        </w:tc>
        <w:tc>
          <w:tcPr>
            <w:tcW w:w="149" w:type="dxa"/>
            <w:tcBorders/>
            <w:shd w:fill="CCEEFF" w:val="clear"/>
            <w:vAlign w:val="center"/>
          </w:tcPr>
          <w:p>
            <w:pPr>
              <w:pStyle w:val="TableContents"/>
              <w:bidi w:val="0"/>
              <w:spacing w:before="0" w:after="283"/>
              <w:jc w:val="left"/>
              <w:rPr/>
            </w:pPr>
            <w:r>
              <w:rPr/>
              <w:t xml:space="preserve">) </w:t>
            </w:r>
          </w:p>
        </w:tc>
      </w:tr>
      <w:tr>
        <w:trPr/>
        <w:tc>
          <w:tcPr>
            <w:tcW w:w="2958" w:type="dxa"/>
            <w:tcBorders/>
            <w:shd w:fill="FFFFFF" w:val="clear"/>
            <w:vAlign w:val="center"/>
          </w:tcPr>
          <w:p>
            <w:pPr>
              <w:pStyle w:val="TableContents"/>
              <w:bidi w:val="0"/>
              <w:spacing w:before="0" w:after="283"/>
              <w:jc w:val="left"/>
              <w:rPr/>
            </w:pPr>
            <w:r>
              <w:rPr/>
              <w:t xml:space="preserve">Interest Expense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shd w:fill="FFFFFF" w:val="clear"/>
            <w:vAlign w:val="center"/>
          </w:tcPr>
          <w:p>
            <w:pPr>
              <w:pStyle w:val="TableContents"/>
              <w:bidi w:val="0"/>
              <w:spacing w:before="0" w:after="283"/>
              <w:jc w:val="left"/>
              <w:rPr/>
            </w:pPr>
            <w:r>
              <w:rPr/>
              <w:t xml:space="preserve">  </w:t>
            </w:r>
          </w:p>
        </w:tc>
        <w:tc>
          <w:tcPr>
            <w:tcW w:w="1304" w:type="dxa"/>
            <w:tcBorders/>
            <w:shd w:fill="FFFFFF" w:val="clear"/>
            <w:vAlign w:val="center"/>
          </w:tcPr>
          <w:p>
            <w:pPr>
              <w:pStyle w:val="TableContents"/>
              <w:bidi w:val="0"/>
              <w:spacing w:before="0" w:after="283"/>
              <w:jc w:val="right"/>
              <w:rPr/>
            </w:pPr>
            <w:r>
              <w:rPr/>
              <w:t xml:space="preserve">4,110 </w:t>
            </w:r>
          </w:p>
        </w:tc>
        <w:tc>
          <w:tcPr>
            <w:tcW w:w="130" w:type="dxa"/>
            <w:tcBorders/>
            <w:shd w:fill="FFFFFF" w:val="clear"/>
            <w:vAlign w:val="center"/>
          </w:tcPr>
          <w:p>
            <w:pPr>
              <w:pStyle w:val="TableContents"/>
              <w:bidi w:val="0"/>
              <w:spacing w:before="0" w:after="283"/>
              <w:jc w:val="lef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shd w:fill="FFFFFF" w:val="clear"/>
            <w:vAlign w:val="center"/>
          </w:tcPr>
          <w:p>
            <w:pPr>
              <w:pStyle w:val="TableContents"/>
              <w:bidi w:val="0"/>
              <w:spacing w:before="0" w:after="283"/>
              <w:jc w:val="left"/>
              <w:rPr/>
            </w:pPr>
            <w:r>
              <w:rPr/>
              <w:t xml:space="preserve">  </w:t>
            </w:r>
          </w:p>
        </w:tc>
        <w:tc>
          <w:tcPr>
            <w:tcW w:w="1304" w:type="dxa"/>
            <w:tcBorders/>
            <w:shd w:fill="FFFFFF" w:val="clear"/>
            <w:vAlign w:val="center"/>
          </w:tcPr>
          <w:p>
            <w:pPr>
              <w:pStyle w:val="TableContents"/>
              <w:bidi w:val="0"/>
              <w:spacing w:before="0" w:after="283"/>
              <w:jc w:val="right"/>
              <w:rPr/>
            </w:pPr>
            <w:r>
              <w:rPr/>
              <w:t xml:space="preserve">3,322 </w:t>
            </w:r>
          </w:p>
        </w:tc>
        <w:tc>
          <w:tcPr>
            <w:tcW w:w="130" w:type="dxa"/>
            <w:tcBorders/>
            <w:shd w:fill="FFFFFF" w:val="clear"/>
            <w:vAlign w:val="center"/>
          </w:tcPr>
          <w:p>
            <w:pPr>
              <w:pStyle w:val="TableContents"/>
              <w:bidi w:val="0"/>
              <w:spacing w:before="0" w:after="283"/>
              <w:jc w:val="lef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shd w:fill="FFFFFF" w:val="clear"/>
            <w:vAlign w:val="center"/>
          </w:tcPr>
          <w:p>
            <w:pPr>
              <w:pStyle w:val="TableContents"/>
              <w:bidi w:val="0"/>
              <w:spacing w:before="0" w:after="283"/>
              <w:jc w:val="left"/>
              <w:rPr/>
            </w:pPr>
            <w:r>
              <w:rPr/>
              <w:t xml:space="preserve">  </w:t>
            </w:r>
          </w:p>
        </w:tc>
        <w:tc>
          <w:tcPr>
            <w:tcW w:w="1304" w:type="dxa"/>
            <w:tcBorders/>
            <w:shd w:fill="FFFFFF" w:val="clear"/>
            <w:vAlign w:val="center"/>
          </w:tcPr>
          <w:p>
            <w:pPr>
              <w:pStyle w:val="TableContents"/>
              <w:bidi w:val="0"/>
              <w:spacing w:before="0" w:after="283"/>
              <w:jc w:val="right"/>
              <w:rPr/>
            </w:pPr>
            <w:r>
              <w:rPr/>
              <w:t xml:space="preserve">16,015 </w:t>
            </w:r>
          </w:p>
        </w:tc>
        <w:tc>
          <w:tcPr>
            <w:tcW w:w="130" w:type="dxa"/>
            <w:tcBorders/>
            <w:shd w:fill="FFFFFF" w:val="clear"/>
            <w:vAlign w:val="center"/>
          </w:tcPr>
          <w:p>
            <w:pPr>
              <w:pStyle w:val="TableContents"/>
              <w:bidi w:val="0"/>
              <w:spacing w:before="0" w:after="283"/>
              <w:jc w:val="lef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shd w:fill="FFFFFF" w:val="clear"/>
            <w:vAlign w:val="center"/>
          </w:tcPr>
          <w:p>
            <w:pPr>
              <w:pStyle w:val="TableContents"/>
              <w:bidi w:val="0"/>
              <w:spacing w:before="0" w:after="283"/>
              <w:jc w:val="left"/>
              <w:rPr/>
            </w:pPr>
            <w:r>
              <w:rPr/>
              <w:t xml:space="preserve">  </w:t>
            </w:r>
          </w:p>
        </w:tc>
        <w:tc>
          <w:tcPr>
            <w:tcW w:w="1304" w:type="dxa"/>
            <w:tcBorders/>
            <w:shd w:fill="FFFFFF" w:val="clear"/>
            <w:vAlign w:val="center"/>
          </w:tcPr>
          <w:p>
            <w:pPr>
              <w:pStyle w:val="TableContents"/>
              <w:bidi w:val="0"/>
              <w:spacing w:before="0" w:after="283"/>
              <w:jc w:val="right"/>
              <w:rPr/>
            </w:pPr>
            <w:r>
              <w:rPr/>
              <w:t xml:space="preserve">6,979 </w:t>
            </w:r>
          </w:p>
        </w:tc>
        <w:tc>
          <w:tcPr>
            <w:tcW w:w="149" w:type="dxa"/>
            <w:tcBorders/>
            <w:shd w:fill="FFFFFF" w:val="clear"/>
            <w:vAlign w:val="center"/>
          </w:tcPr>
          <w:p>
            <w:pPr>
              <w:pStyle w:val="TableContents"/>
              <w:bidi w:val="0"/>
              <w:spacing w:before="0" w:after="283"/>
              <w:jc w:val="left"/>
              <w:rPr/>
            </w:pPr>
            <w:r>
              <w:rPr/>
              <w:t xml:space="preserve">  </w:t>
            </w:r>
          </w:p>
        </w:tc>
      </w:tr>
      <w:tr>
        <w:trPr/>
        <w:tc>
          <w:tcPr>
            <w:tcW w:w="2958" w:type="dxa"/>
            <w:tcBorders/>
            <w:shd w:fill="CCEEFF" w:val="clear"/>
            <w:vAlign w:val="center"/>
          </w:tcPr>
          <w:p>
            <w:pPr>
              <w:pStyle w:val="TableContents"/>
              <w:bidi w:val="0"/>
              <w:spacing w:before="0" w:after="283"/>
              <w:jc w:val="left"/>
              <w:rPr/>
            </w:pPr>
            <w:r>
              <w:rPr/>
              <w:t xml:space="preserve">Taxes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(26 </w:t>
            </w:r>
          </w:p>
        </w:tc>
        <w:tc>
          <w:tcPr>
            <w:tcW w:w="130" w:type="dxa"/>
            <w:tcBorders/>
            <w:shd w:fill="CCEEFF" w:val="clear"/>
            <w:vAlign w:val="center"/>
          </w:tcPr>
          <w:p>
            <w:pPr>
              <w:pStyle w:val="TableContents"/>
              <w:bidi w:val="0"/>
              <w:spacing w:before="0" w:after="283"/>
              <w:jc w:val="lef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991 </w:t>
            </w:r>
          </w:p>
        </w:tc>
        <w:tc>
          <w:tcPr>
            <w:tcW w:w="130" w:type="dxa"/>
            <w:tcBorders/>
            <w:shd w:fill="CCEEFF" w:val="clear"/>
            <w:vAlign w:val="center"/>
          </w:tcPr>
          <w:p>
            <w:pPr>
              <w:pStyle w:val="TableContents"/>
              <w:bidi w:val="0"/>
              <w:spacing w:before="0" w:after="283"/>
              <w:jc w:val="lef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(26 </w:t>
            </w:r>
          </w:p>
        </w:tc>
        <w:tc>
          <w:tcPr>
            <w:tcW w:w="130" w:type="dxa"/>
            <w:tcBorders/>
            <w:shd w:fill="CCEEFF" w:val="clear"/>
            <w:vAlign w:val="center"/>
          </w:tcPr>
          <w:p>
            <w:pPr>
              <w:pStyle w:val="TableContents"/>
              <w:bidi w:val="0"/>
              <w:spacing w:before="0" w:after="283"/>
              <w:jc w:val="lef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278" w:type="dxa"/>
            <w:tcBorders/>
            <w:shd w:fill="CCEEFF" w:val="clear"/>
            <w:vAlign w:val="center"/>
          </w:tcPr>
          <w:p>
            <w:pPr>
              <w:pStyle w:val="TableContents"/>
              <w:bidi w:val="0"/>
              <w:spacing w:before="0" w:after="283"/>
              <w:jc w:val="left"/>
              <w:rPr/>
            </w:pPr>
            <w:r>
              <w:rPr/>
              <w:t xml:space="preserve">  </w:t>
            </w:r>
          </w:p>
        </w:tc>
        <w:tc>
          <w:tcPr>
            <w:tcW w:w="1304" w:type="dxa"/>
            <w:tcBorders/>
            <w:shd w:fill="CCEEFF" w:val="clear"/>
            <w:vAlign w:val="center"/>
          </w:tcPr>
          <w:p>
            <w:pPr>
              <w:pStyle w:val="TableContents"/>
              <w:bidi w:val="0"/>
              <w:spacing w:before="0" w:after="283"/>
              <w:jc w:val="right"/>
              <w:rPr/>
            </w:pPr>
            <w:r>
              <w:rPr/>
              <w:t xml:space="preserve">(709 </w:t>
            </w:r>
          </w:p>
        </w:tc>
        <w:tc>
          <w:tcPr>
            <w:tcW w:w="149" w:type="dxa"/>
            <w:tcBorders/>
            <w:shd w:fill="CCEEFF" w:val="clear"/>
            <w:vAlign w:val="center"/>
          </w:tcPr>
          <w:p>
            <w:pPr>
              <w:pStyle w:val="TableContents"/>
              <w:bidi w:val="0"/>
              <w:spacing w:before="0" w:after="283"/>
              <w:jc w:val="left"/>
              <w:rPr/>
            </w:pPr>
            <w:r>
              <w:rPr/>
              <w:t xml:space="preserve">) </w:t>
            </w:r>
          </w:p>
        </w:tc>
      </w:tr>
      <w:tr>
        <w:trPr/>
        <w:tc>
          <w:tcPr>
            <w:tcW w:w="2958" w:type="dxa"/>
            <w:tcBorders/>
            <w:shd w:fill="FFFFFF" w:val="clear"/>
            <w:vAlign w:val="center"/>
          </w:tcPr>
          <w:p>
            <w:pPr>
              <w:pStyle w:val="TableContents"/>
              <w:bidi w:val="0"/>
              <w:spacing w:before="0" w:after="283"/>
              <w:jc w:val="left"/>
              <w:rPr/>
            </w:pPr>
            <w:r>
              <w:rPr/>
              <w:t xml:space="preserve">Depreciation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328 </w:t>
            </w:r>
          </w:p>
        </w:tc>
        <w:tc>
          <w:tcPr>
            <w:tcW w:w="130" w:type="dxa"/>
            <w:tcBorders/>
            <w:shd w:fill="FFFFFF" w:val="clear"/>
            <w:vAlign w:val="center"/>
          </w:tcPr>
          <w:p>
            <w:pPr>
              <w:pStyle w:val="TableContents"/>
              <w:bidi w:val="0"/>
              <w:spacing w:before="0" w:after="283"/>
              <w:jc w:val="lef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243 </w:t>
            </w:r>
          </w:p>
        </w:tc>
        <w:tc>
          <w:tcPr>
            <w:tcW w:w="130" w:type="dxa"/>
            <w:tcBorders/>
            <w:shd w:fill="FFFFFF" w:val="clear"/>
            <w:vAlign w:val="center"/>
          </w:tcPr>
          <w:p>
            <w:pPr>
              <w:pStyle w:val="TableContents"/>
              <w:bidi w:val="0"/>
              <w:spacing w:before="0" w:after="283"/>
              <w:jc w:val="lef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1,237 </w:t>
            </w:r>
          </w:p>
        </w:tc>
        <w:tc>
          <w:tcPr>
            <w:tcW w:w="130" w:type="dxa"/>
            <w:tcBorders/>
            <w:shd w:fill="FFFFFF" w:val="clear"/>
            <w:vAlign w:val="center"/>
          </w:tcPr>
          <w:p>
            <w:pPr>
              <w:pStyle w:val="TableContents"/>
              <w:bidi w:val="0"/>
              <w:spacing w:before="0" w:after="283"/>
              <w:jc w:val="lef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891 </w:t>
            </w:r>
          </w:p>
        </w:tc>
        <w:tc>
          <w:tcPr>
            <w:tcW w:w="149" w:type="dxa"/>
            <w:tcBorders/>
            <w:shd w:fill="FFFFFF" w:val="clear"/>
            <w:vAlign w:val="center"/>
          </w:tcPr>
          <w:p>
            <w:pPr>
              <w:pStyle w:val="TableContents"/>
              <w:bidi w:val="0"/>
              <w:spacing w:before="0" w:after="283"/>
              <w:jc w:val="left"/>
              <w:rPr/>
            </w:pPr>
            <w:r>
              <w:rPr/>
              <w:t xml:space="preserve">  </w:t>
            </w:r>
          </w:p>
        </w:tc>
      </w:tr>
      <w:tr>
        <w:trPr/>
        <w:tc>
          <w:tcPr>
            <w:tcW w:w="2958" w:type="dxa"/>
            <w:tcBorders/>
            <w:shd w:fill="CCEEFF" w:val="clear"/>
            <w:vAlign w:val="center"/>
          </w:tcPr>
          <w:p>
            <w:pPr>
              <w:pStyle w:val="TableContents"/>
              <w:bidi w:val="0"/>
              <w:spacing w:before="0" w:after="283"/>
              <w:jc w:val="left"/>
              <w:rPr/>
            </w:pPr>
            <w:r>
              <w:rPr/>
              <w:t>EBITDA</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7,426</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(27,979</w:t>
            </w:r>
          </w:p>
        </w:tc>
        <w:tc>
          <w:tcPr>
            <w:tcW w:w="13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3,409</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(32,830</w:t>
            </w:r>
          </w:p>
        </w:tc>
        <w:tc>
          <w:tcPr>
            <w:tcW w:w="149" w:type="dxa"/>
            <w:tcBorders/>
            <w:shd w:fill="CCEEFF" w:val="clear"/>
            <w:vAlign w:val="center"/>
          </w:tcPr>
          <w:p>
            <w:pPr>
              <w:pStyle w:val="TableContents"/>
              <w:bidi w:val="0"/>
              <w:spacing w:before="0" w:after="283"/>
              <w:jc w:val="left"/>
              <w:rPr/>
            </w:pPr>
            <w:r>
              <w:rPr/>
              <w:t>)</w:t>
            </w:r>
          </w:p>
        </w:tc>
      </w:tr>
      <w:tr>
        <w:trPr/>
        <w:tc>
          <w:tcPr>
            <w:tcW w:w="2958" w:type="dxa"/>
            <w:tcBorders/>
            <w:shd w:fill="FFFFFF" w:val="clear"/>
            <w:vAlign w:val="center"/>
          </w:tcPr>
          <w:p>
            <w:pPr>
              <w:pStyle w:val="TableContents"/>
              <w:bidi w:val="0"/>
              <w:spacing w:before="0" w:after="283"/>
              <w:jc w:val="left"/>
              <w:rPr>
                <w:i/>
              </w:rPr>
            </w:pPr>
            <w:r>
              <w:rPr>
                <w:i/>
              </w:rPr>
              <w:t>Adjusted for:</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r>
      <w:tr>
        <w:trPr/>
        <w:tc>
          <w:tcPr>
            <w:tcW w:w="29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r>
              <w:rPr>
                <w:rFonts w:ascii="Times New Roman;Times;Serif" w:hAnsi="Times New Roman;Times;Serif"/>
                <w:b w:val="false"/>
                <w:i w:val="false"/>
                <w:caps w:val="false"/>
                <w:smallCaps w:val="false"/>
                <w:position w:val="7"/>
                <w:sz w:val="16"/>
                <w:sz w:val="20"/>
              </w:rPr>
              <w:t>(1)</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323</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1,312</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6,710</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2,467</w:t>
            </w:r>
          </w:p>
        </w:tc>
        <w:tc>
          <w:tcPr>
            <w:tcW w:w="149" w:type="dxa"/>
            <w:tcBorders/>
            <w:shd w:fill="CCEEFF"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2023 Offering Costs</w:t>
            </w:r>
            <w:r>
              <w:rPr>
                <w:rFonts w:ascii="Times New Roman;Times;Serif" w:hAnsi="Times New Roman;Times;Serif"/>
                <w:b w:val="false"/>
                <w:i w:val="false"/>
                <w:caps w:val="false"/>
                <w:smallCaps w:val="false"/>
                <w:position w:val="7"/>
                <w:sz w:val="16"/>
                <w:sz w:val="20"/>
              </w:rPr>
              <w:t>(2)</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904</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49" w:type="dxa"/>
            <w:tcBorders/>
            <w:shd w:fill="FFFFFF" w:val="clear"/>
            <w:vAlign w:val="center"/>
          </w:tcPr>
          <w:p>
            <w:pPr>
              <w:pStyle w:val="TableContents"/>
              <w:bidi w:val="0"/>
              <w:spacing w:before="0" w:after="283"/>
              <w:jc w:val="left"/>
              <w:rPr/>
            </w:pPr>
            <w:r>
              <w:rPr/>
              <w:t> </w:t>
            </w:r>
          </w:p>
        </w:tc>
      </w:tr>
      <w:tr>
        <w:trPr/>
        <w:tc>
          <w:tcPr>
            <w:tcW w:w="29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Forgiveness</w:t>
            </w:r>
            <w:r>
              <w:rPr>
                <w:rFonts w:ascii="Times New Roman;Times;Serif" w:hAnsi="Times New Roman;Times;Serif"/>
                <w:b w:val="false"/>
                <w:i w:val="false"/>
                <w:caps w:val="false"/>
                <w:smallCaps w:val="false"/>
                <w:position w:val="7"/>
                <w:sz w:val="16"/>
                <w:sz w:val="20"/>
              </w:rPr>
              <w:t>(3)</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469</w:t>
            </w:r>
          </w:p>
        </w:tc>
        <w:tc>
          <w:tcPr>
            <w:tcW w:w="149" w:type="dxa"/>
            <w:tcBorders/>
            <w:shd w:fill="CCEEFF"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pPr>
            <w:r>
              <w:rPr/>
              <w:t>Loss on Disposal of Assets</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596</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56</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712</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56</w:t>
            </w:r>
          </w:p>
        </w:tc>
        <w:tc>
          <w:tcPr>
            <w:tcW w:w="149" w:type="dxa"/>
            <w:tcBorders/>
            <w:shd w:fill="FFFFFF" w:val="clear"/>
            <w:vAlign w:val="center"/>
          </w:tcPr>
          <w:p>
            <w:pPr>
              <w:pStyle w:val="TableContents"/>
              <w:bidi w:val="0"/>
              <w:spacing w:before="0" w:after="283"/>
              <w:jc w:val="left"/>
              <w:rPr/>
            </w:pPr>
            <w:r>
              <w:rPr/>
              <w:t> </w:t>
            </w:r>
          </w:p>
        </w:tc>
      </w:tr>
      <w:tr>
        <w:trPr/>
        <w:tc>
          <w:tcPr>
            <w:tcW w:w="29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w:t>
            </w:r>
            <w:r>
              <w:rPr>
                <w:rFonts w:ascii="Times New Roman;Times;Serif" w:hAnsi="Times New Roman;Times;Serif"/>
                <w:b w:val="false"/>
                <w:i w:val="false"/>
                <w:caps w:val="false"/>
                <w:smallCaps w:val="false"/>
                <w:position w:val="7"/>
                <w:sz w:val="16"/>
                <w:sz w:val="20"/>
              </w:rPr>
              <w:t>(4)</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1,197</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720</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1,197</w:t>
            </w:r>
          </w:p>
        </w:tc>
        <w:tc>
          <w:tcPr>
            <w:tcW w:w="149" w:type="dxa"/>
            <w:tcBorders/>
            <w:shd w:fill="CCEEFF"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pPr>
            <w:r>
              <w:rPr/>
              <w:t>Business Combination Expenses</w:t>
            </w:r>
            <w:r>
              <w:rPr>
                <w:position w:val="8"/>
                <w:sz w:val="19"/>
              </w:rPr>
              <w:t>(5)</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21,337</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21,337</w:t>
            </w:r>
          </w:p>
        </w:tc>
        <w:tc>
          <w:tcPr>
            <w:tcW w:w="149" w:type="dxa"/>
            <w:tcBorders/>
            <w:shd w:fill="FFFFFF" w:val="clear"/>
            <w:vAlign w:val="center"/>
          </w:tcPr>
          <w:p>
            <w:pPr>
              <w:pStyle w:val="TableContents"/>
              <w:bidi w:val="0"/>
              <w:spacing w:before="0" w:after="283"/>
              <w:jc w:val="left"/>
              <w:rPr/>
            </w:pPr>
            <w:r>
              <w:rPr/>
              <w:t> </w:t>
            </w:r>
          </w:p>
        </w:tc>
      </w:tr>
      <w:tr>
        <w:trPr/>
        <w:tc>
          <w:tcPr>
            <w:tcW w:w="29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w:t>
            </w:r>
            <w:r>
              <w:rPr>
                <w:rFonts w:ascii="Times New Roman;Times;Serif" w:hAnsi="Times New Roman;Times;Serif"/>
                <w:b w:val="false"/>
                <w:i w:val="false"/>
                <w:caps w:val="false"/>
                <w:smallCaps w:val="false"/>
                <w:position w:val="7"/>
                <w:sz w:val="16"/>
                <w:sz w:val="20"/>
              </w:rPr>
              <w:t>(6)</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4,824</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4,824</w:t>
            </w:r>
          </w:p>
        </w:tc>
        <w:tc>
          <w:tcPr>
            <w:tcW w:w="149" w:type="dxa"/>
            <w:tcBorders/>
            <w:shd w:fill="CCEEFF" w:val="clear"/>
            <w:vAlign w:val="center"/>
          </w:tcPr>
          <w:p>
            <w:pPr>
              <w:pStyle w:val="TableContents"/>
              <w:bidi w:val="0"/>
              <w:spacing w:before="0" w:after="283"/>
              <w:jc w:val="left"/>
              <w:rPr/>
            </w:pPr>
            <w:r>
              <w:rPr/>
              <w:t> </w:t>
            </w:r>
          </w:p>
        </w:tc>
      </w:tr>
      <w:tr>
        <w:trPr/>
        <w:tc>
          <w:tcPr>
            <w:tcW w:w="29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r>
              <w:rPr>
                <w:rFonts w:ascii="Times New Roman;Times;Serif" w:hAnsi="Times New Roman;Times;Serif"/>
                <w:b w:val="false"/>
                <w:i w:val="false"/>
                <w:caps w:val="false"/>
                <w:smallCaps w:val="false"/>
                <w:position w:val="7"/>
                <w:sz w:val="16"/>
                <w:sz w:val="20"/>
              </w:rPr>
              <w:t>(7)</w:t>
            </w:r>
          </w:p>
        </w:tc>
        <w:tc>
          <w:tcPr>
            <w:tcW w:w="95"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(10,400</w:t>
            </w:r>
          </w:p>
        </w:tc>
        <w:tc>
          <w:tcPr>
            <w:tcW w:w="13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(5,446</w:t>
            </w:r>
          </w:p>
        </w:tc>
        <w:tc>
          <w:tcPr>
            <w:tcW w:w="13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(29,582</w:t>
            </w:r>
          </w:p>
        </w:tc>
        <w:tc>
          <w:tcPr>
            <w:tcW w:w="13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(5,446</w:t>
            </w:r>
          </w:p>
        </w:tc>
        <w:tc>
          <w:tcPr>
            <w:tcW w:w="149" w:type="dxa"/>
            <w:tcBorders/>
            <w:shd w:fill="FFFFFF" w:val="clear"/>
            <w:vAlign w:val="center"/>
          </w:tcPr>
          <w:p>
            <w:pPr>
              <w:pStyle w:val="TableContents"/>
              <w:bidi w:val="0"/>
              <w:spacing w:before="0" w:after="283"/>
              <w:jc w:val="left"/>
              <w:rPr/>
            </w:pPr>
            <w:r>
              <w:rPr/>
              <w:t>)</w:t>
            </w:r>
          </w:p>
        </w:tc>
      </w:tr>
      <w:tr>
        <w:trPr/>
        <w:tc>
          <w:tcPr>
            <w:tcW w:w="2958" w:type="dxa"/>
            <w:tcBorders/>
            <w:shd w:fill="CCEEFF" w:val="clear"/>
            <w:vAlign w:val="center"/>
          </w:tcPr>
          <w:p>
            <w:pPr>
              <w:pStyle w:val="TableContents"/>
              <w:bidi w:val="0"/>
              <w:spacing w:before="0" w:after="283"/>
              <w:jc w:val="left"/>
              <w:rPr>
                <w:b/>
              </w:rPr>
            </w:pPr>
            <w:r>
              <w:rPr>
                <w:b/>
              </w:rPr>
              <w:t>Adjusted EBITDA</w:t>
            </w:r>
          </w:p>
        </w:tc>
        <w:tc>
          <w:tcPr>
            <w:tcW w:w="95"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(2,055</w:t>
            </w:r>
          </w:p>
        </w:tc>
        <w:tc>
          <w:tcPr>
            <w:tcW w:w="13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(4,699</w:t>
            </w:r>
          </w:p>
        </w:tc>
        <w:tc>
          <w:tcPr>
            <w:tcW w:w="13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(17,127</w:t>
            </w:r>
          </w:p>
        </w:tc>
        <w:tc>
          <w:tcPr>
            <w:tcW w:w="13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(7,926</w:t>
            </w:r>
          </w:p>
        </w:tc>
        <w:tc>
          <w:tcPr>
            <w:tcW w:w="14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the Company’s employees, consultants and board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2023 Offering Costs related to the warrant liability are comprised of fees and expenses, including legal, accounting and other expenses associated with this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 Foregiveness is comprised of the loan that was forgiven, prior to the Business Combination, in connection with the promissory note, with a maturity date of March 1, 2026, between the Company and John Marchetti, its Senior Vice President of Operations and former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in 2022 is comprised of $1.2 million in cash severance associated with the Separation Agreement dated October 25, 2022, as amended on November 14, 2022 between the Company and Sean Nichols, its former Chief Operating Officer. Seperation Agreement in 2023 is comprised of $720 in cash severance associated with the Separation Agreement dated April 26, 2023, between the Company and its former Chief Legal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Expenses is comprised of fees and expenses, including legal, accounting and other expenses asscociated with the Business Combination.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Extinguishment expenses are comprised of expenses incurred in connection with the early debt repayment of the Series 2021-6 Notes that occurred in conjunction with the Business Combination.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 represents the change in fair value from the date the warrants were issued through December 31,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Source: Dragonfly Energy Holdings Corp.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4448</Words>
  <Characters>24376</Characters>
  <CharactersWithSpaces>29928</CharactersWithSpaces>
  <Paragraphs>2141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