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(Name(s)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2024 Annual Meeting of Stockholders of Dragonfly Energy Holdings Corp., or the Annual Meeting, which will be held on Tuesday, November 12, 2024, at 9:00 a.m., Pacific Time. This year’s Annual Meeting will be held via the Internet. Stockholders will be able to listen to the meeting live, submit questions and vote online regardless of location via the Internet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You will be able to attend the Annual Meeting by first registering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You will receive a meeting invitation by e-mail with your unique join link along with a password prior to the meeting date. </w:t>
      </w:r>
      <w:r>
        <w:rPr>
          <w:rFonts w:ascii="Times New Roman" w:cs="Times New Roman" w:eastAsia="Times New Roman" w:hAnsi="Times New Roman"/>
          <w:sz w:val="18"/>
          <w:szCs w:val="18"/>
          <w:b w:val="1"/>
          <w:bCs w:val="1"/>
          <w:color w:val="auto"/>
        </w:rPr>
        <w:t>You will not be able to attend the Annual Meeting in person.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225"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2027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one-for-five (1:5) and not greater than one-for-twenty (1:20)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are insufficient to approve such proposal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our fiscal year ending December 31, 2024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complete, sign and return the proxy card whether or not you plan to attend the Annual Meeting. Alternatively, you may vote online at </w:t>
      </w:r>
      <w:r>
        <w:rPr>
          <w:rFonts w:ascii="Times New Roman" w:cs="Times New Roman" w:eastAsia="Times New Roman" w:hAnsi="Times New Roman"/>
          <w:sz w:val="18"/>
          <w:szCs w:val="18"/>
          <w:i w:val="1"/>
          <w:iCs w:val="1"/>
          <w:color w:val="auto"/>
        </w:rPr>
        <w:t xml:space="preserve">http://www.web.viewproxy.com/DFLI/2024. </w:t>
      </w:r>
      <w:r>
        <w:rPr>
          <w:rFonts w:ascii="Times New Roman" w:cs="Times New Roman" w:eastAsia="Times New Roman" w:hAnsi="Times New Roman"/>
          <w:sz w:val="18"/>
          <w:szCs w:val="18"/>
          <w:b w:val="1"/>
          <w:bCs w:val="1"/>
          <w:color w:val="auto"/>
        </w:rPr>
        <w:t>Your vote is important regardless of the number of shares you own. Voting by proxy will not prevent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from voting at the virtual Annual Meeting (provided you follow the revocation procedures described in the accompanying proxy statement) but will assure that your vote is counted if you cannot attend.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the Board and the employees of Dragonfly Energy Holdings Corp., we thank you for your continued support and look forward to speaking with you at the Annual Meeting.</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Broadacres Drive, 3rd Floor, Bloomfield, NJ 07003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12, 2024</w:t>
      </w:r>
    </w:p>
    <w:p>
      <w:pPr>
        <w:spacing w:after="0" w:line="200" w:lineRule="exact"/>
        <w:rPr>
          <w:sz w:val="20"/>
          <w:szCs w:val="20"/>
          <w:color w:val="auto"/>
        </w:rPr>
      </w:pPr>
    </w:p>
    <w:p>
      <w:pPr>
        <w:sectPr>
          <w:pgSz w:w="11900" w:h="16838" w:orient="portrait"/>
          <w:cols w:equalWidth="0" w:num="2">
            <w:col w:w="420" w:space="360"/>
            <w:col w:w="10460"/>
          </w:cols>
          <w:pgMar w:left="320" w:top="65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 a.m., Pacific Time</w:t>
      </w:r>
    </w:p>
    <w:p>
      <w:pPr>
        <w:spacing w:after="0" w:line="211" w:lineRule="exact"/>
        <w:rPr>
          <w:sz w:val="20"/>
          <w:szCs w:val="20"/>
          <w:color w:val="auto"/>
        </w:rPr>
      </w:pPr>
    </w:p>
    <w:p>
      <w:pPr>
        <w:sectPr>
          <w:pgSz w:w="11900" w:h="16838" w:orient="portrait"/>
          <w:cols w:equalWidth="0" w:num="2">
            <w:col w:w="460" w:space="320"/>
            <w:col w:w="10460"/>
          </w:cols>
          <w:pgMar w:left="320" w:top="65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year’s Annual Meeting will be held via the Internet. Stockholders will be able to listen, vote and submit questions regardless of location via the Internet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b w:val="1"/>
          <w:bCs w:val="1"/>
          <w:color w:val="auto"/>
        </w:rPr>
        <w:t xml:space="preserve"> You will be able to attend the Annual Meeting by first registering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b w:val="1"/>
          <w:bCs w:val="1"/>
          <w:color w:val="auto"/>
        </w:rPr>
        <w:t>. You will receive a meeting invitation by e-mail with your unique join link along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password prior to the meeting date.</w:t>
      </w:r>
    </w:p>
    <w:p>
      <w:pPr>
        <w:spacing w:after="0" w:line="180" w:lineRule="exact"/>
        <w:rPr>
          <w:sz w:val="20"/>
          <w:szCs w:val="20"/>
          <w:color w:val="auto"/>
        </w:rPr>
      </w:pPr>
    </w:p>
    <w:p>
      <w:pPr>
        <w:sectPr>
          <w:pgSz w:w="11900" w:h="16838" w:orient="portrait"/>
          <w:cols w:equalWidth="0" w:num="2">
            <w:col w:w="480" w:space="300"/>
            <w:col w:w="104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 our 2024 Annual Meeting, we will ask you:</w:t>
      </w:r>
    </w:p>
    <w:p>
      <w:pPr>
        <w:spacing w:after="0" w:line="225"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2027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one-for-five (1:5) and not greater than one-for-twenty (1:20)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are insufficient to approve such proposal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our fiscal year ending December 31, 2024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at the Annual Meeting (or any adjournment or postponement of the Annual Meeting) if you were a stockholder of Dragonfly Energy Holdings Corp. at the close of business on October 7, 2024 (the “Record Date”). Only stockholders of record at the close of business on the Record Date are entitled to notice of, and to vote at, the Annual Meeting.</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2024</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2024 ANNUAL MEETING OF STOCKHOLDERS TO BE HELD ON NOVEMBER 12, 2024: Our Proxy Statement for the 2024 Annual Meeting of Stockholders and the Annual Report to Stockholders on Form 10-K for the fiscal year ended December 31, 2023 are available at </w:t>
      </w:r>
      <w:r>
        <w:rPr>
          <w:rFonts w:ascii="Times New Roman" w:cs="Times New Roman" w:eastAsia="Times New Roman" w:hAnsi="Times New Roman"/>
          <w:sz w:val="18"/>
          <w:szCs w:val="18"/>
          <w:b w:val="1"/>
          <w:bCs w:val="1"/>
          <w:i w:val="1"/>
          <w:iCs w:val="1"/>
          <w:color w:val="auto"/>
        </w:rPr>
        <w:t>http://www.web.viewproxy.com/DFLI/2024</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 are cordially invited to attend the Annual Meeting via live webcast by visiting </w:t>
      </w:r>
      <w:r>
        <w:rPr>
          <w:rFonts w:ascii="Times New Roman" w:cs="Times New Roman" w:eastAsia="Times New Roman" w:hAnsi="Times New Roman"/>
          <w:sz w:val="18"/>
          <w:szCs w:val="18"/>
          <w:b w:val="1"/>
          <w:bCs w:val="1"/>
          <w:i w:val="1"/>
          <w:iCs w:val="1"/>
          <w:color w:val="auto"/>
        </w:rPr>
        <w:t>http://www.web.viewproxy.com/DFLI/2024.</w:t>
      </w:r>
      <w:r>
        <w:rPr>
          <w:rFonts w:ascii="Times New Roman" w:cs="Times New Roman" w:eastAsia="Times New Roman" w:hAnsi="Times New Roman"/>
          <w:sz w:val="18"/>
          <w:szCs w:val="18"/>
          <w:b w:val="1"/>
          <w:bCs w:val="1"/>
          <w:color w:val="auto"/>
        </w:rPr>
        <w:t xml:space="preserve"> To be sure your vote is counted and assure a quorum is present, it is important that you vote your shares regardless of the number of shares you own. The Board urges you to vote over the Internet by going to </w:t>
      </w:r>
      <w:r>
        <w:rPr>
          <w:rFonts w:ascii="Times New Roman" w:cs="Times New Roman" w:eastAsia="Times New Roman" w:hAnsi="Times New Roman"/>
          <w:sz w:val="18"/>
          <w:szCs w:val="18"/>
          <w:b w:val="1"/>
          <w:bCs w:val="1"/>
          <w:i w:val="1"/>
          <w:iCs w:val="1"/>
          <w:color w:val="auto"/>
        </w:rPr>
        <w:t>http://www.web.viewproxy.com/DFLI/2024</w:t>
      </w:r>
      <w:r>
        <w:rPr>
          <w:rFonts w:ascii="Times New Roman" w:cs="Times New Roman" w:eastAsia="Times New Roman" w:hAnsi="Times New Roman"/>
          <w:sz w:val="18"/>
          <w:szCs w:val="18"/>
          <w:b w:val="1"/>
          <w:bCs w:val="1"/>
          <w:color w:val="auto"/>
        </w:rPr>
        <w:t xml:space="preserve"> or by telephone by calling Alliance Advisors at (866) 612-8937 or to sign, date and mark the proxy card promptly and return it to Dragonfly Energy Holdings Corp. Voting over the Internet or by telephone or by returning the proxy card will not prevent you from voting at the virtual Annual Meeting. </w:t>
      </w:r>
      <w:r>
        <w:rPr>
          <w:rFonts w:ascii="Times New Roman" w:cs="Times New Roman" w:eastAsia="Times New Roman" w:hAnsi="Times New Roman"/>
          <w:sz w:val="18"/>
          <w:szCs w:val="18"/>
          <w:b w:val="1"/>
          <w:bCs w:val="1"/>
          <w:i w:val="1"/>
          <w:iCs w:val="1"/>
          <w:color w:val="auto"/>
        </w:rPr>
        <w:t>Under Securities and Exchange Commission rules,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are 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Dragonfly Energy Holdings Corp., or Dragonfly, is a Nevada corporation. As used in this proxy statement, “we,” “us,” “our” and the “Company” refer to Dragonfly Energy Holdings Corp. The term “Annual Meeting” as used in this proxy statement refers to the 2024 Annual Meeting of Stockholders and includes any adjournment or postponement of the Annual Meeting.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where you can access this proxy statement for the 2024 Annual Meeting, our Annual Report on Form 10-K for the fiscal year ended December 31, 2023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and our proxy card. In addition, our proxy materials provide instructions on how you may request to receive, at no charge, all future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is soliciting your proxy to vote at the Annual Meeting. This proxy statement summarizes the information you will need to know to cast an informed vote at the Annual Meeting. You do not need to attend the Annual Meeting to vote your shares. You may simply complete, sign and return the proxy card and your votes will be cast for you at the Annual Meeting or you may vote online at </w:t>
      </w:r>
      <w:r>
        <w:rPr>
          <w:rFonts w:ascii="Times New Roman" w:cs="Times New Roman" w:eastAsia="Times New Roman" w:hAnsi="Times New Roman"/>
          <w:sz w:val="18"/>
          <w:szCs w:val="18"/>
          <w:i w:val="1"/>
          <w:iCs w:val="1"/>
          <w:color w:val="auto"/>
        </w:rPr>
        <w:t xml:space="preserve">http://www.web.viewproxy.com/DFLI/2024. </w:t>
      </w:r>
      <w:r>
        <w:rPr>
          <w:rFonts w:ascii="Times New Roman" w:cs="Times New Roman" w:eastAsia="Times New Roman" w:hAnsi="Times New Roman"/>
          <w:sz w:val="18"/>
          <w:szCs w:val="18"/>
          <w:color w:val="auto"/>
        </w:rPr>
        <w:t>This process is described below in the section entitled “Voting Rights.”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and the Notice of Annual Meeting are dated October 21, 2024. If you owned shares of common stock of Dragonfly at the close of business on October 7,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you are entitled to vote at the Annual Meeting, as set out below. Each share of common stock is entitled to one vote per share. On the Record Date, there were 62,776,944 shares of common stock outstanding.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year’s Annual Meeting will be held in a virtual meeting format only. The Annual Meeting will convene on November 12, 2024, at 9:00 a.m. Pacific Time. In order to participate in the Annual Meeting live via the Internet, you must register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by 11:59 p.m. Eastern Time by November 11, 2024.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2024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the day of the Annual Meeting, if you have properly registered, you may enter the Annual Meeting by logging in using the event password you received via email in your registration confirmation at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where you will be able to listen to the meeting live, submit questions and vote online. You will need the virtual control number. As part of the Annual Meeting, we will hold a live question and answer session, during which we intend to answer questions submitted in writing during the meeting in accordance with the Annual Meeting procedures which are pertinent to the Company and the meeting matters, as time permits. Questions and answers will be grouped by topic and substantially similar questions will be grouped and answered once.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encounter any technical difficulties accessing the Annual Meeting live audio webcast during the meeting time, there will be technicians ready to assist you with any technical difficulties you may have accessing the annual meeting live audio webcast. Please be sure to check in by 8:45 a.m. Pacific Time on November 12, 2024, the day of the Annual Meeting, so that any technical difficulties may be addressed before the Annual Meeting live audio webcast begins. If you encounter any difficulties accessing the webcast during the check-in or meeting time, please email VirtualMeeting@viewproxy.com or call (866) 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live webcast of the Annual Meeting, we encourage you to vote in advance by Internet, telephone or mail so that your vote will be counted even if you later decide not to attend the virtual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asked to vote:</w:t>
      </w:r>
    </w:p>
    <w:p>
      <w:pPr>
        <w:spacing w:after="0" w:line="22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to hold office until the 2027 annual meeting of stockholders (the “</w:t>
      </w:r>
      <w:r>
        <w:rPr>
          <w:rFonts w:ascii="Times New Roman" w:cs="Times New Roman" w:eastAsia="Times New Roman" w:hAnsi="Times New Roman"/>
          <w:sz w:val="18"/>
          <w:szCs w:val="18"/>
          <w:b w:val="1"/>
          <w:bCs w:val="1"/>
          <w:color w:val="auto"/>
        </w:rPr>
        <w:t>Director Proposal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our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one-for-five (1:5) and not greater than one-for-twenty (1:20)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with the exact ratio to be determined by our Board and included in a public announcement (the “</w:t>
      </w:r>
      <w:r>
        <w:rPr>
          <w:rFonts w:ascii="Times New Roman" w:cs="Times New Roman" w:eastAsia="Times New Roman" w:hAnsi="Times New Roman"/>
          <w:sz w:val="18"/>
          <w:szCs w:val="18"/>
          <w:b w:val="1"/>
          <w:bCs w:val="1"/>
          <w:color w:val="auto"/>
        </w:rPr>
        <w:t>Reverse Stock Split Proposal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are insufficient to approve such proposal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Marcum LLP as our independent registered public accounting firm for our fiscal year ending December 31, 2024 (the “</w:t>
      </w:r>
      <w:r>
        <w:rPr>
          <w:rFonts w:ascii="Times New Roman" w:cs="Times New Roman" w:eastAsia="Times New Roman" w:hAnsi="Times New Roman"/>
          <w:sz w:val="18"/>
          <w:szCs w:val="18"/>
          <w:b w:val="1"/>
          <w:bCs w:val="1"/>
          <w:color w:val="auto"/>
        </w:rPr>
        <w:t>Auditor Proposal</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The holders of one-third of the voting power of the outstanding shares of capital stock entitled to vote at the Annual Meeting as of the Record Date, represented in person or by proxy, will constitute a quorum for the transaction of business at the Annual Meeting. We will include proxies marked as abstentions, withheld votes, and broker non-votes to determine the number of shares present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at the Annual Meeting for each share of the common stock that he or she owned as of the Record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via live webcast, by phone, over the Internet or by proxy. If you wish to vote your shares electronically at the Annual Meeting, there will be a live link provided during the Annual Meeting (you will need the virtual control number assigned to you).</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To vote over the Internet, you must go to </w:t>
      </w:r>
      <w:r>
        <w:rPr>
          <w:rFonts w:ascii="Times New Roman" w:cs="Times New Roman" w:eastAsia="Times New Roman" w:hAnsi="Times New Roman"/>
          <w:sz w:val="18"/>
          <w:szCs w:val="18"/>
          <w:i w:val="1"/>
          <w:iCs w:val="1"/>
          <w:color w:val="auto"/>
        </w:rPr>
        <w:t>http://www.web.viewproxy.com/DFLI/2024</w:t>
      </w:r>
      <w:r>
        <w:rPr>
          <w:rFonts w:ascii="Times New Roman" w:cs="Times New Roman" w:eastAsia="Times New Roman" w:hAnsi="Times New Roman"/>
          <w:sz w:val="18"/>
          <w:szCs w:val="18"/>
          <w:color w:val="auto"/>
        </w:rPr>
        <w:t xml:space="preserve">. To vote by phone, please call (866) 612-8937.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8"/>
          <w:szCs w:val="18"/>
          <w:b w:val="1"/>
          <w:bCs w:val="1"/>
          <w:color w:val="auto"/>
        </w:rPr>
        <w:t>If you are a stockholder of record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you return a properly executed proxy card or vote by proxy over the Internet but do not mark the boxes showing how you wish to vote, your proxy will vote your shares “FOR” the Director Proposal; “FOR” the approval of the Reverse Stock Split Proposal; “FOR” the Adjournment Proposal; and “FOR” the Auditor Proposal and, in the discretion of the proxy holders, on any other matters that properly come before the meeting. </w:t>
      </w:r>
      <w:r>
        <w:rPr>
          <w:rFonts w:ascii="Times New Roman" w:cs="Times New Roman" w:eastAsia="Times New Roman" w:hAnsi="Times New Roman"/>
          <w:sz w:val="18"/>
          <w:szCs w:val="18"/>
          <w:color w:val="auto"/>
        </w:rPr>
        <w:t>If any other matter is presented, your proxy will vote your shares as a majority of the Board determines. As of the date of this proxy statement,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of no other matters that may be presented at the Annual Meeting, other than those listed in the Notice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bank, brokerage firm or other nominee, you should vote your shares in accordance with the steps required by such bank, brokerage firm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that a quorum is present, the following votes will be required to approve each proposal:</w:t>
      </w:r>
    </w:p>
    <w:p>
      <w:pPr>
        <w:spacing w:after="0" w:line="225"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Director Proposal, directors are elected by a plurality of the votes present in person or represented by proxy and entitled to vote on the election of directors. The director nominees who receive the greatest number of votes at the Annual Meeting (up to the total number of directors to be elected) will be elected. As a result, withheld votes and “broker non-votes” (see below), if any, will not affect the outcome of the vote on the Director Proposal. Consequently, only shares that are voted in favor of a particular nominee will be counted toward such nominee’s achievement of a plurality. You may not vote your shares cumulatively for the election of directors.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Reverse Stock Split Proposal, the Adjournment Proposal, and the Auditor Proposal, as well as, the approval of any other matter that may properly come before the Annual Meeting, the affirmative vote of the holders of a majority of the votes cast is required to approve these proposals. As a result, abstentions, broker non-votes, if any, and any other failure to submit a proxy or vote in person at the meeting, will not affect the outcome of the vote of the Reverse Stock Split Proposal, the Adjournment Proposal and the Auditor Proposal.</w:t>
      </w:r>
    </w:p>
    <w:p>
      <w:pPr>
        <w:spacing w:after="0" w:line="1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dissenters’ rights of appraisal in connection with any of the matters to be voted on at the meeting.</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has determined that a vote in favor of the foregoing proposals is in the best interests of Dragonfly and our stockholders and unanimously recommends a vote </w:t>
      </w:r>
      <w:r>
        <w:rPr>
          <w:rFonts w:ascii="Times New Roman" w:cs="Times New Roman" w:eastAsia="Times New Roman" w:hAnsi="Times New Roman"/>
          <w:sz w:val="18"/>
          <w:szCs w:val="18"/>
          <w:b w:val="1"/>
          <w:bCs w:val="1"/>
          <w:color w:val="auto"/>
        </w:rPr>
        <w:t>“FOR” the Board’s nominees for director; “FOR” the approval of the Reverse Stock Split Proposal; “FOR” the</w:t>
      </w: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Adjournment Proposal; and “FOR” the Auditor Proposal and, in the discretion of the proxy holders, on any other matters that properly come before the meeting.</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applicable rules governing such brokers, we believe the Reverse Stock Split Proposal, the Adjournment Proposal, and the Auditor Proposal are likely to be considered “routine” items. This means that brokers may vote using their discretion on such proposals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such uninstructed shares. We believe the Director Proposal is likely to be considered “non-routine”, which means that brokers cannot vote your uninstructed shares when they do not receive voting instructions from you. Furthermore, if approvals of the Reverse Stock Split Proposal, the Adjournment Proposal and the Auditor Proposal are deemed by the New York Stock Exchange to be “non-routine” matters, brokers will not be permitted to vote on the Reverse Stock Split Proposal, the Adjournment Proposal and the Auditor Proposal if the broker has not received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after Voting over the Internet or Revoking Your Proxy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may change your vote by attending the Annual Meeting and voting online even if you previously voted over the Internet. Alternatively, you may change your vote by contacting Alliance Advisors LLC by phone at (866) 612-8937, or re-voting over the Internet following the instructions provided.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at any time before it is exercised by:</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letter with our Secretary revoking the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signed proxy with a later date;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online, provided you file a written revocation with the Secretary of the Annual Meeting prior to the voting of such proxy.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your shares are not registered in your own name, you will need appropriate documentation from your stockholder of record to vote at the Annual Meeting. </w:t>
      </w:r>
      <w:r>
        <w:rPr>
          <w:rFonts w:ascii="Times New Roman" w:cs="Times New Roman" w:eastAsia="Times New Roman" w:hAnsi="Times New Roman"/>
          <w:sz w:val="18"/>
          <w:szCs w:val="18"/>
          <w:color w:val="auto"/>
        </w:rPr>
        <w:t>Examples of such documentation include a broker’s statement, letter or other document that will confirm your ownership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Dragonfly.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the costs of soliciting proxies from our stockholders, directors, officers or employees of Dragonfly may solicit proxies by mail, telephone or other forms of communication. We will also reimburse banks, brokers, nominees and other fiduciaries for the expenses they incur in forwarding the proxy materials to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$24,670, and we will reimburse their out-of-pocket expenses. We have also agreed to indemnify Alliance Advisors LLC against 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currently consists of three classes and a total of seven directors, two of whom are being nominated for reelection at this Annual Meeting. Vacancies on the Board may be filled only by persons elected by a majority of the remaining directors, even if less than a quorum, or by the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two nominees listed below are incumbent directors. If elected at the Annual Meeting, each of these nominees would serve until the 2027 annual meeting of stockholders and until his or her successor has been duly elected and qualified, or, if sooner, until the director’s death, resignation or removal. Because the number of nominees properly nominated for the Annual Meeting is the same as the number of directors to be elected, the election of directors at this Annual Meeting is uncontested.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represented by proxy and entitled to vote on the election of directors. In accordance with our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Nevada law, a stockholder entitled to vote for the election of directors may withhold authority to vote for certain nominees for directors or may withhold authority to vote for all nominees for directors. Withheld votes and broker non-votes will not be treated as a vote for or against any particular director nominee and will not affect the outcome of the election. Stockholders may not vote, or submit a proxy, for a greater number of nominees than the four nominees named below. The director nominees receiving the highest number of affirmative votes will be elected. Shares represented by executed proxies will be voted, if authority to do so is not withheld, for the election of the four director nominees named below. If any director nominee becomes unavailable for election as a result of an unexpected occurrence, shares that would have been voted for that nominee will instead be voted for the election of a substitute nominee proposed by our Board. Each person nominated for election has agreed to serve if elected. Our management has no reason to believe that any nominee will be unable to serve.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B Directors at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position and tenure of each of the nominees for the 2024 Annual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Nelson</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Pr>
          <w:p>
            <w:pPr>
              <w:spacing w:after="0"/>
              <w:rPr>
                <w:sz w:val="20"/>
                <w:szCs w:val="20"/>
                <w:color w:val="auto"/>
              </w:rPr>
            </w:pP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includes a brief biography of each of the nominees standing for election to the Board at the Annual Meeting, based on information furnished to us by each director nominee, with each biography including information regarding the experiences, qualifications, attributes or skills that caused the Nominating and Corporate Governance Committee and the Board to determine that the applicable nominee should serve as a member of our Board.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Brian Nelson </w:t>
      </w:r>
      <w:r>
        <w:rPr>
          <w:rFonts w:ascii="Times New Roman" w:cs="Times New Roman" w:eastAsia="Times New Roman" w:hAnsi="Times New Roman"/>
          <w:sz w:val="18"/>
          <w:szCs w:val="18"/>
          <w:color w:val="auto"/>
        </w:rPr>
        <w:t>has served as a member of our Board since October 2022. Prior to the Business Combination (as defined herein), Mr. Nelson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of directors of Dragonfly Energy Corp., a wholly-owned subsidiary of Dragonfly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Jonathan Bellows </w:t>
      </w:r>
      <w:r>
        <w:rPr>
          <w:rFonts w:ascii="Times New Roman" w:cs="Times New Roman" w:eastAsia="Times New Roman" w:hAnsi="Times New Roman"/>
          <w:sz w:val="18"/>
          <w:szCs w:val="18"/>
          <w:color w:val="auto"/>
        </w:rPr>
        <w:t>has served as a member of our Board since October 2022. Mr. Bellows currently serves as President of KORE Power,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Membership Diversity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the Board Diversity Rules (Rule 5605(f) and Rule 5606) promulgated by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following Board Diversity Matrix presents our Board diversity statistics. The minimum diversity objective for smaller reporting companies listed on the Nasdaq Capital Market on or after August 6, 2021 is two diverse directors by December 31, 2026 or two years from the date of listing, whichever is later, including one who self-identifies as female, and one who self-identifies as either female, an underrepresented minority or LGBTQ+. “Underrepresented Minority” means an individual who self-identifies as one or more of the following: Black or African American, Hispanic or Latinx, Asian, Native American or Alaska Native, Native Hawaiian or Pacific Islander, or Two or More Races or Ethnicities. “Two or More Races or Ethnicities” means a person who identifies with more than one of the following categories: White (not of Hispanic or Latinx origin), Black or African American, Hispanic or Latinx, Asian, Native American or Alaska Native, Native Hawaiian or Pacific Islander. Our Board does not currently include any diverse directors; however, we intend to have at least two diverse directors by the August 6, 2026, the deadline set forth in the Nasdaq rules.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2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Board Diversity Matrix (As of October 7, 2024)</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9"/>
        </w:trPr>
        <w:tc>
          <w:tcPr>
            <w:tcW w:w="35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7</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194"/>
        </w:trPr>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Did Not Disclose</w:t>
            </w:r>
          </w:p>
        </w:tc>
      </w:tr>
      <w:tr>
        <w:trPr>
          <w:trHeight w:val="238"/>
        </w:trPr>
        <w:tc>
          <w:tcPr>
            <w:tcW w:w="3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5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2: Demographic Background</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5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5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25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5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5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25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5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ALL OF THE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Operations and Meetings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currently consists of three classes of a total of seven directors. Our directors each serve staggered three-year terms with one class being elected at each year’s annual meeting of stockholders, as follows: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Montilla Edmonds, whose terms will expire at the 2026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this Annual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2025 Annual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In accordance with our corporate governance procedures, the Board does not involve itself in the day-to-day operations of Dragonfly.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current directors, as of the date of this proxy statement, including two of our current directors who are nominated for election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A Directors (Terms to Expire at the 2026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A Directors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Parod</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20"/>
                <w:szCs w:val="20"/>
                <w:color w:val="auto"/>
              </w:rPr>
            </w:pP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Rick Parod </w:t>
      </w:r>
      <w:r>
        <w:rPr>
          <w:rFonts w:ascii="Times New Roman" w:cs="Times New Roman" w:eastAsia="Times New Roman" w:hAnsi="Times New Roman"/>
          <w:sz w:val="18"/>
          <w:szCs w:val="18"/>
          <w:color w:val="auto"/>
        </w:rPr>
        <w:t>has served as a member of our Board since October 2022. Mr. Parod currently serves as the CEO of AdeptAg, a company that 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Karina Montilla Edmonds, Ph.D. </w:t>
      </w:r>
      <w:r>
        <w:rPr>
          <w:rFonts w:ascii="Times New Roman" w:cs="Times New Roman" w:eastAsia="Times New Roman" w:hAnsi="Times New Roman"/>
          <w:sz w:val="18"/>
          <w:szCs w:val="18"/>
          <w:color w:val="auto"/>
        </w:rPr>
        <w:t>has served as a member of our Board since October 2022. Dr. Edmonds currently serves as the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B Directors (Terms to Expire at this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B Directors are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Brian Nelson</w:t>
      </w:r>
      <w:r>
        <w:rPr>
          <w:rFonts w:ascii="Times New Roman" w:cs="Times New Roman" w:eastAsia="Times New Roman" w:hAnsi="Times New Roman"/>
          <w:sz w:val="18"/>
          <w:szCs w:val="18"/>
          <w:color w:val="auto"/>
        </w:rPr>
        <w:t>, see Mr. Nelson’s biography in “Proposal 1”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Jonathon Bellows</w:t>
      </w:r>
      <w:r>
        <w:rPr>
          <w:rFonts w:ascii="Times New Roman" w:cs="Times New Roman" w:eastAsia="Times New Roman" w:hAnsi="Times New Roman"/>
          <w:sz w:val="18"/>
          <w:szCs w:val="18"/>
          <w:color w:val="auto"/>
        </w:rPr>
        <w:t>, see Mr. Bellows biography in “Proposal 1”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C Directors (Terms to Expire at the 2025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C Directors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President, Chief Executive Officer, Interim Chief Financial Officer and</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Chairman</w:t>
            </w:r>
          </w:p>
        </w:tc>
        <w:tc>
          <w:tcPr>
            <w:tcW w:w="1560" w:type="dxa"/>
            <w:vAlign w:val="bottom"/>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tcPr>
          <w:p>
            <w:pPr>
              <w:spacing w:after="0"/>
              <w:rPr>
                <w:sz w:val="20"/>
                <w:szCs w:val="20"/>
                <w:color w:val="auto"/>
              </w:rPr>
            </w:pPr>
          </w:p>
        </w:tc>
        <w:tc>
          <w:tcPr>
            <w:tcW w:w="5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since October 2022. Dr. Phares is the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Luisa Ingargiola </w:t>
      </w:r>
      <w:r>
        <w:rPr>
          <w:rFonts w:ascii="Times New Roman" w:cs="Times New Roman" w:eastAsia="Times New Roman" w:hAnsi="Times New Roman"/>
          <w:sz w:val="18"/>
          <w:szCs w:val="18"/>
          <w:color w:val="auto"/>
        </w:rPr>
        <w:t>has served as a member of our Board since October 2022. Prior to the Business Combination, Ms. Ingargiola served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and as Audit Committee Chair for Electrameccanica Vehicles Corp. (Nasdaq: SOLO) (“</w:t>
      </w:r>
      <w:r>
        <w:rPr>
          <w:rFonts w:ascii="Times New Roman" w:cs="Times New Roman" w:eastAsia="Times New Roman" w:hAnsi="Times New Roman"/>
          <w:sz w:val="18"/>
          <w:szCs w:val="18"/>
          <w:b w:val="1"/>
          <w:bCs w:val="1"/>
          <w:color w:val="auto"/>
        </w:rPr>
        <w:t>Electrameccanica</w:t>
      </w:r>
      <w:r>
        <w:rPr>
          <w:rFonts w:ascii="Times New Roman" w:cs="Times New Roman" w:eastAsia="Times New Roman" w:hAnsi="Times New Roman"/>
          <w:sz w:val="18"/>
          <w:szCs w:val="18"/>
          <w:color w:val="auto"/>
        </w:rPr>
        <w:t>”) since March 2018 to March 2024, and following the sale of Electrameccanica to XOS, Inc. (“</w:t>
      </w:r>
      <w:r>
        <w:rPr>
          <w:rFonts w:ascii="Times New Roman" w:cs="Times New Roman" w:eastAsia="Times New Roman" w:hAnsi="Times New Roman"/>
          <w:sz w:val="18"/>
          <w:szCs w:val="18"/>
          <w:b w:val="1"/>
          <w:bCs w:val="1"/>
          <w:color w:val="auto"/>
        </w:rPr>
        <w:t>XOS</w:t>
      </w:r>
      <w:r>
        <w:rPr>
          <w:rFonts w:ascii="Times New Roman" w:cs="Times New Roman" w:eastAsia="Times New Roman" w:hAnsi="Times New Roman"/>
          <w:sz w:val="18"/>
          <w:szCs w:val="18"/>
          <w:color w:val="auto"/>
        </w:rPr>
        <w:t>”) in March 2024, commenced as a director of XOS,, as a member of the board and Audit Committee Chair for BioCorRx Inc. (OTC: BICX) since April 2018, and as a member of the board and Audit Committee Chair of Vision Marine Technologies, Inc. (NASDAQ: VMAR) since December 2020. Ms. Ingargiola holds a M.B.A. in Health Administration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Perry Boyle </w:t>
      </w:r>
      <w:r>
        <w:rPr>
          <w:rFonts w:ascii="Times New Roman" w:cs="Times New Roman" w:eastAsia="Times New Roman" w:hAnsi="Times New Roman"/>
          <w:sz w:val="18"/>
          <w:szCs w:val="18"/>
          <w:color w:val="auto"/>
        </w:rPr>
        <w:t>has served as a member of our Board since October 2022. Prior to the Business Combination, he served on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Chardan NexTech Acquisition 2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w:t>
      </w:r>
    </w:p>
    <w:p>
      <w:pPr>
        <w:spacing w:after="0" w:line="1" w:lineRule="exact"/>
        <w:rPr>
          <w:sz w:val="20"/>
          <w:szCs w:val="20"/>
          <w:color w:val="auto"/>
        </w:rPr>
      </w:pPr>
    </w:p>
    <w:p>
      <w:pPr>
        <w:jc w:val="both"/>
        <w:ind w:firstLine="8"/>
        <w:spacing w:after="0" w:line="251" w:lineRule="auto"/>
        <w:tabs>
          <w:tab w:leader="none" w:pos="1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18"/>
          <w:szCs w:val="18"/>
          <w:b w:val="1"/>
          <w:bCs w:val="1"/>
          <w:color w:val="auto"/>
        </w:rPr>
        <w:t>IISS</w:t>
      </w:r>
      <w:r>
        <w:rPr>
          <w:rFonts w:ascii="Times New Roman" w:cs="Times New Roman" w:eastAsia="Times New Roman" w:hAnsi="Times New Roman"/>
          <w:sz w:val="18"/>
          <w:szCs w:val="18"/>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determined that Luisa Ingargiola, Rick Parod, Karina Montilla Edmonds, Brian Nelson, Jonathan Bellows are qualified to serve as independent directors. The standards relied on by the Board in affirmatively determining whether a director is “independent,” in compliance with Nasdaq’s rules, are comprised of those objective standards set forth in the rules promulgated by Nasdaq. The Board is responsible for ensuring that independent directors do not have a relationship that, in the opinion of the Board, would interfere with the exercise of independent judgment in carrying out the responsibilities of a director.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Nasdaq’s rules, as well as SEC rules, impose additional independence requirements for all members of the Audit Committee. Specifically, in addition to the “independence” requirements discussed above, “independent” audit committee members must: (1) not accept, directly or indirectly, any consulting, advisory, or other compensatory fees from Dragonfly or any subsidiary of Dragonfly other than in the member’s capacity as a member of the Board and any Board committee; (2) not be an affiliated person of Dragonfly or any subsidiary of Dragonfly; and (3) not have participated in the preparation of the financial statements of Dragonfly or any current subsidiary of Dragonfly at any time during the past three years. In addition, Nasdaq’s rules require that all audit committee members be able to read and understand fundamental financial statements, including Dragonfly’s balance sheet, income statement, and cash flow statement. The Board believes that the current members of the Audit Committee meet these additional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2023, (i) our Board met three (3) times and acted by written consent five (5) times; (ii) our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met five (5) times and acted by written consent three (3) times; (iii) our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met three (3) times and acted by written consent one (1) time; and (iv) our nominating and corporate governance committee of the Board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did not meet and acted by written consent one (1) time. Each director attended at least 75% of the aggregate of (i) the total number of meetings of our Board (held during the period for which such director served on the Board and inclusive of any such special meetings of the Board) and (ii) the total number of meetings of all committees of our Board on which such director served (during the periods for which the director served on such committee or committees).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Luisa Ingargiola qualifies as an Audit Committee financial expert within the meaning of SEC regulations and the Nasdaq Marketplace Rules.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 The functions of the Audit Committee include, among other things:</w:t>
      </w:r>
    </w:p>
    <w:p>
      <w:pPr>
        <w:spacing w:after="0" w:line="183"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our independent auditors and determining whether to retain our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our independent auditors and consider regular rotation of the accounting firm serving as our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financial statements and reports and discussing the statements and reports with our independent auditors and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 exposures;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xml:space="preserve">”) and all applicable SEC rules and regulations. We will comply with future requirements to the extent they become applicable to us. A copy of the Audit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 Compensation Committee which consists of Luisa Ingargiola, Brian Nelson, and Rick Parod, all of whom are independent (as that term is defined under the Nasdaq Marketplace Rules).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Chief Executive Officer and assessing the Chief Executive Officer’s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termination, amendment of equity and cash incentive plans and approving amendments to such plans to the extent authorized by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Chief Executive Officer and other executives;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executive officer development and retention and corporate succession plans.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Compensation Committee. A copy of the Compensation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a Nominating and Corporate Governance Committee, which currently consists of Karina Montilla Edmonds, Brian Nelson and Jonathan Bellows. The Nominating and Corporate Governance Committee assesses potential candidates to fill perceived needs on the Board for required, skills, expertise, independence and other factors.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are expected to include, among other things: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our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our Board’s committees and making recommendations to our Board for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comply with all applicable requirements of the Sarbanes-Oxley Act and all applicable SEC and Nasdaq’s rules and regulations. We will comply with future requirements to the extent they become applicable to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Nominating and Corporate Governance Committee. A copy of the Nominating and Corporate Governance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assesses potential candidates to fill the perceived needs on our Board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Mr. Hoffman, as our President, Chief Executive Officer and Chairman, has extensive knowledge of all aspects of Dragonfly and our business. We have no policy requiring the combination or separation of leadership roles and our governing documents do not mandate a particular structure. This has allowed, and will continue to allow, our Board the flexibility to establish the most appropriate structure for the Company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Position(s) Held with Dragonfly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Since:</w:t>
            </w:r>
          </w:p>
        </w:tc>
        <w:tc>
          <w:tcPr>
            <w:tcW w:w="0" w:type="dxa"/>
            <w:vAlign w:val="bottom"/>
          </w:tcPr>
          <w:p>
            <w:pPr>
              <w:spacing w:after="0"/>
              <w:rPr>
                <w:sz w:val="1"/>
                <w:szCs w:val="1"/>
                <w:color w:val="auto"/>
              </w:rPr>
            </w:pPr>
          </w:p>
        </w:tc>
      </w:tr>
      <w:tr>
        <w:trPr>
          <w:trHeight w:val="191"/>
        </w:trPr>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Dr. Denis Phares</w:t>
            </w:r>
          </w:p>
        </w:tc>
        <w:tc>
          <w:tcPr>
            <w:tcW w:w="2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6"/>
                <w:szCs w:val="16"/>
                <w:color w:val="auto"/>
              </w:rPr>
            </w:pPr>
          </w:p>
        </w:tc>
        <w:tc>
          <w:tcPr>
            <w:tcW w:w="5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Interim Chief Financial Officer and Chairman of the</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Tyler Bourns</w:t>
            </w:r>
          </w:p>
        </w:tc>
        <w:tc>
          <w:tcPr>
            <w:tcW w:w="80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Board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gridSpan w:val="2"/>
            <w:vMerge w:val="continue"/>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Marketing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Wade Seaburg</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Revenue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 Denis Phares</w:t>
      </w:r>
      <w:r>
        <w:rPr>
          <w:rFonts w:ascii="Times New Roman" w:cs="Times New Roman" w:eastAsia="Times New Roman" w:hAnsi="Times New Roman"/>
          <w:sz w:val="18"/>
          <w:szCs w:val="18"/>
          <w:color w:val="auto"/>
        </w:rPr>
        <w:t>, see Dr. Phares’ biography under “</w:t>
      </w:r>
      <w:r>
        <w:rPr>
          <w:rFonts w:ascii="Times New Roman" w:cs="Times New Roman" w:eastAsia="Times New Roman" w:hAnsi="Times New Roman"/>
          <w:sz w:val="18"/>
          <w:szCs w:val="18"/>
          <w:b w:val="1"/>
          <w:bCs w:val="1"/>
          <w:i w:val="1"/>
          <w:iCs w:val="1"/>
          <w:color w:val="auto"/>
        </w:rPr>
        <w:t>Current Class C Directors</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Prior to the Business Combination, Mr. Bourns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Wade Seaburg </w:t>
      </w:r>
      <w:r>
        <w:rPr>
          <w:rFonts w:ascii="Times New Roman" w:cs="Times New Roman" w:eastAsia="Times New Roman" w:hAnsi="Times New Roman"/>
          <w:sz w:val="18"/>
          <w:szCs w:val="18"/>
          <w:color w:val="auto"/>
        </w:rPr>
        <w:t>has served as our Chief Revenue Officer since November 2022. Prior to the Business Combination, Mr. Seaburg served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 w:cs="Times New Roman" w:eastAsia="Times New Roman" w:hAnsi="Times New Roman"/>
          <w:sz w:val="18"/>
          <w:szCs w:val="18"/>
          <w:b w:val="1"/>
          <w:bCs w:val="1"/>
          <w:color w:val="auto"/>
        </w:rPr>
        <w:t>WESCO</w:t>
      </w:r>
      <w:r>
        <w:rPr>
          <w:rFonts w:ascii="Times New Roman" w:cs="Times New Roman" w:eastAsia="Times New Roman" w:hAnsi="Times New Roman"/>
          <w:sz w:val="18"/>
          <w:szCs w:val="18"/>
          <w:color w:val="auto"/>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which are described in the section entitled “Executive Compensation,” we have had the following transactions or series of similar transactions, since January 1, 2022, to which we were a party or will be a party, in which:</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Directors and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 with John Marchetti</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former Chief Financial Officer in September 2021, we loaned Mr. Marchetti $350,000 to repay amounts owed by him to his former employer and entered into a related promissory note with a maturity of March 1, 2026. In connection with the Business Combination and our obligations as a publicly traded company, we forgave all amounts owed under the promissory note effective March 2022. On April 19, 2024, Mr. Marchetti’s employment with us was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the Separation Agreement with Mr. Nichols that became effective and fully irrevocable on November 2, 2022, which was subsequently amended on November 14, 2022. Pursuant to the Separation Agreement, Mr. Nichols received a cash payment of $100,000 in one installment in December 2022 and was entitled to receive a cash payment of $1,000,000 in 24 monthly installments commencing in December 2022. Mr. Nichols’ outstanding equity awards granted by us fully vested and, in the case of options, were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with Brian Nelson</w:t>
      </w:r>
    </w:p>
    <w:p>
      <w:pPr>
        <w:spacing w:after="0" w:line="2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March 5, 2023, we issued the unsecured promissory note (the “</w:t>
      </w:r>
      <w:r>
        <w:rPr>
          <w:rFonts w:ascii="Times New Roman" w:cs="Times New Roman" w:eastAsia="Times New Roman" w:hAnsi="Times New Roman"/>
          <w:sz w:val="18"/>
          <w:szCs w:val="18"/>
          <w:b w:val="1"/>
          <w:bCs w:val="1"/>
          <w:color w:val="auto"/>
        </w:rPr>
        <w:t>March 2023 Note</w:t>
      </w:r>
      <w:r>
        <w:rPr>
          <w:rFonts w:ascii="Times New Roman" w:cs="Times New Roman" w:eastAsia="Times New Roman" w:hAnsi="Times New Roman"/>
          <w:sz w:val="18"/>
          <w:szCs w:val="18"/>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 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CNTQ and Legacy Dragonfly consummated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pursuant to the Agreement and Plan of Merger, dated as of May 15, 2022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CNTQ changed its name to Dragonfly Energy Holdings Corp. This section describes the material provisions of certain additional agreements entered into pursuant to Business Combination, but does not purport to describe all of the terms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connection with the Closing, CNTQ,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were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Pursuant to the subscription agreement, dated as of May 15,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Chardan and the Sponsor, the Sponsor agreed to purchase, and Chardan agreed to sell to the Sponsor, an aggregate of 500,000 shares of CNTQ common stock (“</w:t>
      </w:r>
      <w:r>
        <w:rPr>
          <w:rFonts w:ascii="Times New Roman" w:cs="Times New Roman" w:eastAsia="Times New Roman" w:hAnsi="Times New Roman"/>
          <w:sz w:val="18"/>
          <w:szCs w:val="18"/>
          <w:b w:val="1"/>
          <w:bCs w:val="1"/>
          <w:color w:val="auto"/>
        </w:rPr>
        <w:t>CNTQ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for gross proceeds Chardan to Chardan of $5 million in a private placement. On September 28, 2022, the Sponsor and Chardan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a New York limited liability company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entered into an assignment, assumption and joinder agreement, pursuant to which the Sponsor assigned all of the Sponsor’s rights, benefits and obligations under the Subscription Agreement to CCM.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commitment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dated May 15, 2022 by and between Chardan and Legacy Dragonfly, CCM Investments 5 LLC, an affiliate of CCM LLC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“Initial Term Loan Lenders”), in connection with the Closing, Chardan, Legacy Dragonfly and the Initial Term Loan Lenders entered into the Term Loan, Guarantee and Security Agreement (as amended to date,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Original 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Backstop Lender committed to purchase from the Chardan Lender the 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as follows: (i) until April 1, 2024, at a per annum rate equal to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7% payable in cash plus an amount ranging from 4.5% to 6.5%, depending on our senior leverage ratio; (ii) effective April 1, 2024 and thereafter, interest payable to certain lenders subject to regulations of the U.S. Small Business Administration (“</w:t>
      </w:r>
      <w:r>
        <w:rPr>
          <w:rFonts w:ascii="Times New Roman" w:cs="Times New Roman" w:eastAsia="Times New Roman" w:hAnsi="Times New Roman"/>
          <w:sz w:val="18"/>
          <w:szCs w:val="18"/>
          <w:b w:val="1"/>
          <w:bCs w:val="1"/>
          <w:color w:val="auto"/>
        </w:rPr>
        <w:t>SBA</w:t>
      </w:r>
      <w:r>
        <w:rPr>
          <w:rFonts w:ascii="Times New Roman" w:cs="Times New Roman" w:eastAsia="Times New Roman" w:hAnsi="Times New Roman"/>
          <w:sz w:val="18"/>
          <w:szCs w:val="18"/>
          <w:color w:val="auto"/>
        </w:rPr>
        <w:t>”)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of interest based on the Term Loan, are as follows:</w:t>
      </w:r>
    </w:p>
    <w:p>
      <w:pPr>
        <w:spacing w:after="0" w:line="225" w:lineRule="exact"/>
        <w:rPr>
          <w:sz w:val="20"/>
          <w:szCs w:val="20"/>
          <w:color w:val="auto"/>
        </w:rPr>
      </w:pPr>
    </w:p>
    <w:p>
      <w:pPr>
        <w:ind w:left="880" w:hanging="224"/>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April 1, 2024, was paid in cash.</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July 1, 2024, became payable-in-kind.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October 1, 2024, will be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payment date occurring on or after January 1, 2025, interest will be payable in cash.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of the foregoing cases, adjusted SOFR will be no less than 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CNTQ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29, 2023, September 29, 2023, December 29, 2023, May 13, 2024 and September 30, 2024, we obtained waivers from our Administrative Agent and Term Loan Lenders of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with respect to the minimum cash requirements under the Term Loan during the quarter ended March 31, 2023 September 30, 2023, December 31, 2023, March 31, 2024 and September 30, 2024, respectively. On March 31, 2024, April 29, 2024, June 28, 2024, July 31, 2024, August 30, 2024 , and September 30, 2024, we received additional waivers from the Administrative Agent and the Term Loan Lenders in regard to our compliance with the liquidity requirement under the Term Loan as of the last day of the fiscal quarters ended March 31, 2024 and September 30, 2024, and as of the last day of the fiscal month ended April 30, 2024, June 30, 2024, July 31, 2024 and August 31, 2024,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License Agreement by and among us, Legacy Dragonfly and Battle Born Battery Products, LLC, a newly formed wholly-owned subsidiary of Legacy Dragonfly, entered into a License Agreement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with Stryten Energy LLC, on July 29, 2024, us, Legacy Dragonfly and Battle Born LLC entered into a Limited Waiver, Consent and Second Amendment to the Term Loan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with the Term Loan Lenders under our Original Term Loan.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Second Amendment, the Term Loan Lenders (i) consented to the transactions contemplated by the License Agreement and the Trademark Transfer Agreement and (ii) agreed to waive the mandatory prepayment under the Loan Agreement that would have been due to the Term Loan Lenders under the Loan Agreement upon Battle Born LLC’s receipt of the Initial Licensing Fee.</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In connection with the Amendment, Battle Born LLC entered into a Joinder Agreement with the Term Loan Lenders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whereby Battle Born LLC became a guarantor and credit party to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2023, we entered into the June 2023 Offering, an aggregate of (i) 10,000,000 shares of our common stock, par value $0.0001, and (ii) the Investor Warrants, at the combined public offering price of $2.00 per share and accompanying Investor Warrant, less underwriting discounts and commissions, and (iii) 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In addition to the Underwriter, CCM also participated in the offering as an additional bookrunner.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and Waiver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the Original Penny Warrants to the Term Loan Lenders under the Term Loan to purchase 2,593,056 shares upon the exercise of at an exercise price of $0.01 per share, which was equal to approximately 5.6% of common stock calculated on an agreed fully diluted outstanding basis on the issuance date and (ii) $10 Warrants to the Term Loan Lenders under the Term Loan exercisable to purchase 1,600,000 shares of our common stock at an exercise price of $10.00 per share.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we received a waiver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from the Term Loan Lenders (as defined below) in regards to our compliance with the fixed charge coverage ratio and maximum senior leverage ratio with respect to the minimum cash requirements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under the Term Loan (as defined below)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December 2023 Penny Warrants</w:t>
      </w:r>
      <w:r>
        <w:rPr>
          <w:rFonts w:ascii="Times New Roman" w:cs="Times New Roman" w:eastAsia="Times New Roman" w:hAnsi="Times New Roman"/>
          <w:sz w:val="18"/>
          <w:szCs w:val="18"/>
          <w:color w:val="auto"/>
        </w:rPr>
        <w:t>”)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at an exercise price of $0.01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June 28, 2024, we received a limited waiver and first amendment to the Original Term Loan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from the Term Loan Lenders in regards to our compliance with the Tests as of the last day of the quarter ended June 30, 2024. The First Amendment provided for a one-time issuance of penny warrants (the “</w:t>
      </w:r>
      <w:r>
        <w:rPr>
          <w:rFonts w:ascii="Times New Roman" w:cs="Times New Roman" w:eastAsia="Times New Roman" w:hAnsi="Times New Roman"/>
          <w:sz w:val="18"/>
          <w:szCs w:val="18"/>
          <w:b w:val="1"/>
          <w:bCs w:val="1"/>
          <w:color w:val="auto"/>
        </w:rPr>
        <w:t>June 2024 Penny Warrants</w:t>
      </w:r>
      <w:r>
        <w:rPr>
          <w:rFonts w:ascii="Times New Roman" w:cs="Times New Roman" w:eastAsia="Times New Roman" w:hAnsi="Times New Roman"/>
          <w:sz w:val="18"/>
          <w:szCs w:val="18"/>
          <w:color w:val="auto"/>
        </w:rPr>
        <w:t>”) to purchase up to 2,100,000 shares of our common stock (the “</w:t>
      </w:r>
      <w:r>
        <w:rPr>
          <w:rFonts w:ascii="Times New Roman" w:cs="Times New Roman" w:eastAsia="Times New Roman" w:hAnsi="Times New Roman"/>
          <w:sz w:val="18"/>
          <w:szCs w:val="18"/>
          <w:b w:val="1"/>
          <w:bCs w:val="1"/>
          <w:color w:val="auto"/>
        </w:rPr>
        <w:t>June 2024 Penny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2024. The June 2024 Penny Warrants were immediately exercisable upon issuance and will expire ten years from the date of issuance.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First Amendment (i) reduced the liquidity requirement under the Term Loan to be $3.5 million as of the last day of the month ended June 30, 2024, and $10.0 million as of the last day of each fiscal month thereafter commencing with the fiscal month ending July 31, 2024 and (ii) provided for the interest to be paid on the Payment Date (as defined in the Term Loan) occurred on July 1, 2024 to be solely payable-in-kind.</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September 30, 2024, we received a limited waiver and third amendment to the Original Term Loan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from the Term Loan Lenders in regards to our compliance with the Tests as of the last day of the quarter ended September 30, 2024. The Third Amendment provided for a one-time issuance of penny warrant (the “</w:t>
      </w:r>
      <w:r>
        <w:rPr>
          <w:rFonts w:ascii="Times New Roman" w:cs="Times New Roman" w:eastAsia="Times New Roman" w:hAnsi="Times New Roman"/>
          <w:sz w:val="18"/>
          <w:szCs w:val="18"/>
          <w:b w:val="1"/>
          <w:bCs w:val="1"/>
          <w:color w:val="auto"/>
        </w:rPr>
        <w:t>September 2024 Penny Warrants</w:t>
      </w:r>
      <w:r>
        <w:rPr>
          <w:rFonts w:ascii="Times New Roman" w:cs="Times New Roman" w:eastAsia="Times New Roman" w:hAnsi="Times New Roman"/>
          <w:sz w:val="18"/>
          <w:szCs w:val="18"/>
          <w:color w:val="auto"/>
        </w:rPr>
        <w:t>”) to purchase up to 3,000,000 shares of our common stock (the “</w:t>
      </w:r>
      <w:r>
        <w:rPr>
          <w:rFonts w:ascii="Times New Roman" w:cs="Times New Roman" w:eastAsia="Times New Roman" w:hAnsi="Times New Roman"/>
          <w:sz w:val="18"/>
          <w:szCs w:val="18"/>
          <w:b w:val="1"/>
          <w:bCs w:val="1"/>
          <w:color w:val="auto"/>
        </w:rPr>
        <w:t>September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2024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Loan for the quarter ended September 30, 2024. The September 2024 Penny Warrants were immediately exercisable upon issuance and will expire ten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October 7, 2024, 1,996,323 shares of common stock have been issued upon the exercise of Penny Warrants.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we and CCM we entered into the Original Purchase Agreement and the ChEF RRA with CCM in connection with the Closing. In addition, we appointed LifeSci Capital, LLC as “qualified independent underwriter” with respect to the transactions contemplated by the Purchase Agreement. On May 20, 2024, we entered into the A&amp;R Purchase Agreement with CCM to update the VWAP mechanics to include Intraday VWAP Purchases (as defined in the Original Purchase Agreement).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ChEF Equity Facility. During the year ended December 31, 2022, we did not sell any shares of our common stock under the ChEF Equity Facility. During the year ended December 31, 2023, we issued and sold approximately 588,500 shares of our common stock under the ChEF Equity Facility, resulting in net cash proceeds of $1,278,566. From January 1, 2024 through October 7, 2024, we issued and sold approximately 2,245,391 shares of our common stock under the ChEF Equity Facility, resulting in net cash proceeds of $1,705,193.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8"/>
          <w:szCs w:val="18"/>
          <w:i w:val="1"/>
          <w:iCs w:val="1"/>
          <w:color w:val="auto"/>
        </w:rPr>
        <w:t>https://dragonflyenergy.com/.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by our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 of Directors and Attendance at Annual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maintains a process for stockholders to communicate with the Board and its committees. Stockholders of Dragonfly and other interested persons may communicate with the Board or the chair of the Audit Committee, Compensation Committee, and the Nominating and Corporate Governance Committee by writing to the Secretary of Dragonfly at 1190 Trademark Drive, #108, Reno Nevada 89521. All communications that relate to matters that are within the scope of the responsibilities of the Board will be presented to the Board no later than the next regularly scheduled meeting. Communications that relate to matters that are within the responsibility of one of the Board committees will be forwarded to the chair of the appropriate committee. Communications that relate to ordinary business matters that are not within the scope of the Board’s responsibilities will be forwarded to the appropriate officer. Solicitations, junk mail and obviously frivolous or inappropriate communications will not be forwarded, but will be made available to any director who wishes to review them.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a registered class of our securities to file with the SEC initial reports of ownership and reports of changes in ownership of common stock and other equity securities of the Company. Directors, executive officers and greater than 10% stockholders are required by SEC regulation to furnish us with copies of all Section 16(a) reports they file. To our knowledge, based solely on the review of the copies of these forms furnished to us and representations that no other reports were required, we believe that all forms required to be filed under Section 16 of the Exchange Act for the year ended December 31, 2023 were filed timely, except for the following: we filed a Form 4 for Karina Edmonds on August 30, 2023 to report her purchases of common stock on October 25, 2022 and 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2023</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person serving as our Chief Executive Officer during the fiscal year ended December 31, 2023, the two most highly-compensated executive officers (other than the Chief Executive Officer) who were serving as executive officers during the fiscal years ended December 31, 2023 and December 31, 2022, and up to two additional individuals for whom disclosure would have been provided but for the fact that such individuals were not serving as an executive officer as of December 31, 2023 for services rendered in all capacities to us for the fiscal year ended December 31, 2023. These individuals are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fiscal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3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0"/>
                <w:szCs w:val="20"/>
                <w:color w:val="auto"/>
              </w:rPr>
            </w:pPr>
          </w:p>
        </w:tc>
      </w:tr>
      <w:tr>
        <w:trPr>
          <w:trHeight w:val="209"/>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877,333</w:t>
            </w:r>
          </w:p>
        </w:tc>
        <w:tc>
          <w:tcPr>
            <w:tcW w:w="80" w:type="dxa"/>
            <w:vAlign w:val="bottom"/>
            <w:shd w:val="clear" w:color="auto" w:fill="CCEEFF"/>
          </w:tcPr>
          <w:p>
            <w:pPr>
              <w:spacing w:after="0"/>
              <w:rPr>
                <w:sz w:val="18"/>
                <w:szCs w:val="18"/>
                <w:color w:val="auto"/>
              </w:rPr>
            </w:pPr>
          </w:p>
        </w:tc>
      </w:tr>
      <w:tr>
        <w:trPr>
          <w:trHeight w:val="196"/>
        </w:trPr>
        <w:tc>
          <w:tcPr>
            <w:tcW w:w="8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Executive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Interim</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President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806,207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1,531,545</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3,019,7524</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Sean Nichols(5)</w:t>
            </w:r>
          </w:p>
        </w:tc>
        <w:tc>
          <w:tcPr>
            <w:tcW w:w="58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615,891(6)</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615,891</w:t>
            </w:r>
          </w:p>
        </w:tc>
      </w:tr>
      <w:tr>
        <w:trPr>
          <w:trHeight w:val="216"/>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598,462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655,587</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157,693(7)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1,411,742</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81,666</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421,666</w:t>
            </w:r>
          </w:p>
        </w:tc>
      </w:tr>
      <w:tr>
        <w:trPr>
          <w:trHeight w:val="196"/>
        </w:trPr>
        <w:tc>
          <w:tcPr>
            <w:tcW w:w="8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Revenue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6"/>
        </w:trPr>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262,115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489,978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1,052,093</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Tyler Bourns</w:t>
            </w:r>
          </w:p>
        </w:tc>
        <w:tc>
          <w:tcPr>
            <w:tcW w:w="580" w:type="dxa"/>
            <w:vAlign w:val="bottom"/>
            <w:gridSpan w:val="2"/>
          </w:tcPr>
          <w:p>
            <w:pPr>
              <w:ind w:left="16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280,000</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39,333</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—(9)</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319,333</w:t>
            </w:r>
          </w:p>
        </w:tc>
      </w:tr>
      <w:tr>
        <w:trPr>
          <w:trHeight w:val="216"/>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Marketing</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2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167,500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235,995</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493,495</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 (10)</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227,692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107,667(10)</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510,359</w:t>
            </w:r>
          </w:p>
        </w:tc>
      </w:tr>
      <w:tr>
        <w:trPr>
          <w:trHeight w:val="196"/>
        </w:trPr>
        <w:tc>
          <w:tcPr>
            <w:tcW w:w="162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w w:val="99"/>
              </w:rPr>
              <w:t>Former Senior Vice</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316,153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769,366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645,998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11,057(7)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1,742,574</w:t>
            </w:r>
          </w:p>
        </w:tc>
      </w:tr>
    </w:tbl>
    <w:p>
      <w:pPr>
        <w:spacing w:after="0" w:line="198" w:lineRule="exact"/>
        <w:rPr>
          <w:sz w:val="20"/>
          <w:szCs w:val="20"/>
          <w:color w:val="auto"/>
        </w:rPr>
      </w:pPr>
    </w:p>
    <w:p>
      <w:pPr>
        <w:ind w:lef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years ended December 31, 2023 and December 31, 2022.</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years ended December 31, 2023 and December 31, 2022 under the 2022 Plan (as defined below)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460" w:right="2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the fiscal years ended December 31, 2023 and December 31, 2022 under our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Dr. Phares received a contingent cash award in the amount of $510,667 for services performed in December 31, 2023, which will not be paid out to Dr. Phares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we announced that Mr. Nichols would be stepping down as our Chief Operating Officer on November 7, 2022</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(as defined below) and the transfer of the title of a Company van during the year ended December 31, 2023.</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during the year ended December 31, 2022.</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Seaburg received a contingent cash award in the amount of $163,333 for services performed in December 31, 2023, which will not be paid out to Mr. Seaburg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jc w:val="both"/>
        <w:ind w:left="460" w:right="2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Bourns received a contingent cash award in the amount of $78,668 for services performed in December 31, 2023, which will not be paid out to Mr. Bourns until we have achieved a minimum cash balance of $30,000,000, subject to his continued employment on the date of</w:t>
      </w:r>
    </w:p>
    <w:p>
      <w:pPr>
        <w:sectPr>
          <w:pgSz w:w="11900" w:h="16914" w:orient="portrait"/>
          <w:cols w:equalWidth="0" w:num="1">
            <w:col w:w="11240"/>
          </w:cols>
          <w:pgMar w:left="320" w:top="657" w:right="339" w:bottom="0" w:gutter="0" w:footer="0" w:header="0"/>
        </w:sectPr>
      </w:pPr>
    </w:p>
    <w:bookmarkStart w:id="24" w:name="page25"/>
    <w:bookmarkEnd w:id="24"/>
    <w:p>
      <w:pPr>
        <w:ind w:left="452"/>
        <w:spacing w:after="0"/>
        <w:rPr>
          <w:sz w:val="20"/>
          <w:szCs w:val="20"/>
          <w:color w:val="auto"/>
        </w:rPr>
      </w:pPr>
      <w:r>
        <w:rPr>
          <w:rFonts w:ascii="Times New Roman" w:cs="Times New Roman" w:eastAsia="Times New Roman" w:hAnsi="Times New Roman"/>
          <w:sz w:val="18"/>
          <w:szCs w:val="18"/>
          <w:color w:val="auto"/>
        </w:rPr>
        <w:t>payment.</w:t>
      </w:r>
    </w:p>
    <w:p>
      <w:pPr>
        <w:spacing w:after="0" w:line="225" w:lineRule="exact"/>
        <w:rPr>
          <w:sz w:val="20"/>
          <w:szCs w:val="20"/>
          <w:color w:val="auto"/>
        </w:rPr>
      </w:pPr>
    </w:p>
    <w:p>
      <w:pPr>
        <w:jc w:val="both"/>
        <w:ind w:left="452" w:hanging="452"/>
        <w:spacing w:after="0" w:line="261" w:lineRule="auto"/>
        <w:tabs>
          <w:tab w:leader="none" w:pos="4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239,259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were forfeited.</w:t>
      </w:r>
    </w:p>
    <w:p>
      <w:pPr>
        <w:spacing w:after="0" w:line="179"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Marchetti received a contingent cash award in the amount of $215,333.33 for services performed in December 31, 2023, which was not to be paid out to Mr. Marchetti until we had achieved a minimum cash balance of $30,000,000, subject to his continued employment on the date of payment. As a result of the termination of Mr. Marchetti’s employment, his contingent cash award was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and Mr. Marchetti. On November 7, 2022, we entered into an employment agreement with each of Mr. Seaburg and Mr. Bourns.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with Mr. Nichols that became effective and fully irrevocable on November 2, 2022. Pursuant to the Separation Agreement, Mr. Nichols received a cash payment of $100,000 in one installment in December 2022 and received a cash payment of $1,000,000 in 24 monthly installments commencing in December 2022. Mr. Nichols’ outstanding equity awards granted by us fully vested and, in the case of options, was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Effective April 12, 2024, we entered into amendments to the employment agreements with Dr. Phares, Mr. Marchetti, Mr. Seaburg and Mr. Bourns to amend the terms of their annual equity compensation (the “</w:t>
      </w:r>
      <w:r>
        <w:rPr>
          <w:rFonts w:ascii="Times New Roman" w:cs="Times New Roman" w:eastAsia="Times New Roman" w:hAnsi="Times New Roman"/>
          <w:sz w:val="17"/>
          <w:szCs w:val="17"/>
          <w:b w:val="1"/>
          <w:bCs w:val="1"/>
          <w:color w:val="auto"/>
        </w:rPr>
        <w:t>Amended Employee Agreements</w:t>
      </w:r>
      <w:r>
        <w:rPr>
          <w:rFonts w:ascii="Times New Roman" w:cs="Times New Roman" w:eastAsia="Times New Roman" w:hAnsi="Times New Roman"/>
          <w:sz w:val="17"/>
          <w:szCs w:val="17"/>
          <w:color w:val="auto"/>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19, 2024, Mr. Marchetti’s employment with us as our Senior Vice President, Operations, was terminated.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2023, including the vesting dates for the portions of these awards that had not vested as of that date. The NEOs did not hold any other outstanding equity awards as of that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7"/>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 Awards: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177,316</w:t>
            </w:r>
          </w:p>
        </w:tc>
        <w:tc>
          <w:tcPr>
            <w:tcW w:w="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12/5/2029</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132,995(1)</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103,423</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09/13/2031</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7,399</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06/09/2030</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3,965(2)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2,443</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10/19/2030</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51,716(3)</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36,940</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08/04/2031</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13,918(4)</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16,989</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4,555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12/06/2031</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27,716(5)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25,478</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12/06/2031</w:t>
            </w:r>
          </w:p>
        </w:tc>
      </w:tr>
    </w:tbl>
    <w:p>
      <w:pPr>
        <w:spacing w:after="0" w:line="183" w:lineRule="exact"/>
        <w:rPr>
          <w:sz w:val="20"/>
          <w:szCs w:val="20"/>
          <w:color w:val="auto"/>
        </w:rPr>
      </w:pPr>
    </w:p>
    <w:p>
      <w:pPr>
        <w:jc w:val="both"/>
        <w:ind w:left="340" w:hanging="332"/>
        <w:spacing w:after="0" w:line="203" w:lineRule="auto"/>
        <w:tabs>
          <w:tab w:leader="none" w:pos="34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September 10, 2022, with the remaining shares vesting in equal monthly installments over a period of 36 months commencing on October 10, 2022. Mr. Marchetti’s employment with us ended on April 19, 2024. As a result, Mr. Marchetti’s vested options were terminated and his unvested options were forfeited on April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340" w:hanging="332"/>
        <w:spacing w:after="0" w:line="188" w:lineRule="auto"/>
        <w:tabs>
          <w:tab w:leader="none" w:pos="34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October 14, 2021, with the remaining shares vesting in equal monthly installments over a period of 36 months commencing on November 14, 2021.</w:t>
      </w:r>
    </w:p>
    <w:p>
      <w:pPr>
        <w:ind w:left="340" w:right="20" w:hanging="332"/>
        <w:spacing w:after="0" w:line="182" w:lineRule="auto"/>
        <w:tabs>
          <w:tab w:leader="none" w:pos="34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August 4, 2022, with the remaining shares vesting in equal monthly installments over a period of 36 months commencing on September 4,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December 6, 2021, with the remaining shares vesting in equal monthly installments over a period of 36 months commencing on January 6,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November 23, 2022, with the remaining shares vesting in equal monthly installments over a period of 36 months commencing on December 23,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2023, on April 12, 2024, Dr. Phares was granted 567,407 RSUs, Mr. Marchetti was granted 239,259 RSUs, Mr. Seaburg was granted 181,481 RSUs, and Mr. Bourns was granted 87,407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$510,667 to Dr. Phares; (ii) $215,333 to Mr. Marchetti, (iii) $163,333 to Mr. Seaburg; and (iv) $78,668 to Mr. Bourns. Each of the approved cash awards will not be paid out to the employees until we have achieved a minimum cash balance of $30,000,000, and are subject to each employee’s continued employment on the date of payment.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termination of Mr. Marchetti’s employment, his 239,259 RSUs and cash award of $215,333.33 were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Business Combination, our Board and stockholders adopted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which provides for the grant of incentive stock options and non-qualified stock options to purchase shares of our common stock and other types of awards, as well as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2022 Plan, we seek to retain the services of such eligible persons and to provide incentives for such persons to exert maximum efforts for our success and the success of our subsidiaries.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Also, in connection with the Business Combination, our Board and stockholders approved the adoption of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in connection with the consummation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Director compensation is intended to provide an appropriate level of remuneration considering the responsibilities, time requirements, and accountability of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awarded to, earned by, or paid to our Non-Employee Directors for services on our Board during the year ended December 31, 2023. Dr. Phares did not receive any additional compensation for his service on the Board during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3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77"/>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168,800</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98,800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173,800</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F-33 of our Notes to Consolidated Financial Statements included this prospectus. As of October 7, 2024, each Non-Employee Director held 222,222 unvested RSUs.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following options remained outstanding: (i) Luisa Ingargiola held options exercisable for 75,852 shares of common stock; and (ii) Brian Nelson held options exercisable for 39,420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Committee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12, 2024, we granted each of our Non-Employee Directors then serving on the Board (i.e. Jonathan Bellows, Perry Boyle, Karina Montilla Edmonds, Luisa Ingargiola, Brian Nelson, and Rick Parod) an award of 222,222 RSUs units under the 2022 Plan that are eligible to vest in three equal annual installments, beginning on the first anniversary of the grant date, subject to the director’s continued service on the Board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members of the Audit Committee of the Board of Directors of Dragonfly Energy Holdings Corp. submit this report in connection with the Audit Committee’s review of the financial reports for the fiscal year ended December 31, 2023 as follows:</w:t>
      </w:r>
    </w:p>
    <w:p>
      <w:pPr>
        <w:spacing w:after="0" w:line="162" w:lineRule="exact"/>
        <w:rPr>
          <w:sz w:val="20"/>
          <w:szCs w:val="20"/>
          <w:color w:val="auto"/>
        </w:rPr>
      </w:pPr>
    </w:p>
    <w:p>
      <w:pPr>
        <w:ind w:left="340" w:right="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with management the audited financial statements for the Company for the fiscal year ended December 31, 2023.</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representatives of Marcum LLP the independent public accounting firm, the matters which are required to be discussed with them under the provisions of Auditing Standard No. 61, as amended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Marcum LLP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2023 for filing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Dragonfly Energy Holdings Corp.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Luisa Ingargiola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Rick Parod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Perry Boyle</w:t>
      </w:r>
    </w:p>
    <w:p>
      <w:pPr>
        <w:spacing w:after="0" w:line="207" w:lineRule="exact"/>
        <w:rPr>
          <w:sz w:val="20"/>
          <w:szCs w:val="20"/>
          <w:color w:val="auto"/>
        </w:rPr>
      </w:pPr>
    </w:p>
    <w:p>
      <w:pPr>
        <w:jc w:val="both"/>
        <w:ind w:left="3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October 7, 2024,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October 7, 2024 (“</w:t>
      </w:r>
      <w:r>
        <w:rPr>
          <w:rFonts w:ascii="Times New Roman" w:cs="Times New Roman" w:eastAsia="Times New Roman" w:hAnsi="Times New Roman"/>
          <w:sz w:val="18"/>
          <w:szCs w:val="18"/>
          <w:b w:val="1"/>
          <w:bCs w:val="1"/>
          <w:color w:val="auto"/>
        </w:rPr>
        <w:t>Presently 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deemed any of the shares of common stock currently issuable pursuant to the ChEF Equity Facility to be outstanding because the issuance of such shares is solely at our discretion and is subject to certain conditions, the satisfaction of all of which are outside of CCM’s control.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reflects 62,776,944 shares common stock outstanding as of October 7, 2024 plus any shares issuable upon exercise of Presently Exercisable Securities held by such person or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Dynavolt Technology (HK) Ltd. </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11,820,900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w:t>
            </w:r>
          </w:p>
        </w:tc>
      </w:tr>
      <w:tr>
        <w:trPr>
          <w:trHeight w:val="216"/>
        </w:trPr>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Denis Phares </w:t>
            </w:r>
            <w:r>
              <w:rPr>
                <w:rFonts w:ascii="Times New Roman" w:cs="Times New Roman" w:eastAsia="Times New Roman" w:hAnsi="Times New Roman"/>
                <w:sz w:val="29"/>
                <w:szCs w:val="29"/>
                <w:color w:val="auto"/>
                <w:vertAlign w:val="superscript"/>
              </w:rPr>
              <w:t>(2)(3)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16,208,889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25.74%</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Sean Nichols </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Marchetti </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Wade Seaburg </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242,541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Tyler Bourns </w:t>
            </w:r>
            <w:r>
              <w:rPr>
                <w:rFonts w:ascii="Times New Roman" w:cs="Times New Roman" w:eastAsia="Times New Roman" w:hAnsi="Times New Roman"/>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70,712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Luisa Ingargiola </w:t>
            </w:r>
            <w:r>
              <w:rPr>
                <w:rFonts w:ascii="Times New Roman" w:cs="Times New Roman" w:eastAsia="Times New Roman" w:hAnsi="Times New Roman"/>
                <w:sz w:val="29"/>
                <w:szCs w:val="29"/>
                <w:color w:val="auto"/>
                <w:vertAlign w:val="superscript"/>
              </w:rPr>
              <w:t>(7)</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127,522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Brian Nelson </w:t>
            </w:r>
            <w:r>
              <w:rPr>
                <w:rFonts w:ascii="Times New Roman" w:cs="Times New Roman" w:eastAsia="Times New Roman" w:hAnsi="Times New Roman"/>
                <w:sz w:val="29"/>
                <w:szCs w:val="29"/>
                <w:color w:val="auto"/>
                <w:vertAlign w:val="superscript"/>
              </w:rPr>
              <w:t>(8)</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91,101</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(9 persons):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16,883,065</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1" w:lineRule="exact"/>
        <w:rPr>
          <w:sz w:val="20"/>
          <w:szCs w:val="20"/>
          <w:color w:val="auto"/>
        </w:rPr>
      </w:pPr>
    </w:p>
    <w:p>
      <w:pPr>
        <w:ind w:left="340" w:hanging="332"/>
        <w:spacing w:after="0" w:line="28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Dynavolt Technology (HK) Ltd. (“</w:t>
      </w:r>
      <w:r>
        <w:rPr>
          <w:rFonts w:ascii="Times New Roman" w:cs="Times New Roman" w:eastAsia="Times New Roman" w:hAnsi="Times New Roman"/>
          <w:sz w:val="18"/>
          <w:szCs w:val="18"/>
          <w:b w:val="1"/>
          <w:bCs w:val="1"/>
          <w:color w:val="auto"/>
        </w:rPr>
        <w:t>Dynavolt</w:t>
      </w:r>
      <w:r>
        <w:rPr>
          <w:rFonts w:ascii="Times New Roman" w:cs="Times New Roman" w:eastAsia="Times New Roman" w:hAnsi="Times New Roman"/>
          <w:sz w:val="18"/>
          <w:szCs w:val="18"/>
          <w:color w:val="auto"/>
        </w:rPr>
        <w:t>”) on October 12, 2022. The business address of Dynavolt is Flat/Room 02-03 26/F, Bea Tower Millennium City 5, 418 Kwun Tong Road, Kwun Tong, Hong Kong.</w:t>
      </w:r>
    </w:p>
    <w:p>
      <w:pPr>
        <w:spacing w:after="0" w:line="15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25,000,000 shares of common stock not yet payable as the earnout contingencies have not yet been met and will not be met within 60 days of October 7,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1,217,906 shares held on behalf of the Phares 2021 GRAT dated July 9, 2021, of which Dr. Phares is the trustee, and (ii) 177,316 shares of common stock issuable upon exercise of outstanding stock options exercisable within 60 days of October 7, 2024.</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2024, Mr. Marchetti’s employment with us was terminated. As a result, his vested options were forfeited and his unvested options were terminated on such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114,289 shares of common stock issuable upon exercise of outstanding stock options exercisable within 60 days of October 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39,915 shares of common stock issuable upon exercise of outstanding stock options exercisable within 60 days of October 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97,522 shares of common stock issuable upon exercise of outstanding stock options exercisable within 60 days of October 7,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61,101 shares of common stock issuable upon exercise of outstanding stock options exercisable within 60 days of October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01"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REVERSE STOCK SPLIT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6, 2024 , the Board unanimously adopted resolutions approving, declaring advisable and recommending to our stockholders for their approval of the effectuation of a reverse stock split pursuant to Nevada Revised Statutes 78.2055 (as amended by the Nevada Legislature in 2023 pursuant to Assembly Bill No. 126), with a ratio in the range of not less than one-for-five (1:5) and not greater than one-for-twenty (1:20), with the exact ratio to be determined by our Board in its discretion at any time within one year after stockholder approval is obtained, to regain compliance with the $1.00 minimum bid price continued listing requirement), with respect to the then-issued and outstanding shares of our common stock. The Reverse Stock Split will also affect then-outstanding options and warrants. The Reverse Stock Split will not affect the number of our authorized shares of common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any time within one year after stockholder approval is obtained, with the exact exchange ratio and timing to be determined at the discretion of our Board (within the range indicated above) and set forth in a public announcement. Even if our stockholders approve this proposal, our Board may determine in its discretion to abandon and not to effectuate the Reverse Stock Split. In addition, our Board may determine to effect the Reverse Stock Split even if the trading price of our shares of our common stock is at or above $1.00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The continued listing requirements of the Nasdaq Capital Market provide, among other things, that our common stock must maintain a closing bid price in excess of $1.00 per share. On December 12, 2023, we received a written notice from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us that, for thirty (30) consecutive business days preceding the receipt of the notice, the bid price for our common stock had closed below the minimum $1.00 per share requirement set forth in Nasdaq Listing Rule 5450(a)(1) for continued listing on The Nasdaq Global Market (the “</w:t>
      </w:r>
      <w:r>
        <w:rPr>
          <w:rFonts w:ascii="Times New Roman" w:cs="Times New Roman" w:eastAsia="Times New Roman" w:hAnsi="Times New Roman"/>
          <w:sz w:val="18"/>
          <w:szCs w:val="18"/>
          <w:b w:val="1"/>
          <w:b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We were provided an initial period of one hundred eighty (180) calendar days, or until June 10, 2024, to regain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Bid Price Requirement.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on June 7, 2024 of both our application to transfer from The Nasdaq Global Market to The Nasdaq Capital Market and written notification by us of our intent to regain compliance with the Minimum Bid Price Requirement, including by effecting a reverse stock split, if necessary, the Staff notified us in a letter dated June 11, 2024 (the “</w:t>
      </w:r>
      <w:r>
        <w:rPr>
          <w:rFonts w:ascii="Times New Roman" w:cs="Times New Roman" w:eastAsia="Times New Roman" w:hAnsi="Times New Roman"/>
          <w:sz w:val="18"/>
          <w:szCs w:val="18"/>
          <w:b w:val="1"/>
          <w:bCs w:val="1"/>
          <w:color w:val="auto"/>
        </w:rPr>
        <w:t>Second Nasdaq Notice</w:t>
      </w:r>
      <w:r>
        <w:rPr>
          <w:rFonts w:ascii="Times New Roman" w:cs="Times New Roman" w:eastAsia="Times New Roman" w:hAnsi="Times New Roman"/>
          <w:sz w:val="18"/>
          <w:szCs w:val="18"/>
          <w:color w:val="auto"/>
        </w:rPr>
        <w:t>”), that we are eligible for an additional one hundred eighty (180) calendar day period, or until December 6, 2024, to regain compliance (the “</w:t>
      </w:r>
      <w:r>
        <w:rPr>
          <w:rFonts w:ascii="Times New Roman" w:cs="Times New Roman" w:eastAsia="Times New Roman" w:hAnsi="Times New Roman"/>
          <w:sz w:val="18"/>
          <w:szCs w:val="18"/>
          <w:b w:val="1"/>
          <w:bCs w:val="1"/>
          <w:color w:val="auto"/>
        </w:rPr>
        <w:t>Second Compliance Period</w:t>
      </w:r>
      <w:r>
        <w:rPr>
          <w:rFonts w:ascii="Times New Roman" w:cs="Times New Roman" w:eastAsia="Times New Roman" w:hAnsi="Times New Roman"/>
          <w:sz w:val="18"/>
          <w:szCs w:val="18"/>
          <w:color w:val="auto"/>
        </w:rPr>
        <w:t>”). If at any time during this period the bid price of our common stock closes at or above $1.00 per share for a minimum of ten, and generally not more than twenty (20), consecutive business days, the Staff will provide us with written confirmation of compliance and the matter will be closed. The Staff’s determination was based, in part, on our meeting the applicable requirements for initial listing on The Nasdaq Capital Market except for the Minimum Bid Price Requirement. As of the opening of business on June 12, 2024, our common stock began trading on The Nasdaq Capital Market, where it has continued trading under the symbol “DFLI”.</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determined that the continued listing of our common stock on the Nasdaq Capital Market is beneficial for our stockholders. The delisting of our common stock from the Nasdaq Capital Market would likely have very serious consequences for us and our stockholders. If our common stock is delisted from the Nasdaq Capital Market, our Board believes that the trading market for our common stock could become significantly less liquid, which could reduce the trading price of our common stock and increase the transaction costs of trading in shares of our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at any time within one year after stockholder approval is obtained, with the exact exchange ratio (within the range indicated above) and timing to be determined at the discretion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Even if our stockholders approve this proposal, our Board may determine in its discretion not to effect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proposal is approved and our Board determines to effect the Reverse Stock Split, the exact timing will be determined at the discretion of our Board and set forth in a public announcement.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this proposal is approved, no further action on the part of stockholders would be required to either effect or abandon the Reverse Stock Split. If our Board does not implement the Reverse Stock Split within one year after stockholder approval is obtained, the authority granted in this proposal to implement the Reverse Stock Split will terminate. Our Board reserves its right to elect not to proceed and abandon the Reverse Stock Split if it determines, in its sole discretion, that this proposal is no longer in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purpose of the Reverse Stock Split is to decrease the total number of shares of our common stock outstanding and proportionately increase the market price of our common stock above $1.00 per share in order to meet the continuing listing requirements of the Nasdaq Capital Market. Accordingly, our Board approved the Reverse Stock Split Proposal in order to help ensure that the share price of our common stock meets the continued listing requirements of the Nasdaq Capital Market. Our Board intends to effect the Reverse Stock Split only if it believes that a decrease in the number of shares outstanding is in our and our stockholders’ best interests and is likely to improve the trading price of the shares of our common stock and improve the likelihood that we will be allowed to maintain our continued listing on the Nasdaq Capital Market. Our Board may determine to effect the Reverse Stock Split even if the trading price of our common stock is at or above $1.00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believes that stockholder approval of a range of Reverse Stock Split ratios (rather than a single exchange ratio) is in the best interests of our stockholders because it provides our Board with the flexibility to achieve the desired results of the Reverse Stock Split and because it is not possible to predict market conditions at the time the Reverse Stock Split would be implemented. If stockholders approve this proposal, our Board would carry out a reverse stock split only upon our Board’s determination that a reverse stock split would be in the best interests of our stockholders at that time. Our Board would then set the ratio for the Reverse Stock Split within the range approved by stockholders and in an amount it determines is advisable and in the best interests of the stockholders considering relevant market conditions at the time the Reverse Stock Split is to be implemented. In determining the Reverse Stock Split ratio, following receipt of stockholder approval, our board of the directors may consider numerous factors including:</w:t>
      </w:r>
    </w:p>
    <w:p>
      <w:pPr>
        <w:spacing w:after="0" w:line="18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projected performance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other related conditions prevailing in our industry and in the marketplace;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impact of the Reverse Stock Split ratio on trading liquidity in our common stock and our ability to maintain continued listing on the Nasdaq Capital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our common stock issued and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for our common stock and the volume level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devaluation of our market capitalization as a result of the Reverse Stock Split.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intends to select a Reverse Stock Split ratio (within the range indicated above) that it believes would be most likely to achieve the anticipated benefits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voting on this proposal, stockholders should consider the following risks associated with effecting the Reverse Stock Split: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the principal purpose of the Reverse Stock Split is to increase the market price of our common stock in order to meet the continuing listing requirements of the Nasdaq Capital Market. However, the Reverse Stock Split, if effected, may not increase the market price of our common stock in proportion to the reduction in the number of shares of our common stock outstanding, or at all. If the proposed Reverse Stock Split does result in an increase in the market price of our common stock, the increase may not be long-term or permanent. The market price of our common stock is dependent on many factors, including our business and financial performance, general market conditions, prospects for future growth and other factors detailed from time to time in the reports we file with the SEC. We cannot predict the effect that the Reverse Stock Split may have upon the market price of our common stock with any certainty, and the history of similar reverse stock splits for companies in similar circumstances to ours is varied.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w:t>
      </w:r>
    </w:p>
    <w:p>
      <w:pPr>
        <w:spacing w:after="0" w:line="1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stockholders approve the Reverse Stock Split and the Reverse Stock Split is effected, there can be no assurance that we will continue to meet the continued listing requirements of the Nasdaq Capital Market.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Reverse Stock Split is approved and effected with respect to our issued and outstanding common stock, each holder of common stock outstanding immediately prior to the effectiveness of the Reverse Stock Split will own a reduced number of shares of common stock upon effectiveness of the Reverse Stock Split. The Reverse Stock Split would be effected simultaneously for all outstanding shares of common stock at the same exchange ratio. Except for adjustments that may result from the treatment of fractional shares (as described below), the Reverse Stock Split would affect all stockholders uniformly and would not change any stockholder’s percentage ownership interest in us. The relative voting rights and other rights and preferences that accompany the shares of common stock will not be affected by the Reverse Stock Split. Shares of common stock issued pursuant to the Reverse Stock Split will remain fully paid and nonassessable.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affect the number of authorized shares of common stock. 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remain unchanged. As a result, additional authorized shares of common stock would become available for issuance at such times and for such purposes as our Board may deem advisable without further action by stockholders, except as required by applicable law or stock exchange rules. To the extent that additional authorized shares of common stock are issued in the future, such shares could be dilutive to our existing stockholders by decreasing such stockholders’ percentage of equity ownership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Assuming this proposal is approved by the shareholders and implemented by the Board: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Current </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62,776,944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12,555,389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6,277,694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3,138,847</w:t>
            </w:r>
          </w:p>
        </w:tc>
        <w:tc>
          <w:tcPr>
            <w:tcW w:w="0" w:type="dxa"/>
            <w:vAlign w:val="bottom"/>
          </w:tcPr>
          <w:p>
            <w:pPr>
              <w:spacing w:after="0"/>
              <w:rPr>
                <w:sz w:val="1"/>
                <w:szCs w:val="1"/>
                <w:color w:val="auto"/>
              </w:rPr>
            </w:pPr>
          </w:p>
        </w:tc>
      </w:tr>
      <w:tr>
        <w:trPr>
          <w:trHeight w:val="201"/>
        </w:trPr>
        <w:tc>
          <w:tcPr>
            <w:tcW w:w="4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Number of Shares of Common Stock Reserved for Issuance</w:t>
            </w:r>
          </w:p>
        </w:tc>
        <w:tc>
          <w:tcPr>
            <w:tcW w:w="160" w:type="dxa"/>
            <w:vAlign w:val="bottom"/>
          </w:tcPr>
          <w:p>
            <w:pPr>
              <w:spacing w:after="0"/>
              <w:rPr>
                <w:sz w:val="17"/>
                <w:szCs w:val="17"/>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89,397,996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17,879,599</w:t>
            </w:r>
          </w:p>
        </w:tc>
        <w:tc>
          <w:tcPr>
            <w:tcW w:w="26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8,939,800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4,469,900</w:t>
            </w: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Shares of Common Stock Authorized but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Unissued and Unreserved</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97,825,435</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219,565,087</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234,782,544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242,391,272</w:t>
            </w:r>
          </w:p>
        </w:tc>
        <w:tc>
          <w:tcPr>
            <w:tcW w:w="0" w:type="dxa"/>
            <w:vAlign w:val="bottom"/>
          </w:tcPr>
          <w:p>
            <w:pPr>
              <w:spacing w:after="0"/>
              <w:rPr>
                <w:sz w:val="1"/>
                <w:szCs w:val="1"/>
                <w:color w:val="auto"/>
              </w:rPr>
            </w:pPr>
          </w:p>
        </w:tc>
      </w:tr>
      <w:tr>
        <w:trPr>
          <w:trHeight w:val="201"/>
        </w:trPr>
        <w:tc>
          <w:tcPr>
            <w:tcW w:w="4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Price per share, based on the closing price of our Common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Stock on October 7, 2024 </w:t>
            </w:r>
            <w:r>
              <w:rPr>
                <w:rFonts w:ascii="Times New Roman" w:cs="Times New Roman" w:eastAsia="Times New Roman" w:hAnsi="Times New Roman"/>
                <w:sz w:val="29"/>
                <w:szCs w:val="29"/>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provided is as of October 7,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5,469,125 shares of Common Stock issuable upon exercise of stock options, with a weighted average exercise price of $0.92 per share, under our 2019 Plan, our 2021 Plan, and our 2022 Plan, (ii) 4,828,800 shares of Common Stock available for future issuance under our 2022 Plan, (iii) 3,249,433 shares of Common Stock available for future issuance under our 2022 ESPP, (iv) 10,923,905 shares of Common Stock issuable upon exercise of outstanding public warrants, with an exercise price of $11.50 per share, (v) 570,250 shares of Common Stock issuable upon the exercise of outstanding underwriter warrants, with an exercise price of $2.50 per share, (vi) 9,555,034 share of Common Stock issuable upon the exercise of outstanding penny warrants, with an exercise price of $0.01 per share, (vii) 11,131,900 shares of Common Stock issuable upon the exercise of outstanding investor warrants, with an exercise price of $2.00 per share, and (viii) 18,669,549 shares reserved for future issuance under our ChEF Equity Facility.</w:t>
      </w:r>
    </w:p>
    <w:p>
      <w:pPr>
        <w:spacing w:after="0" w:line="19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indicated reflects solely the application of the applicable reverse split ratio to the closing price of $0.55 of our Common Stock on October 7,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Reverse Stock Split will have no effect on the number of authorized shares of preferred stock or the par value of the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the Equity Incentive Plans, Outstanding Options and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Reverse Stock Split is approved and effected, the total number of shares of common stock reserved for issuance under our equity incentive plans would be reduced in proportion to the ratio selected by our Board. The total number of shares of common stock reserved for issuance pursuant to outstanding but unexercised warrants would be reduced in proportion to the Reverse Stock Split ratio.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outstanding equity awards, options and warrants, the Reverse Stock Split would adjust and proportionately reduce the number of shares of common stock issuable upon exercise or vesting of such awards, options and warrants in the same ratio of the Reverse Stock Split and, correspondingly, would proportionately increase the exercise or purchase price, if any, of all such awards, options and warrants. The number of shares of common stock issuable upon exercise or vesting of outstanding equity awards, options and warrants and the exercise or purchase price related thereto, if any, would be equitably adjusted in accordance with the terms of the equity incentive plans or warrants, which may include rounding the number of shares of common stock issuable down to the nearest whole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Anti-Takeover Effect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us (for example, by permitting issuances that would dilute the stock ownership of a person or entity seeking to effect a change in the composition of our Board or contemplating a tender offer or other change in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is not presently aware of any attempt, or contemplated attempt, to acquire control of us, and the Reverse Stock Split Proposal is not part of any plan by our Board to recommend or implement any anti-takeover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Reverse Stock Split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will be restated for prior periods to conform to the post-Reverse Stock Split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Mechanics of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Registered “Book-Entry” Holders of our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common stock hold some or all of their common stock electronically in book-entry or “street name” form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not issue fractional shares in connection with the Reverse Stock Split, if implemented. Instead, stockholders who otherwise would be entitled to receive fractional shares because they hold a number of shares not evenly divisible by the Reverse Stock Split ratio will automatically be entitled to receive an additional fraction of a share of common stock to round up to the next whole share. In any event, cash will not be paid for fractional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any dissenter’s or appraisal rights with respect to the Reverse Stock Split, and we will not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describes, as of the date of this proxy statement, certain U.S. federal income tax consequences of the Reverse Stock Split to holders of our common stock. This summary addresses the tax consequences only to a U.S. holder, which is a beneficial owner of our common stock that is either:</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U.S. persons has the authority to control all of its substantial decisions or (ii) it was in existence before August 20, 1996 and a valid election is in place under applicable Treasury regulations to treat such trust as a U.S. person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summary is based on the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regulations, administrative rulings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 We have not sought, and will not seek, an opinion of counsel or a ruling from the Internal Revenue Service regarding the U.S. federal income tax consequences of the Reverse Stock Split, and there can be no assurance that the Internal Revenue Service will not challenge the statements and conclusions set forth below or that a court would not sustain any such challenge.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certain former U.S. citizens and lawful permanent residents of the United States, persons subject to the alternative minimum tax, persons whose functional currency is not the U.S. dollar, partnerships or other pass-through entities (including S-corporations), traders in securities that elect to mark-to-market and dealers in securities or currencies, (ii) persons that hold our common stock as part of a position in a “straddle” or as part of a “hedging transaction,” “conversion transaction” or other integrated investment transaction for federal income tax purposes, (iii) persons that do not hold our common stock as “capital assets” (generally, property held for investment), (iv) persons liable for the alternative minimum tax, (v) persons that directly, indirectly or constructively, own 5% or more of the total combined voting power of our stock or of the total value of our equity interests or (vi) persons that will hold shares of common stock in connection with a permanent establishment or fixed base outside the United States. This summary does not address backup withholding and information reporting. This summary does not address U.S. holders who beneficially own common stock through a “foreign financial institution” (as defined in Code Section 1471(d)(4)) or certain other non-U.S. entities specified in Code Section 1472. This summary does not address U.S. federal tax considerations other than income tax considerations (such as Medicare contribution tax on net investment income, the alternative minimum tax, or estate or gift taxes) or tax considerations arising under any U.S. state or local or non-U.S. laws. In addition, this summary does not address the tax consequences of transactions effectuated before, after or at the same time as the Reverse Stock Split, whether or not they are in connection with the Reverse Stock Split.</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should consult his, her or its own tax advisors concerning the particular tax consequences of the Reverse Stock Split to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Tax Treatment of the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Reverse Stock Split is intended to qualify as a “reorganization” under Section 368 of the Code that should constitute a “recapitalization” for U.S. federal income tax purposes. Assuming the Reverse Stock Split qualifies as a reorganization and other than with respect to a U.S. holder that receives a full share in lieu of a fractional share, as described below, a U.S. holder generally will not recognize gain or loss upon the exchange of our ordinary shares for a lesser number of ordinary shares, based upon the Reverse Stock Split ratio. A U.S. holder’s aggregate tax basis in the lesser number of ordinary shares received in the Reverse Stock Split will be the same as such U.S. holder’s aggregate tax basis in the shares of our common stock that such U.S. holder owned immediately prior to the Reverse Stock Split. The holding period for the ordinary shares received in the Reverse Stock Split will include the period during which a U.S. holder held the shares of our common stock that were surrendered in the Reverse Stock Split. The United States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above, we will not issue fractional shares in connection with the Reverse Stock Split. Instead, stockholders who would be entitled to receive fractional shares because they hold a number of shares of common stock not evenly divisible by the Reverse Stock Split ratio will automatically be entitled to receive an additional fraction of a share of common stock to round up to the next whole share of common stock. The U.S. federal income tax consequences of the receipt of such an additional fraction of a share are not clear. A U.S. holder that receives a full share in lieu of a fractional share may recognize income as a deemed distribution or gain in an amount not to exceed the excess of the fair market value of such share over the fair market value of the fractional share to which such stockholder was otherwise entitled. We are not making any representations as to whether the receipt of one whole share in lieu of a fractional share will result in income as a deemed distribution or gain to any stockholder. U.S. holders are urged to consult their own tax advisors as to the possible tax consequences of receiving an additional fraction of a share in the Reverse Stock Split.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IS INTENDED ONLY AS A SUMMARY OF CERTAIN FEDERAL INCOME TAX CONSEQUENCES OF THE REVERSE STOCK SPLIT AND DOES NOT CONSTITUTE A TAX OPINION. EACH HOLDER OF OUR COMMON SHARES SHOULD CONSULT ITS OWN TAX ADVISOR REGARDING THE TAX CONSEQUENCES OF THE REVERSE STOCK SPLIT TO THEM AND FOR REFERENCE TO APPLICABLE PROVISIONS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be effectuated pursuant to NRS 78.2055, which was amended by the Nevada Legislature in 2023, pursuant to Assembly Bill No. 126. In accordance with such amendment and our bylaws, approval of the Reverse Stock Split requires the affirmative vote of the holders of a majority of the votes cast in person via attendance at the virtual Annual Meeting or by proxy and voting at the Annual Meeting.</w:t>
      </w:r>
    </w:p>
    <w:p>
      <w:pPr>
        <w:spacing w:after="0" w:line="172" w:lineRule="exact"/>
        <w:rPr>
          <w:sz w:val="20"/>
          <w:szCs w:val="20"/>
          <w:color w:val="auto"/>
        </w:rPr>
      </w:pPr>
    </w:p>
    <w:p>
      <w:pPr>
        <w:jc w:val="center"/>
        <w:ind w:left="340" w:right="40"/>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TO AUTHORIZE OUR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ONE-FOR-FIVE (1:5) AND NOT GREATER THAN ONE-FOR-TWENTY (1:20), WITH THE EXACT RATIO TO BE DETERMINED BY OUR BOARD AND INCLUDED IN A PUBLIC ANNOUNCEMENT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left="340" w:right="10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ADJOURNMENT OF THE ANNUAL MEETING IN THE EVENT THAT THE NUMBER OF SHARES OF COMMON STOCK PRESENT OR REPRESENTED BY PROXY AT THE ANNUAL MEETING AND VOTING “FOR” THE APPROVAL OF THE REVERSE STOCK SPLIT PROPOSAL ARE INSUFFICIENT TO APPROVE SUCH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the Annual Meeting</w:t>
      </w:r>
    </w:p>
    <w:p>
      <w:pPr>
        <w:spacing w:after="0" w:line="229" w:lineRule="exact"/>
        <w:rPr>
          <w:sz w:val="20"/>
          <w:szCs w:val="20"/>
          <w:color w:val="auto"/>
        </w:rPr>
      </w:pPr>
    </w:p>
    <w:p>
      <w:pPr>
        <w:jc w:val="both"/>
        <w:ind w:firstLine="734"/>
        <w:spacing w:after="0" w:line="258"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Annual Meeting and voting “FOR” the approval of the Reverse Stock Split Proposal are insufficient to approve such proposal, we may move to adjourn the Annual Meeting in order to enable us to solicit additional proxies in favor of the approval of Reverse Stock Split Proposal. In that event, we will ask stockholders to vote only upon the adjournment proposal and not on any other proposal discussed in this proxy statement. If the adjournment is for more than thirty (30) days, a notice of the adjourned meeting shall be given to each stockholder of record entitled to vote at the meeting.</w:t>
      </w:r>
    </w:p>
    <w:p>
      <w:pPr>
        <w:spacing w:after="0" w:line="183" w:lineRule="exact"/>
        <w:rPr>
          <w:sz w:val="20"/>
          <w:szCs w:val="20"/>
          <w:color w:val="auto"/>
        </w:rPr>
      </w:pPr>
    </w:p>
    <w:p>
      <w:pPr>
        <w:jc w:val="both"/>
        <w:ind w:right="20" w:firstLine="734"/>
        <w:spacing w:after="0" w:line="282"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approval of any such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Required</w:t>
      </w:r>
    </w:p>
    <w:p>
      <w:pPr>
        <w:spacing w:after="0" w:line="229" w:lineRule="exact"/>
        <w:rPr>
          <w:sz w:val="20"/>
          <w:szCs w:val="20"/>
          <w:color w:val="auto"/>
        </w:rPr>
      </w:pPr>
    </w:p>
    <w:p>
      <w:pPr>
        <w:jc w:val="both"/>
        <w:ind w:firstLine="734"/>
        <w:spacing w:after="0" w:line="282" w:lineRule="auto"/>
        <w:rPr>
          <w:sz w:val="20"/>
          <w:szCs w:val="20"/>
          <w:color w:val="auto"/>
        </w:rPr>
      </w:pPr>
      <w:r>
        <w:rPr>
          <w:rFonts w:ascii="Times New Roman" w:cs="Times New Roman" w:eastAsia="Times New Roman" w:hAnsi="Times New Roman"/>
          <w:sz w:val="18"/>
          <w:szCs w:val="18"/>
          <w:color w:val="auto"/>
        </w:rPr>
        <w:t>The approval of the Adjournment Proposal will require the affirmative vote of the holders of a majority of the votes cast, represented in person or by proxy, at the Annual Meeting. As a result, abstentions and broker non-votes, if any, will not affect the outcome of the vote of this proposal.</w:t>
      </w:r>
    </w:p>
    <w:p>
      <w:pPr>
        <w:spacing w:after="0" w:line="158" w:lineRule="exact"/>
        <w:rPr>
          <w:sz w:val="20"/>
          <w:szCs w:val="20"/>
          <w:color w:val="auto"/>
        </w:rPr>
      </w:pPr>
    </w:p>
    <w:p>
      <w:pPr>
        <w:jc w:val="center"/>
        <w:ind w:left="340"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ADJOURMENT OF THE ANNUAL MEETING IN THE EVENT THAT THE NUMBER OF SHARES OF COMMON STOCK PRESENT OR REPRESENTED BY PROXY AT THE ANNUAL MEETING AND VOTING “FOR” THE APPROVAL OF THE REVERSE STOCK SPLIT PROPOSAL ARE INSUFFICIENT TO APPROVE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or the Audit Committee, has appointed Marcum LLP as our independent registered accounting firm for the fiscal year ending December 31, 2024. We are not required to seek stockholder approval for the appointment of our independent registered public accounting firm; however, the Audit Committee and the full Board believe it is sound corporate practice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accounting firm at any time during the year if it determines that such change would be in the best interests of us and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Marcum LLP will be present at the Annual Meeting, will have the opportunity to make a statement if they desire to do so and be available to respond to appropriate questions from stockholders submitted in writing in accordance with the Annual Meeting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to the Company in fiscal years 2023 and 2022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November 15, 2023,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was appointed as our independent registered public accounting firm. The aggregate fees billed to us by Marcum for professional services rendered during the twelve months ended December 31, 2023, and 2022, are set forth in the table below:</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professional services that are reasonably related to the performance of the audit or review of our financial statements but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services not associated with audit or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Pre-Approval Practices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The purpose of the Audit Committee is to assist the Board in fulfilling its responsibilities as it relates to our financial accounting, reporting and controls. The Audit Committee’s principal functions are to assist the Board in its oversight of:</w:t>
      </w:r>
    </w:p>
    <w:p>
      <w:pPr>
        <w:spacing w:after="0" w:line="176" w:lineRule="exact"/>
        <w:rPr>
          <w:sz w:val="20"/>
          <w:szCs w:val="20"/>
          <w:color w:val="auto"/>
        </w:rPr>
      </w:pPr>
    </w:p>
    <w:p>
      <w:pPr>
        <w:ind w:left="1300" w:right="20" w:hanging="320"/>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accounting and financial reporting processes and the audits of our financial statements by our independent auditors (the “</w:t>
      </w:r>
      <w:r>
        <w:rPr>
          <w:rFonts w:ascii="Times New Roman" w:cs="Times New Roman" w:eastAsia="Times New Roman" w:hAnsi="Times New Roman"/>
          <w:sz w:val="18"/>
          <w:szCs w:val="18"/>
          <w:b w:val="1"/>
          <w:bCs w:val="1"/>
          <w:color w:val="auto"/>
        </w:rPr>
        <w:t>Independent Auditors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reviews of the adequacy of the accounting and financial reporting processes and systems of internal control that are conducted by the Independent Auditors and our senior management;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and performance of the Independent Auditors;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Marcum in 2023 were approved by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Firm</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November 15, 2023, our Audit Committee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BDO had served as our independent registered public accounting firm from October 7, 2022 through the period ended September 30, 2023.</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BDO’s audit report on our consolidated financial statements as of December 31, 2022 and for the year then ended did not contain an adverse opinion or a disclaimer of opinion and were not qualified or modified as to uncertainty, audit scope or accounting principles, except for BDO’s report for the year ended December 31, 2022, which contained an explanatory paragraph regarding substantial doubt about our ability to continue as a going concern.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fiscal year ended December 31, 2022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our Annual Report on Form 10-K for the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our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2022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reportable event was discussed among our management, the Audit Committee and BDO. We authorized BDO to respond fully to the inquiries of Marcum LLP, the successor accountant, including concerning this reportable event.</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our fiscal years ended December 31, 2022 the subsequent interim periods through November 17, 2023, the date Marcum LLP completed its client acceptance process, neither us nor anyone acting on our behalf consulted with Marcum LLP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LLP concluded was an important factor considered by us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the Auditor Proposal will require the affirmative vote of the holders of a majority of the votes cast, represented in person or by proxy, at the Annual Meeting. As a result, abstentions and broker non-votes, if any, will not affect the outcome of the vote of this proposal.</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MARCUM LLP AS THE COMPANY’S INDEPENDENT REGISTERED ACCOUNTING FIRM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Copies of our Annual Report on Form 10-K for the year ended December 31, 2023 (including our audited financial statements) filed with the SEC may be obtained without charge by writing to Dragonfly Energy Holdings Corp., 1190 Trademark Drive, #108, Reno, Nevada 89521, Attn.: Secretary. Exhibits to the Annual Report will be mailed upon similar request and payment of specified fees to cover the costs of copying and mailing such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financial statements for the fiscal year ended December 31, 2023 and certain other related financial and business information are contained in our Annual Report, which is being made available to our stockholders along with this Proxy Statement, but which is not deemed a part of the proxy soliciting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and Annual Report may have been sent to multiple stockholders in the same household. We will promptly deliver a separate copy of this proxy statement to any stockholder upon written or oral request to: Dragonfly Energy Holdings Corp., 1190 Trademark Drive, #108, Reno, Nevada 89521 Attn.: Secretary, or at (775) 622 - 3448. Any stockholder who wants to receive a separate copy of this proxy statement or Annual Report,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Proxy Proposals and Director Nominations for the 2025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to be Considered for Inclusion in our 2025 Proxy Materials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for a stockholder proposal to be eligible to be included in our proxy statement and proxy card for the 2024 Annual Meeting of Stockholders, the proposal must (1) be received by us at our principal executive offices, 1190 Trademark Drive, #108, Reno, Nevada 89521, Attn.: Secretary, no later than June 23, 2025, and (2) concern a matter that may be properly considered and acted upon at the annual meeting in accordance with applicable laws, regulations and our Bylaws and policies, and must otherwise comply with Rule 14a-8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Nominations and Other Business to be Brought Before the 2024 Annual Meeting of Stockholders</w:t>
      </w:r>
    </w:p>
    <w:p>
      <w:pPr>
        <w:spacing w:after="0" w:line="22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Notice of any director nomination or the proposal of other business that stockholders intend to present at the 2024 Annual Meeting of Stockholders, but do not intend to have included in our proxy statement and form of proxy relating to the 2024 Annual Meeting of Stockholders, must be received by us at our principal executive offices, 1190 Trademark Drive, #108, Reno, Nevada 89521 Attn.: Secretary, not earlier than the close of business on September 3, 2025 and not later than the close of business on October 13, 2025. In the event that the date of the 2025 Annual Meeting of Stockholders is more than 30 days before or more than 70 days after the anniversary date of the 2024 Annual Meeting of Stockholders, the notice must be delivered to us not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and not later than the later than the close of</w:t>
      </w:r>
    </w:p>
    <w:p>
      <w:pPr>
        <w:spacing w:after="0" w:line="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business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by us. In addition, a stockholder’s notice must include the information required by our Bylaws with respect to each director nomination or proposal of other business that such stockholder intends to present at the 2024 Annual Meeting of Stockholders.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pursuant to our Bylaws, to comply with the universal proxy rules, stockholders who intend to solicit proxies in support of director nominees other than our nominees must provide notice that sets forth the information required by Rule 14a-19 under the Exchange Act by September 13, 2025.</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-130810</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2024</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To assure that your shares are represented at the Annual Meeting, please either (a) vote over the Internet following the instructions provided in this proxy statement, (b) vote by telephone by calling Alliance Advisors at (866) 612-8937 or (c) complete, sign, date and promptly return the proxy card to Dragonfly Energy Holdings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Broadacres Drive, 3rd Floor, Bloomfield, NJ 07003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09"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amp;"/>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0"/>
    </w:lvl>
  </w:abstractNum>
  <w:abstractNum w:abstractNumId="21">
    <w:nsid w:val="2901D82"/>
    <w:multiLevelType w:val="hybridMultilevel"/>
    <w:lvl w:ilvl="0">
      <w:lvlJc w:val="left"/>
      <w:lvlText w:val="(%1)"/>
      <w:numFmt w:val="lowerRoman"/>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2"/>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2024-10-21T15:21:24Z</dcterms:created>
  <dcterms:modified xsi:type="dcterms:W3CDTF">2024-10-21T15:21:24Z</dcterms:modified>
</cp:coreProperties>
</file>