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UNDER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25" w:lineRule="exact"/>
        <w:rPr>
          <w:sz w:val="24"/>
          <w:szCs w:val="24"/>
          <w:color w:val="auto"/>
        </w:rPr>
      </w:pPr>
    </w:p>
    <w:p>
      <w:pPr>
        <w:ind w:left="2660" w:right="1880" w:hanging="2652"/>
        <w:spacing w:after="0" w:line="530" w:lineRule="auto"/>
        <w:tabs>
          <w:tab w:leader="none" w:pos="202"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 to ___________________</w:t>
      </w: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001-40730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5"/>
          </w:tcPr>
          <w:p>
            <w:pPr>
              <w:jc w:val="center"/>
              <w:ind w:left="3470"/>
              <w:spacing w:after="0"/>
              <w:rPr>
                <w:sz w:val="20"/>
                <w:szCs w:val="20"/>
                <w:color w:val="auto"/>
              </w:rPr>
            </w:pPr>
            <w:r>
              <w:rPr>
                <w:rFonts w:ascii="Arial" w:cs="Arial" w:eastAsia="Arial" w:hAnsi="Arial"/>
                <w:sz w:val="18"/>
                <w:szCs w:val="18"/>
                <w:color w:val="auto"/>
                <w:w w:val="90"/>
              </w:rPr>
              <w:t>(Exact name of registrant as specified in its charter)</w:t>
            </w:r>
          </w:p>
        </w:tc>
        <w:tc>
          <w:tcPr>
            <w:tcW w:w="3560" w:type="dxa"/>
            <w:vAlign w:val="bottom"/>
          </w:tcPr>
          <w:p>
            <w:pPr>
              <w:spacing w:after="0"/>
              <w:rPr>
                <w:sz w:val="20"/>
                <w:szCs w:val="20"/>
                <w:color w:val="auto"/>
              </w:rPr>
            </w:pPr>
          </w:p>
        </w:tc>
      </w:tr>
      <w:tr>
        <w:trPr>
          <w:trHeight w:val="436"/>
        </w:trPr>
        <w:tc>
          <w:tcPr>
            <w:tcW w:w="768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w w:val="90"/>
              </w:rPr>
              <w:t>Nevada</w:t>
            </w:r>
          </w:p>
        </w:tc>
        <w:tc>
          <w:tcPr>
            <w:tcW w:w="3560" w:type="dxa"/>
            <w:vAlign w:val="bottom"/>
          </w:tcPr>
          <w:p>
            <w:pPr>
              <w:jc w:val="right"/>
              <w:ind w:right="2230"/>
              <w:spacing w:after="0"/>
              <w:rPr>
                <w:sz w:val="20"/>
                <w:szCs w:val="20"/>
                <w:color w:val="auto"/>
              </w:rPr>
            </w:pPr>
            <w:r>
              <w:rPr>
                <w:rFonts w:ascii="Arial" w:cs="Arial" w:eastAsia="Arial" w:hAnsi="Arial"/>
                <w:sz w:val="18"/>
                <w:szCs w:val="18"/>
                <w:b w:val="1"/>
                <w:bCs w:val="1"/>
                <w:color w:val="auto"/>
              </w:rPr>
              <w:t>85-1873463</w:t>
            </w:r>
          </w:p>
        </w:tc>
      </w:tr>
      <w:tr>
        <w:trPr>
          <w:trHeight w:val="202"/>
        </w:trPr>
        <w:tc>
          <w:tcPr>
            <w:tcW w:w="55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80" w:type="dxa"/>
            <w:vAlign w:val="bottom"/>
            <w:gridSpan w:val="5"/>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3"/>
              </w:rPr>
              <w:t>1190 Trademark Drive #108</w:t>
            </w:r>
          </w:p>
        </w:tc>
        <w:tc>
          <w:tcPr>
            <w:tcW w:w="3560" w:type="dxa"/>
            <w:vAlign w:val="bottom"/>
          </w:tcPr>
          <w:p>
            <w:pPr>
              <w:spacing w:after="0"/>
              <w:rPr>
                <w:sz w:val="24"/>
                <w:szCs w:val="24"/>
                <w:color w:val="auto"/>
              </w:rPr>
            </w:pPr>
          </w:p>
        </w:tc>
      </w:tr>
      <w:tr>
        <w:trPr>
          <w:trHeight w:val="241"/>
        </w:trPr>
        <w:tc>
          <w:tcPr>
            <w:tcW w:w="768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0"/>
              </w:rPr>
              <w:t>Reno, Nevada</w:t>
            </w:r>
          </w:p>
        </w:tc>
        <w:tc>
          <w:tcPr>
            <w:tcW w:w="3560" w:type="dxa"/>
            <w:vAlign w:val="bottom"/>
          </w:tcPr>
          <w:p>
            <w:pPr>
              <w:jc w:val="right"/>
              <w:ind w:right="2430"/>
              <w:spacing w:after="0"/>
              <w:rPr>
                <w:sz w:val="20"/>
                <w:szCs w:val="20"/>
                <w:color w:val="auto"/>
              </w:rPr>
            </w:pPr>
            <w:r>
              <w:rPr>
                <w:rFonts w:ascii="Arial" w:cs="Arial" w:eastAsia="Arial" w:hAnsi="Arial"/>
                <w:sz w:val="18"/>
                <w:szCs w:val="18"/>
                <w:b w:val="1"/>
                <w:bCs w:val="1"/>
                <w:color w:val="auto"/>
              </w:rPr>
              <w:t>89521</w:t>
            </w:r>
          </w:p>
        </w:tc>
      </w:tr>
      <w:tr>
        <w:trPr>
          <w:trHeight w:val="230"/>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1"/>
              </w:rPr>
              <w:t>(Zip Code)</w:t>
            </w:r>
          </w:p>
        </w:tc>
      </w:tr>
      <w:tr>
        <w:trPr>
          <w:trHeight w:val="377"/>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(775) 622-3448</w:t>
            </w:r>
          </w:p>
        </w:tc>
        <w:tc>
          <w:tcPr>
            <w:tcW w:w="15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5"/>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DFLI</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Redeemable Warrants, exercisable for common stock at an</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color w:val="auto"/>
              </w:rPr>
              <w:t>DFLIW</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 price of $11.50 per share, subject to adjustment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968" w:gutter="0" w:footer="0" w:header="0"/>
        </w:sectPr>
      </w:pPr>
    </w:p>
    <w:p>
      <w:pPr>
        <w:spacing w:after="0" w:line="139" w:lineRule="exact"/>
        <w:rPr>
          <w:sz w:val="24"/>
          <w:szCs w:val="24"/>
          <w:color w:val="auto"/>
        </w:rPr>
      </w:pPr>
    </w:p>
    <w:p>
      <w:pPr>
        <w:ind w:left="9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ind w:left="9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480" w:space="720"/>
            <w:col w:w="6040"/>
          </w:cols>
          <w:pgMar w:left="320" w:top="746" w:right="339" w:bottom="968"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10, 2023, there were 59,550,812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96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Page No.</w:t>
            </w:r>
          </w:p>
        </w:tc>
      </w:tr>
      <w:tr>
        <w:trPr>
          <w:trHeight w:val="196"/>
        </w:trPr>
        <w:tc>
          <w:tcPr>
            <w:tcW w:w="3080" w:type="dxa"/>
            <w:vAlign w:val="bottom"/>
            <w:tcBorders>
              <w:bottom w:val="single" w:sz="8" w:color="0000EE"/>
            </w:tcBorders>
            <w:gridSpan w:val="9"/>
            <w:shd w:val="clear" w:color="auto" w:fill="CCEEFF"/>
          </w:tcPr>
          <w:p>
            <w:pPr>
              <w:spacing w:after="0" w:line="162" w:lineRule="exact"/>
              <w:rPr>
                <w:sz w:val="20"/>
                <w:szCs w:val="20"/>
                <w:color w:val="auto"/>
              </w:rPr>
            </w:pPr>
            <w:r>
              <w:rPr>
                <w:rFonts w:ascii="Arial" w:cs="Arial" w:eastAsia="Arial" w:hAnsi="Arial"/>
                <w:sz w:val="18"/>
                <w:szCs w:val="18"/>
                <w:b w:val="1"/>
                <w:bCs w:val="1"/>
                <w:color w:val="0000EE"/>
              </w:rPr>
              <w:t>PART I. FINANCIAL INFORMATION</w:t>
            </w:r>
          </w:p>
        </w:tc>
        <w:tc>
          <w:tcPr>
            <w:tcW w:w="7460" w:type="dxa"/>
            <w:vAlign w:val="bottom"/>
            <w:tcBorders>
              <w:bottom w:val="single" w:sz="8" w:color="CCEEFF"/>
            </w:tcBorders>
            <w:gridSpan w:val="11"/>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8"/>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7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2023 and December 31, 2022</w:t>
            </w: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00" w:type="dxa"/>
            <w:vAlign w:val="bottom"/>
            <w:gridSpan w:val="18"/>
          </w:tcPr>
          <w:p>
            <w:pPr>
              <w:spacing w:after="0" w:line="176" w:lineRule="exact"/>
              <w:rPr>
                <w:sz w:val="20"/>
                <w:szCs w:val="20"/>
                <w:color w:val="auto"/>
              </w:rPr>
            </w:pPr>
            <w:r>
              <w:rPr>
                <w:rFonts w:ascii="Arial" w:cs="Arial" w:eastAsia="Arial" w:hAnsi="Arial"/>
                <w:sz w:val="18"/>
                <w:szCs w:val="18"/>
                <w:color w:val="0000EE"/>
                <w:w w:val="95"/>
              </w:rPr>
              <w:t>Condensed Interim Consolidated Statements of Operations for the three and nine months ended September 30, 2023 and 2022</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7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3"/>
              </w:rPr>
              <w:t>Condensed Consolidated Statements of Shareholders’ Equity for the three and nine months ended September 30, 2023 and 2022</w:t>
            </w: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175"/>
        </w:trPr>
        <w:tc>
          <w:tcPr>
            <w:tcW w:w="7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20" w:type="dxa"/>
            <w:vAlign w:val="bottom"/>
            <w:tcBorders>
              <w:top w:val="single" w:sz="8" w:color="0000EE"/>
            </w:tcBorders>
            <w:gridSpan w:val="17"/>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nine months ended September 30, 2023 and 2022</w:t>
            </w:r>
          </w:p>
        </w:tc>
        <w:tc>
          <w:tcPr>
            <w:tcW w:w="48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88"/>
              </w:rPr>
              <w:t>Notes to Condensed Consolidated Financial Statements</w:t>
            </w:r>
          </w:p>
        </w:tc>
        <w:tc>
          <w:tcPr>
            <w:tcW w:w="5700" w:type="dxa"/>
            <w:vAlign w:val="bottom"/>
            <w:tcBorders>
              <w:bottom w:val="single" w:sz="8" w:color="CCEEFF"/>
            </w:tcBorders>
            <w:gridSpan w:val="8"/>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8"/>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1"/>
              </w:rPr>
              <w:t>Quantitative and Qualitative Disclosures about Market Risk</w:t>
            </w:r>
          </w:p>
        </w:tc>
        <w:tc>
          <w:tcPr>
            <w:tcW w:w="5380" w:type="dxa"/>
            <w:vAlign w:val="bottom"/>
            <w:tcBorders>
              <w:bottom w:val="single" w:sz="8" w:color="CCEEFF"/>
            </w:tcBorders>
            <w:gridSpan w:val="7"/>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8"/>
          </w:tcPr>
          <w:p>
            <w:pPr>
              <w:spacing w:after="0" w:line="176" w:lineRule="exact"/>
              <w:rPr>
                <w:sz w:val="20"/>
                <w:szCs w:val="20"/>
                <w:color w:val="auto"/>
              </w:rPr>
            </w:pPr>
            <w:r>
              <w:rPr>
                <w:rFonts w:ascii="Arial" w:cs="Arial" w:eastAsia="Arial" w:hAnsi="Arial"/>
                <w:sz w:val="18"/>
                <w:szCs w:val="18"/>
                <w:color w:val="0000EE"/>
              </w:rPr>
              <w:t>Controls and Procedures</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7760" w:type="dxa"/>
            <w:vAlign w:val="bottom"/>
            <w:tcBorders>
              <w:bottom w:val="single" w:sz="8" w:color="CCEEFF"/>
            </w:tcBorders>
            <w:gridSpan w:val="12"/>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8"/>
          </w:tcPr>
          <w:p>
            <w:pPr>
              <w:spacing w:after="0" w:line="176" w:lineRule="exact"/>
              <w:rPr>
                <w:sz w:val="20"/>
                <w:szCs w:val="20"/>
                <w:color w:val="auto"/>
              </w:rPr>
            </w:pPr>
            <w:r>
              <w:rPr>
                <w:rFonts w:ascii="Arial" w:cs="Arial" w:eastAsia="Arial" w:hAnsi="Arial"/>
                <w:sz w:val="18"/>
                <w:szCs w:val="18"/>
                <w:color w:val="0000EE"/>
              </w:rPr>
              <w:t>Legal Proceedings</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8"/>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Mine Safety Disclosures</w:t>
            </w:r>
          </w:p>
        </w:tc>
        <w:tc>
          <w:tcPr>
            <w:tcW w:w="7380" w:type="dxa"/>
            <w:vAlign w:val="bottom"/>
            <w:tcBorders>
              <w:top w:val="single" w:sz="8" w:color="CCEEFF"/>
            </w:tcBorders>
            <w:gridSpan w:val="10"/>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2"/>
              </w:rPr>
              <w:t>Other Information</w:t>
            </w:r>
          </w:p>
        </w:tc>
        <w:tc>
          <w:tcPr>
            <w:tcW w:w="8380" w:type="dxa"/>
            <w:vAlign w:val="bottom"/>
            <w:tcBorders>
              <w:bottom w:val="single" w:sz="8" w:color="CCEEFF"/>
            </w:tcBorders>
            <w:gridSpan w:val="15"/>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18"/>
          </w:tcPr>
          <w:p>
            <w:pPr>
              <w:spacing w:after="0" w:line="176" w:lineRule="exact"/>
              <w:rPr>
                <w:sz w:val="20"/>
                <w:szCs w:val="20"/>
                <w:color w:val="auto"/>
              </w:rPr>
            </w:pPr>
            <w:r>
              <w:rPr>
                <w:rFonts w:ascii="Arial" w:cs="Arial" w:eastAsia="Arial" w:hAnsi="Arial"/>
                <w:sz w:val="18"/>
                <w:szCs w:val="18"/>
                <w:color w:val="0000EE"/>
              </w:rPr>
              <w:t>Exhibits</w:t>
            </w: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w w:val="95"/>
              </w:rPr>
              <w:t>Signatures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439"/>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460" w:type="dxa"/>
            <w:vAlign w:val="bottom"/>
            <w:tcBorders>
              <w:top w:val="single" w:sz="8" w:color="CCEEFF"/>
              <w:bottom w:val="single" w:sz="8" w:color="auto"/>
            </w:tcBorders>
            <w:gridSpan w:val="13"/>
          </w:tcPr>
          <w:p>
            <w:pPr>
              <w:ind w:left="474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 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September 30, 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2022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Cash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13,235</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41,907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49,846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2,074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Vehicle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(2,496)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3,615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9,889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Notes payable, current portion, net of deferred financing fees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18,700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19,242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Financing lease liability, current portion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b w:val="1"/>
                <w:bCs w:val="1"/>
                <w:color w:val="auto"/>
              </w:rPr>
              <w:t>Long-Term Liabilities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Accrued expenses-long term</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Financing lease liability, net of current portion</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58,178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170,000,000 shares at $0.0001 par value, authorized, 58,880,712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43,272,728 shares issued and outstanding as of September 30, 2023 and December 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5,000,000 shares at $0.0001 par value, authorized, no shares issued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outstanding as of September 30, 2023 and December 31, 2022,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r>
              <w:rPr>
                <w:rFonts w:ascii="Arial" w:cs="Arial" w:eastAsia="Arial" w:hAnsi="Arial"/>
                <w:sz w:val="18"/>
                <w:szCs w:val="18"/>
                <w:color w:val="auto"/>
              </w:rPr>
              <w:t>Retained deficit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(43,964)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(27,133)</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gridSpan w:val="6"/>
          </w:tcPr>
          <w:p>
            <w:pPr>
              <w:jc w:val="right"/>
              <w:ind w:right="301"/>
              <w:spacing w:after="0"/>
              <w:rPr>
                <w:sz w:val="20"/>
                <w:szCs w:val="20"/>
                <w:color w:val="auto"/>
              </w:rPr>
            </w:pPr>
            <w:r>
              <w:rPr>
                <w:rFonts w:ascii="Arial" w:cs="Arial" w:eastAsia="Arial" w:hAnsi="Arial"/>
                <w:sz w:val="18"/>
                <w:szCs w:val="18"/>
                <w:color w:val="auto"/>
                <w:w w:val="90"/>
              </w:rPr>
              <w:t>For The Three Months Ended September 30,</w:t>
            </w:r>
          </w:p>
        </w:tc>
        <w:tc>
          <w:tcPr>
            <w:tcW w:w="3320" w:type="dxa"/>
            <w:vAlign w:val="bottom"/>
            <w:gridSpan w:val="8"/>
          </w:tcPr>
          <w:p>
            <w:pPr>
              <w:jc w:val="right"/>
              <w:ind w:right="140"/>
              <w:spacing w:after="0"/>
              <w:rPr>
                <w:sz w:val="20"/>
                <w:szCs w:val="20"/>
                <w:color w:val="auto"/>
              </w:rPr>
            </w:pPr>
            <w:r>
              <w:rPr>
                <w:rFonts w:ascii="Arial" w:cs="Arial" w:eastAsia="Arial" w:hAnsi="Arial"/>
                <w:sz w:val="18"/>
                <w:szCs w:val="18"/>
                <w:color w:val="auto"/>
                <w:w w:val="90"/>
              </w:rPr>
              <w:t>For The Nine Months Ended September 30,</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15,889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26,117</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53,954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11,317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19,079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40,541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4,572</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7,038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13,413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1,385</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753</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6,005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6,336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3,358</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10,473</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10,447</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37,521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(5,901)</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(3,409)</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(24,108)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(3,977)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36"/>
        </w:trPr>
        <w:tc>
          <w:tcPr>
            <w:tcW w:w="3940" w:type="dxa"/>
            <w:vAlign w:val="bottom"/>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19,182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(10,023)</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(4,575)</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(886)</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(10,023)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(3,689)</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(16,831)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(7,456)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(0.34)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Diluted</w:t>
            </w: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3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3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58,736,013</w:t>
            </w: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38,129,422</w:t>
            </w:r>
          </w:p>
        </w:tc>
        <w:tc>
          <w:tcPr>
            <w:tcW w:w="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50,166,320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37,098,990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58,736,013</w:t>
            </w:r>
          </w:p>
        </w:tc>
        <w:tc>
          <w:tcPr>
            <w:tcW w:w="3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38,129,422</w:t>
            </w:r>
          </w:p>
        </w:tc>
        <w:tc>
          <w:tcPr>
            <w:tcW w:w="3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50,166,320</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37,098,990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8"/>
                <w:szCs w:val="18"/>
                <w:color w:val="auto"/>
              </w:rPr>
              <w:t>Redeemable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gridSpan w:val="2"/>
          </w:tcPr>
          <w:p>
            <w:pPr>
              <w:jc w:val="center"/>
              <w:ind w:right="401"/>
              <w:spacing w:after="0"/>
              <w:rPr>
                <w:sz w:val="20"/>
                <w:szCs w:val="20"/>
                <w:color w:val="auto"/>
              </w:rPr>
            </w:pPr>
            <w:r>
              <w:rPr>
                <w:rFonts w:ascii="Arial" w:cs="Arial" w:eastAsia="Arial" w:hAnsi="Arial"/>
                <w:sz w:val="18"/>
                <w:szCs w:val="18"/>
                <w:color w:val="auto"/>
                <w:w w:val="88"/>
              </w:rPr>
              <w:t>Retained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820" w:type="dxa"/>
            <w:vAlign w:val="bottom"/>
          </w:tcPr>
          <w:p>
            <w:pPr>
              <w:spacing w:after="0"/>
              <w:rPr>
                <w:sz w:val="21"/>
                <w:szCs w:val="21"/>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color w:val="auto"/>
              </w:rPr>
              <w:t>Preferred Stock</w:t>
            </w:r>
          </w:p>
        </w:tc>
        <w:tc>
          <w:tcPr>
            <w:tcW w:w="2460" w:type="dxa"/>
            <w:vAlign w:val="bottom"/>
            <w:gridSpan w:val="5"/>
          </w:tcPr>
          <w:p>
            <w:pPr>
              <w:jc w:val="right"/>
              <w:ind w:right="8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Paid-In</w:t>
            </w:r>
          </w:p>
        </w:tc>
        <w:tc>
          <w:tcPr>
            <w:tcW w:w="100" w:type="dxa"/>
            <w:vAlign w:val="bottom"/>
          </w:tcPr>
          <w:p>
            <w:pPr>
              <w:spacing w:after="0"/>
              <w:rPr>
                <w:sz w:val="21"/>
                <w:szCs w:val="21"/>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color w:val="auto"/>
                <w:w w:val="90"/>
              </w:rPr>
              <w:t>Earnings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20"/>
                <w:szCs w:val="20"/>
                <w:color w:val="auto"/>
              </w:rPr>
            </w:pPr>
          </w:p>
        </w:tc>
        <w:tc>
          <w:tcPr>
            <w:tcW w:w="12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6"/>
              </w:rPr>
              <w:t>Amount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Capital</w:t>
            </w:r>
          </w:p>
        </w:tc>
        <w:tc>
          <w:tcPr>
            <w:tcW w:w="100" w:type="dxa"/>
            <w:vAlign w:val="bottom"/>
          </w:tcPr>
          <w:p>
            <w:pPr>
              <w:spacing w:after="0"/>
              <w:rPr>
                <w:sz w:val="20"/>
                <w:szCs w:val="20"/>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8"/>
                <w:szCs w:val="18"/>
                <w:color w:val="auto"/>
                <w:w w:val="99"/>
              </w:rPr>
              <w:t>(Deficit)</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20,875,475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12,438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Retroactive application of</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15,621,523</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75"/>
        </w:trPr>
        <w:tc>
          <w:tcPr>
            <w:tcW w:w="2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Adjusted balance, beginning of</w:t>
            </w:r>
          </w:p>
        </w:tc>
        <w:tc>
          <w:tcPr>
            <w:tcW w:w="10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period</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36,496,998</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100,374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36,597,372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10,140</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600"/>
              <w:spacing w:after="0" w:line="196" w:lineRule="exact"/>
              <w:rPr>
                <w:sz w:val="20"/>
                <w:szCs w:val="20"/>
                <w:color w:val="auto"/>
              </w:rPr>
            </w:pPr>
            <w:r>
              <w:rPr>
                <w:rFonts w:ascii="Arial" w:cs="Arial" w:eastAsia="Arial" w:hAnsi="Arial"/>
                <w:sz w:val="18"/>
                <w:szCs w:val="18"/>
                <w:color w:val="auto"/>
                <w:w w:val="77"/>
              </w:rPr>
              <w:t>—</w:t>
            </w:r>
          </w:p>
        </w:tc>
        <w:tc>
          <w:tcPr>
            <w:tcW w:w="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(1,469)</w:t>
            </w: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(1,469)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152,366</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 June 30, 2022</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36,749,738</w:t>
            </w:r>
          </w:p>
        </w:tc>
        <w:tc>
          <w:tcPr>
            <w:tcW w:w="12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4,540</w:t>
            </w:r>
          </w:p>
        </w:tc>
        <w:tc>
          <w:tcPr>
            <w:tcW w:w="100" w:type="dxa"/>
            <w:vAlign w:val="bottom"/>
          </w:tcPr>
          <w:p>
            <w:pPr>
              <w:spacing w:after="0"/>
              <w:rPr>
                <w:sz w:val="24"/>
                <w:szCs w:val="24"/>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8,671</w:t>
            </w:r>
          </w:p>
        </w:tc>
        <w:tc>
          <w:tcPr>
            <w:tcW w:w="1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13,215</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w w:val="77"/>
              </w:rPr>
              <w:t>—</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(3,689)</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agreement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1,498,301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328,611</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7"/>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38,576,650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2023</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43,272,728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(27,133)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4,892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offering (ATM), net of costs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73,500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36,009</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Public Warrants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64,971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Cashless exercise of liability</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classified warrants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2,348,294</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10,167</w:t>
            </w: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2023</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45,795,502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(22,241)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600"/>
              <w:spacing w:after="0" w:line="196" w:lineRule="exact"/>
              <w:rPr>
                <w:sz w:val="20"/>
                <w:szCs w:val="20"/>
                <w:color w:val="auto"/>
              </w:rPr>
            </w:pPr>
            <w:r>
              <w:rPr>
                <w:rFonts w:ascii="Arial" w:cs="Arial" w:eastAsia="Arial" w:hAnsi="Arial"/>
                <w:sz w:val="18"/>
                <w:szCs w:val="18"/>
                <w:color w:val="auto"/>
                <w:w w:val="77"/>
              </w:rPr>
              <w:t>—</w:t>
            </w:r>
          </w:p>
        </w:tc>
        <w:tc>
          <w:tcPr>
            <w:tcW w:w="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(11,700)</w:t>
            </w: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(11,700)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offering, net of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11,405,000</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7,877</w:t>
            </w:r>
          </w:p>
        </w:tc>
        <w:tc>
          <w:tcPr>
            <w:tcW w:w="10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offering (ATM), net of costs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69,012</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of liability</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classified warrants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748,029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Shares issued for vested restricted</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stock units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461,998</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56"/>
        </w:trPr>
        <w:tc>
          <w:tcPr>
            <w:tcW w:w="28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Balance - June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7"/>
              </w:rPr>
              <w:t>—</w:t>
            </w:r>
          </w:p>
        </w:tc>
        <w:tc>
          <w:tcPr>
            <w:tcW w:w="34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58,504,541</w:t>
            </w:r>
          </w:p>
        </w:tc>
        <w:tc>
          <w:tcPr>
            <w:tcW w:w="3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66,148</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32,213</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w w:val="77"/>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(10,023)</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103,071</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exercise of liability classified</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273,100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2023</w:t>
            </w: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58,880,712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(43,964)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848" w:gutter="0" w:footer="0" w:header="0"/>
        </w:sectPr>
      </w:pPr>
    </w:p>
    <w:bookmarkStart w:id="5" w:name="page6"/>
    <w:bookmarkEnd w:id="5"/>
    <w:p>
      <w:pPr>
        <w:jc w:val="center"/>
        <w:ind w:left="340" w:right="2340"/>
        <w:spacing w:after="0" w:line="263" w:lineRule="auto"/>
        <w:rPr>
          <w:sz w:val="20"/>
          <w:szCs w:val="20"/>
          <w:color w:val="auto"/>
        </w:rPr>
      </w:pPr>
      <w:r>
        <w:rPr>
          <w:rFonts w:ascii="Arial" w:cs="Arial" w:eastAsia="Arial" w:hAnsi="Arial"/>
          <w:sz w:val="18"/>
          <w:szCs w:val="18"/>
          <w:b w:val="1"/>
          <w:bCs w:val="1"/>
          <w:color w:val="auto"/>
        </w:rPr>
        <w:t>DRAGONFLY ENERGY HOLDINGS CORP. UNAUDITED CONDENSED CONSOLIDATED STATEMENTS OF CASH FLOWS FOR THE NINE MONTHS ENDED SEPTEMBER 30, 2023 AND 2022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3"/>
          </w:tcPr>
          <w:p>
            <w:pPr>
              <w:jc w:val="right"/>
              <w:ind w:right="720"/>
              <w:spacing w:after="0"/>
              <w:rPr>
                <w:sz w:val="20"/>
                <w:szCs w:val="20"/>
                <w:color w:val="auto"/>
              </w:rPr>
            </w:pPr>
            <w:r>
              <w:rPr>
                <w:rFonts w:ascii="Arial" w:cs="Arial" w:eastAsia="Arial" w:hAnsi="Arial"/>
                <w:sz w:val="18"/>
                <w:szCs w:val="18"/>
                <w:color w:val="auto"/>
                <w:w w:val="90"/>
              </w:rPr>
              <w:t>September 30, 2023</w:t>
            </w:r>
          </w:p>
        </w:tc>
        <w:tc>
          <w:tcPr>
            <w:tcW w:w="1860" w:type="dxa"/>
            <w:vAlign w:val="bottom"/>
            <w:gridSpan w:val="2"/>
          </w:tcPr>
          <w:p>
            <w:pPr>
              <w:jc w:val="right"/>
              <w:ind w:right="301"/>
              <w:spacing w:after="0"/>
              <w:rPr>
                <w:sz w:val="20"/>
                <w:szCs w:val="20"/>
                <w:color w:val="auto"/>
              </w:rPr>
            </w:pPr>
            <w:r>
              <w:rPr>
                <w:rFonts w:ascii="Arial" w:cs="Arial" w:eastAsia="Arial" w:hAnsi="Arial"/>
                <w:sz w:val="18"/>
                <w:szCs w:val="18"/>
                <w:color w:val="auto"/>
                <w:w w:val="91"/>
              </w:rPr>
              <w:t>September 30, 2022</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(16,831)   $</w:t>
            </w: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(7,456)</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w:t>
            </w:r>
          </w:p>
        </w:tc>
        <w:tc>
          <w:tcPr>
            <w:tcW w:w="1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Used in Operating Activities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6,387</w:t>
            </w:r>
          </w:p>
        </w:tc>
        <w:tc>
          <w:tcPr>
            <w:tcW w:w="160" w:type="dxa"/>
            <w:vAlign w:val="bottom"/>
            <w:shd w:val="clear" w:color="auto" w:fill="CCEEFF"/>
          </w:tcPr>
          <w:p>
            <w:pPr>
              <w:spacing w:after="0"/>
              <w:rPr>
                <w:sz w:val="18"/>
                <w:szCs w:val="18"/>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(19,182)</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(1,707)</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 Kind)</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3,738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648</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181"/>
              <w:spacing w:after="0"/>
              <w:rPr>
                <w:sz w:val="20"/>
                <w:szCs w:val="20"/>
                <w:color w:val="auto"/>
              </w:rPr>
            </w:pPr>
            <w:r>
              <w:rPr>
                <w:rFonts w:ascii="Arial" w:cs="Arial" w:eastAsia="Arial" w:hAnsi="Arial"/>
                <w:sz w:val="18"/>
                <w:szCs w:val="18"/>
                <w:color w:val="auto"/>
              </w:rPr>
              <w:t>(3,039)</w:t>
            </w:r>
          </w:p>
        </w:tc>
        <w:tc>
          <w:tcPr>
            <w:tcW w:w="160" w:type="dxa"/>
            <w:vAlign w:val="bottom"/>
          </w:tcPr>
          <w:p>
            <w:pPr>
              <w:spacing w:after="0"/>
              <w:rPr>
                <w:sz w:val="18"/>
                <w:szCs w:val="18"/>
                <w:color w:val="auto"/>
              </w:rPr>
            </w:pP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(3,037)</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7,939</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(12,360)</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8"/>
                <w:szCs w:val="18"/>
                <w:color w:val="auto"/>
              </w:rPr>
            </w:pP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(1,259)</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inventory</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(2,114)</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831</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181"/>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(927)</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(3,915)</w:t>
            </w:r>
          </w:p>
        </w:tc>
      </w:tr>
      <w:tr>
        <w:trPr>
          <w:trHeight w:val="237"/>
        </w:trPr>
        <w:tc>
          <w:tcPr>
            <w:tcW w:w="5380" w:type="dxa"/>
            <w:vAlign w:val="bottom"/>
          </w:tcPr>
          <w:p>
            <w:pPr>
              <w:ind w:left="360"/>
              <w:spacing w:after="0"/>
              <w:rPr>
                <w:sz w:val="20"/>
                <w:szCs w:val="20"/>
                <w:color w:val="auto"/>
              </w:rPr>
            </w:pPr>
            <w:r>
              <w:rPr>
                <w:rFonts w:ascii="Arial" w:cs="Arial" w:eastAsia="Arial" w:hAnsi="Arial"/>
                <w:sz w:val="18"/>
                <w:szCs w:val="18"/>
                <w:color w:val="auto"/>
              </w:rPr>
              <w:t>Customer deposits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181"/>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860" w:type="dxa"/>
            <w:vAlign w:val="bottom"/>
            <w:gridSpan w:val="2"/>
          </w:tcPr>
          <w:p>
            <w:pPr>
              <w:jc w:val="right"/>
              <w:ind w:right="1"/>
              <w:spacing w:after="0"/>
              <w:rPr>
                <w:sz w:val="20"/>
                <w:szCs w:val="20"/>
                <w:color w:val="auto"/>
              </w:rPr>
            </w:pPr>
            <w:r>
              <w:rPr>
                <w:rFonts w:ascii="Arial" w:cs="Arial" w:eastAsia="Arial" w:hAnsi="Arial"/>
                <w:sz w:val="18"/>
                <w:szCs w:val="18"/>
                <w:color w:val="auto"/>
              </w:rPr>
              <w:t>(147)</w:t>
            </w:r>
          </w:p>
        </w:tc>
      </w:tr>
      <w:tr>
        <w:trPr>
          <w:trHeight w:val="236"/>
        </w:trPr>
        <w:tc>
          <w:tcPr>
            <w:tcW w:w="53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Adjustments</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r>
        <w:trPr>
          <w:trHeight w:val="210"/>
        </w:trPr>
        <w:tc>
          <w:tcPr>
            <w:tcW w:w="5380" w:type="dxa"/>
            <w:vAlign w:val="bottom"/>
            <w:tcBorders>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Used in Operating Activities</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(16,727</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(24,711</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16"/>
        </w:trPr>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(6,507)</w:t>
            </w: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(6,065)</w:t>
            </w:r>
          </w:p>
        </w:tc>
      </w:tr>
      <w:tr>
        <w:trPr>
          <w:trHeight w:val="203"/>
        </w:trPr>
        <w:tc>
          <w:tcPr>
            <w:tcW w:w="538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Used in Investing Activities</w:t>
            </w:r>
          </w:p>
        </w:tc>
        <w:tc>
          <w:tcPr>
            <w:tcW w:w="16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(6,507</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(6,065</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5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(continued from previous page)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September 30, 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color w:val="auto"/>
                <w:w w:val="91"/>
              </w:rPr>
              <w:t>September 30, 2022</w:t>
            </w:r>
          </w:p>
        </w:tc>
        <w:tc>
          <w:tcPr>
            <w:tcW w:w="0" w:type="dxa"/>
            <w:vAlign w:val="bottom"/>
          </w:tcPr>
          <w:p>
            <w:pPr>
              <w:spacing w:after="0"/>
              <w:rPr>
                <w:sz w:val="1"/>
                <w:szCs w:val="1"/>
                <w:color w:val="auto"/>
              </w:rPr>
            </w:pP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public offering,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21,640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(ATM),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note payable, related party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 payable, related party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Repayment of note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(5,275)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Public Warrants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exercise of Investor Warrants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(15,069)</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Beginning cash</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17,781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28,630</w:t>
            </w:r>
          </w:p>
        </w:tc>
        <w:tc>
          <w:tcPr>
            <w:tcW w:w="0" w:type="dxa"/>
            <w:vAlign w:val="bottom"/>
          </w:tcPr>
          <w:p>
            <w:pPr>
              <w:spacing w:after="0"/>
              <w:rPr>
                <w:sz w:val="1"/>
                <w:szCs w:val="1"/>
                <w:color w:val="auto"/>
              </w:rPr>
            </w:pPr>
          </w:p>
        </w:tc>
      </w:tr>
      <w:tr>
        <w:trPr>
          <w:trHeight w:val="23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6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97"/>
        </w:trPr>
        <w:tc>
          <w:tcPr>
            <w:tcW w:w="676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 paid for interest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Supplemental Non-Cash Items</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Recognition of warrant liability</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13,762</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6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Non-cash impact of cash exercise of liability classified warrants</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360"/>
              <w:spacing w:after="0"/>
              <w:rPr>
                <w:sz w:val="20"/>
                <w:szCs w:val="20"/>
                <w:color w:val="auto"/>
              </w:rPr>
            </w:pPr>
            <w:r>
              <w:rPr>
                <w:rFonts w:ascii="Arial" w:cs="Arial" w:eastAsia="Arial" w:hAnsi="Arial"/>
                <w:sz w:val="18"/>
                <w:szCs w:val="18"/>
                <w:color w:val="auto"/>
              </w:rPr>
              <w:t>Cashless exercise of liability classified warrants</w:t>
            </w: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12,629</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Dragonfly Energy Holdings Corp. (“New Dragonfly” or the “Company”) sells lithium-ion battery packs for use in a wide variety of applications. The Company sells to Original Equipment Manufacturers (“OEMs”) under the Dragonfly Energy brand name, and sells direct to consumers under the trade name Battleborn Batteries. In addition, the Company develops technology for improved lithium-ion battery manufacturing and assembly methods.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was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condensed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10-K filed with the SEC on April 17, 2023 (as amended May 1, 2023, the “Annual Report”) of the Company for the annual period ended December 31, 2022. The consolidated balance sheet as of December 31, 2022 was derived from the audited consolidated financial statements as of and for the year then ended.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and 2022, the Company incurred losses from operations and had negative cash flow from operations. As of September 30, 2023, the Company had $13,235 in cash and working capital of $22,000. The Company’s ability to achieve profitability and positive cash flow depends on its ability to increase revenue, contain its expenses and maintain compliance with the financial covenants in its outstanding indebtedness agreements.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(See Note 6). On March 29, 2023 and September 29, 2023, the Company obtained waivers from the Term Loan administrative agent and lenders of its failures to satisfy the fixed charge coverage ratio and maximum senior leverage ratio with respect to the minimum cash requirements under the Term Loan during the quarters ended March 31, 2023 and September 30,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recently issued accounting standards not yet adopted which would have a material effect on the Company’s financial statements.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 – 90 days of the invoice date and the contracts do not have significant financing components. Trade accounts receivables are recorded gross and are net of any applicable allowance. The Company has an allowance for doubtful accounts as of September 30, 2023 and December 31, 2022 of $178 and $90,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 reserves. Inventory that is in excess of current and projected use is reduced by an allowance to a level that approximates its estimate of future demand. Products that are determined to be obsolete are written down to net realizable value. As of September 30, 2023 and December 31, 2022, no such reserves were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2023 and 2022 was $909 and $648, respectively. Depreciation expense for the three months ended September 30, 2023 and 2022 was $316 and $259, respectively. The various classes of property and equipment and estimated useful lives are as follows: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7"/>
              </w:rPr>
              <w:t>3 to 7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Vehicles</w:t>
            </w:r>
          </w:p>
        </w:tc>
        <w:tc>
          <w:tcPr>
            <w:tcW w:w="3420" w:type="dxa"/>
            <w:vAlign w:val="bottom"/>
          </w:tcPr>
          <w:p>
            <w:pPr>
              <w:jc w:val="center"/>
              <w:ind w:left="1450"/>
              <w:spacing w:after="0"/>
              <w:rPr>
                <w:sz w:val="20"/>
                <w:szCs w:val="20"/>
                <w:color w:val="auto"/>
              </w:rPr>
            </w:pPr>
            <w:r>
              <w:rPr>
                <w:rFonts w:ascii="Arial" w:cs="Arial" w:eastAsia="Arial" w:hAnsi="Arial"/>
                <w:sz w:val="18"/>
                <w:szCs w:val="18"/>
                <w:color w:val="auto"/>
                <w:w w:val="88"/>
              </w:rPr>
              <w:t>5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7"/>
              </w:rPr>
              <w:t>3 to 7 years</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Remaining Term of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applies relevant accounting guidance for warrants to purchase the Company’s common stock, par value $0.0001 per share (the “Common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September 30, 2023 and December 31, 2022, the contract liability related to the Company’s customer deposits approximated $217 and $238, respectively. The Company recognized $230 of the contract liability pertaining to the year ended December 31, 2022 during the nine months ended September 30, 2023. The entire contract liability balance of $434 as of January 1, 2022 was recognized as revenue during the nine months ended 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revenues by distribution channel:</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80" w:type="dxa"/>
            <w:vAlign w:val="bottom"/>
            <w:gridSpan w:val="7"/>
          </w:tcPr>
          <w:p>
            <w:pPr>
              <w:jc w:val="center"/>
              <w:ind w:right="340"/>
              <w:spacing w:after="0"/>
              <w:rPr>
                <w:sz w:val="20"/>
                <w:szCs w:val="20"/>
                <w:color w:val="auto"/>
              </w:rPr>
            </w:pPr>
            <w:r>
              <w:rPr>
                <w:rFonts w:ascii="Arial" w:cs="Arial" w:eastAsia="Arial" w:hAnsi="Arial"/>
                <w:sz w:val="18"/>
                <w:szCs w:val="18"/>
                <w:color w:val="auto"/>
                <w:w w:val="89"/>
              </w:rPr>
              <w:t>For The Three Months Ended September</w:t>
            </w:r>
          </w:p>
        </w:tc>
        <w:tc>
          <w:tcPr>
            <w:tcW w:w="3080" w:type="dxa"/>
            <w:vAlign w:val="bottom"/>
            <w:gridSpan w:val="7"/>
          </w:tcPr>
          <w:p>
            <w:pPr>
              <w:jc w:val="center"/>
              <w:ind w:right="120"/>
              <w:spacing w:after="0"/>
              <w:rPr>
                <w:sz w:val="20"/>
                <w:szCs w:val="20"/>
                <w:color w:val="auto"/>
              </w:rPr>
            </w:pPr>
            <w:r>
              <w:rPr>
                <w:rFonts w:ascii="Arial" w:cs="Arial" w:eastAsia="Arial" w:hAnsi="Arial"/>
                <w:sz w:val="18"/>
                <w:szCs w:val="18"/>
                <w:color w:val="auto"/>
                <w:w w:val="90"/>
              </w:rPr>
              <w:t>For The Nine Months Ended September</w:t>
            </w:r>
          </w:p>
        </w:tc>
      </w:tr>
      <w:tr>
        <w:trPr>
          <w:trHeight w:val="237"/>
        </w:trPr>
        <w:tc>
          <w:tcPr>
            <w:tcW w:w="3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w:t>
            </w:r>
          </w:p>
        </w:tc>
        <w:tc>
          <w:tcPr>
            <w:tcW w:w="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Direct to Customer</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3"/>
              </w:rPr>
              <w:t>12,249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41,755</w:t>
            </w:r>
          </w:p>
        </w:tc>
        <w:tc>
          <w:tcPr>
            <w:tcW w:w="100" w:type="dxa"/>
            <w:vAlign w:val="bottom"/>
            <w:shd w:val="clear" w:color="auto" w:fill="CCEEFF"/>
          </w:tcPr>
          <w:p>
            <w:pPr>
              <w:spacing w:after="0"/>
              <w:rPr>
                <w:sz w:val="18"/>
                <w:szCs w:val="18"/>
                <w:color w:val="auto"/>
              </w:rPr>
            </w:pPr>
          </w:p>
        </w:tc>
      </w:tr>
      <w:tr>
        <w:trPr>
          <w:trHeight w:val="236"/>
        </w:trPr>
        <w:tc>
          <w:tcPr>
            <w:tcW w:w="3160" w:type="dxa"/>
            <w:vAlign w:val="bottom"/>
          </w:tcPr>
          <w:p>
            <w:pPr>
              <w:spacing w:after="0"/>
              <w:rPr>
                <w:sz w:val="20"/>
                <w:szCs w:val="20"/>
                <w:color w:val="auto"/>
              </w:rPr>
            </w:pPr>
            <w:r>
              <w:rPr>
                <w:rFonts w:ascii="Arial" w:cs="Arial" w:eastAsia="Arial" w:hAnsi="Arial"/>
                <w:sz w:val="18"/>
                <w:szCs w:val="18"/>
                <w:color w:val="auto"/>
              </w:rPr>
              <w:t>Original equipment manufacture</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5,584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13,868</w:t>
            </w: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23,640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24,287</w:t>
            </w:r>
          </w:p>
        </w:tc>
      </w:tr>
      <w:tr>
        <w:trPr>
          <w:trHeight w:val="23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26,117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During the quarter ended September 30,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$2,872 and $4,042 for the nine months ended September 30, 2023 and 2022, respectively. Shipping and handling costs associated with outbound freight totaled $913 and $1,508 for the three months ended September 30,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September 30, 2023 and December 31, 2022 to be $301 and $328,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two customers comprised approximately 38% and 15%, respectively, of accounts receivable as of September 30, 2023. Receivables from three customers comprised approximately 18%, 10% and 10%, respectively, of accounts receivable as of December 31, 2022. There are no other significant accounts receivable concentration.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from one customer comprised approximately 19% of revenue for the nine months ended September 30, 2023. One customer accounted for approximately 20% of the Company’s total revenue for the nine months ended September 30, 2022. Sales from one customer comprised approximately 11% of revenue for the three months ended September 30, 2023. One customer accounted for approximately 34% of the Company’s total revenue for the three months ended September 30, 2022.</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Payables to one vendor comprised approximately 68% of accounts payable as of September 30, 2023. Payables to one vendor comprised approximately 61% of accounts payables as of December 31,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2023, one vendor accounted for approximately 16% of the Company’s total purchases. For the nine months ended September 30, 2022, one vendor accounted for approximately 24% of the Company’s total purchases. For the three months ended September 30, 2023, three vendors accounted for approximately 14%, 11%, and 10%, respectively, of the Company’s total purchases. For the three months ended September 30, 2022, three vendors accounted for approximately 20%, 10%, and 10%, respectively, of the Company’s total 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$2,020 and $1,777 for the nine months ended September 30, 2023 and 2022, respectively. Advertising expenses amounted to $750 and $515 for the three months ended September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Arial" w:cs="Arial" w:eastAsia="Arial" w:hAnsi="Arial"/>
          <w:sz w:val="17"/>
          <w:szCs w:val="17"/>
          <w:b w:val="1"/>
          <w:bCs w:val="1"/>
          <w:color w:val="auto"/>
        </w:rPr>
        <w:t>s</w:t>
      </w:r>
      <w:r>
        <w:rPr>
          <w:rFonts w:ascii="Arial" w:cs="Arial" w:eastAsia="Arial" w:hAnsi="Arial"/>
          <w:sz w:val="17"/>
          <w:szCs w:val="17"/>
          <w:color w:val="auto"/>
        </w:rPr>
        <w:t xml:space="preserve"> (Note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$128 as of September 30, 2023, and December 31, 2022 of uncertain tax positions. The Company’s accounting policy is to include penalties and interest related to income taxes if any, in selling, general and administrative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32"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assets and liabilities that were measured at fair value in the Condensed Consolidated Balance Sheets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Carrying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6"/>
          </w:tcPr>
          <w:p>
            <w:pPr>
              <w:ind w:left="1040"/>
              <w:spacing w:after="0"/>
              <w:rPr>
                <w:sz w:val="20"/>
                <w:szCs w:val="20"/>
                <w:color w:val="auto"/>
              </w:rPr>
            </w:pPr>
            <w:r>
              <w:rPr>
                <w:rFonts w:ascii="Arial" w:cs="Arial" w:eastAsia="Arial" w:hAnsi="Arial"/>
                <w:sz w:val="18"/>
                <w:szCs w:val="18"/>
                <w:color w:val="auto"/>
                <w:w w:val="90"/>
              </w:rPr>
              <w:t>As of September 30, 2023</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2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Warrant liability - Term Loan</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911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June public offering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13,149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13,149</w:t>
            </w:r>
          </w:p>
        </w:tc>
      </w:tr>
      <w:tr>
        <w:trPr>
          <w:trHeight w:val="237"/>
        </w:trPr>
        <w:tc>
          <w:tcPr>
            <w:tcW w:w="3460" w:type="dxa"/>
            <w:vAlign w:val="bottom"/>
            <w:gridSpan w:val="2"/>
          </w:tcPr>
          <w:p>
            <w:pPr>
              <w:spacing w:after="0"/>
              <w:rPr>
                <w:sz w:val="20"/>
                <w:szCs w:val="20"/>
                <w:color w:val="auto"/>
              </w:rPr>
            </w:pPr>
            <w:r>
              <w:rPr>
                <w:rFonts w:ascii="Arial" w:cs="Arial" w:eastAsia="Arial" w:hAnsi="Arial"/>
                <w:sz w:val="18"/>
                <w:szCs w:val="18"/>
                <w:color w:val="auto"/>
                <w:w w:val="96"/>
              </w:rPr>
              <w:t>Warrant liability - Private placement warrants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Carrying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6"/>
          </w:tcPr>
          <w:p>
            <w:pPr>
              <w:ind w:left="1040"/>
              <w:spacing w:after="0"/>
              <w:rPr>
                <w:sz w:val="20"/>
                <w:szCs w:val="20"/>
                <w:color w:val="auto"/>
              </w:rPr>
            </w:pPr>
            <w:r>
              <w:rPr>
                <w:rFonts w:ascii="Arial" w:cs="Arial" w:eastAsia="Arial" w:hAnsi="Arial"/>
                <w:sz w:val="18"/>
                <w:szCs w:val="18"/>
                <w:color w:val="auto"/>
                <w:w w:val="93"/>
              </w:rPr>
              <w:t>As of December 31, 2022</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2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30,841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30,841</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80" w:type="dxa"/>
            <w:vAlign w:val="bottom"/>
          </w:tcPr>
          <w:p>
            <w:pPr>
              <w:spacing w:after="0"/>
              <w:rPr>
                <w:sz w:val="18"/>
                <w:szCs w:val="18"/>
                <w:color w:val="auto"/>
              </w:rPr>
            </w:pPr>
          </w:p>
        </w:tc>
      </w:tr>
      <w:tr>
        <w:trPr>
          <w:trHeight w:val="25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Warrant liability- Private placement warrants</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1,990</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September 30, 2023 and December 31, 2022 because of the relatively short maturity of these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Term Loan as of September 30, 2023 and December 31, 2022 approximates fair value as the interest rate does not differ significantly from the current market rates available to the Company for similar debt and is considered Level 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 INVENTORY</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3"/>
          </w:tcPr>
          <w:p>
            <w:pPr>
              <w:spacing w:after="0"/>
              <w:rPr>
                <w:sz w:val="20"/>
                <w:szCs w:val="20"/>
                <w:color w:val="auto"/>
              </w:rPr>
            </w:pPr>
            <w:r>
              <w:rPr>
                <w:rFonts w:ascii="Arial" w:cs="Arial" w:eastAsia="Arial" w:hAnsi="Arial"/>
                <w:sz w:val="18"/>
                <w:szCs w:val="18"/>
                <w:color w:val="auto"/>
              </w:rPr>
              <w:t>Inventory consists of the following:</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color w:val="auto"/>
              </w:rPr>
              <w:t>September 30, 2023</w:t>
            </w: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2022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Finished goods</w:t>
            </w:r>
          </w:p>
        </w:tc>
        <w:tc>
          <w:tcPr>
            <w:tcW w:w="5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5,057</w:t>
            </w:r>
          </w:p>
        </w:tc>
        <w:tc>
          <w:tcPr>
            <w:tcW w:w="5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5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COMMITMENTS AND CONTINGENCIES</w:t>
            </w: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leases related to the main office, warehouse space, research and development lab, and engineering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completed in early 2024. As of September 30, 2023, the lease has not commenced as the Company does not have control over the asset.</w:t>
      </w:r>
    </w:p>
    <w:p>
      <w:pPr>
        <w:sectPr>
          <w:pgSz w:w="11900" w:h="16838" w:orient="portrait"/>
          <w:cols w:equalWidth="0" w:num="1">
            <w:col w:w="11240"/>
          </w:cols>
          <w:pgMar w:left="320" w:top="661"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122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41223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64122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00" w:type="dxa"/>
            <w:vAlign w:val="bottom"/>
          </w:tcPr>
          <w:p>
            <w:pPr>
              <w:spacing w:after="0"/>
              <w:rPr>
                <w:sz w:val="20"/>
                <w:szCs w:val="20"/>
                <w:color w:val="auto"/>
              </w:rPr>
            </w:pPr>
          </w:p>
        </w:tc>
        <w:tc>
          <w:tcPr>
            <w:tcW w:w="196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September 30, 2023</w:t>
            </w:r>
          </w:p>
        </w:tc>
        <w:tc>
          <w:tcPr>
            <w:tcW w:w="100" w:type="dxa"/>
            <w:vAlign w:val="bottom"/>
          </w:tcPr>
          <w:p>
            <w:pPr>
              <w:spacing w:after="0"/>
              <w:rPr>
                <w:sz w:val="20"/>
                <w:szCs w:val="20"/>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 w:type="dxa"/>
            <w:vAlign w:val="bottom"/>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2.9 years</w:t>
            </w: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3.6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20" w:space="720"/>
            <w:col w:w="4400"/>
          </w:cols>
          <w:pgMar w:left="320" w:top="661" w:right="3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5" w:name="page16"/>
    <w:bookmarkEnd w:id="15"/>
    <w:p>
      <w:pPr>
        <w:spacing w:after="0" w:line="50" w:lineRule="exact"/>
        <w:rPr>
          <w:sz w:val="20"/>
          <w:szCs w:val="20"/>
          <w:color w:val="auto"/>
        </w:rPr>
      </w:pPr>
    </w:p>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the future minimum lease payments under these operating leases are as follows:</w:t>
      </w:r>
    </w:p>
    <w:p>
      <w:pPr>
        <w:spacing w:after="0" w:line="235"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CCEEFF"/>
            </w:tcBorders>
          </w:tcPr>
          <w:p>
            <w:pPr>
              <w:spacing w:after="0"/>
              <w:rPr>
                <w:sz w:val="20"/>
                <w:szCs w:val="20"/>
                <w:color w:val="auto"/>
              </w:rPr>
            </w:pPr>
          </w:p>
        </w:tc>
      </w:tr>
      <w:tr>
        <w:trPr>
          <w:trHeight w:val="257"/>
        </w:trPr>
        <w:tc>
          <w:tcPr>
            <w:tcW w:w="5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December 31, 2023 </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December 31, 2024</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1,435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December 31, 2026</w:t>
            </w: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r>
      <w:tr>
        <w:trPr>
          <w:trHeight w:val="236"/>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w:t>
            </w:r>
          </w:p>
        </w:tc>
        <w:tc>
          <w:tcPr>
            <w:tcW w:w="60" w:type="dxa"/>
            <w:vAlign w:val="bottom"/>
            <w:tcBorders>
              <w:bottom w:val="single" w:sz="8" w:color="CCEEFF"/>
            </w:tcBorders>
          </w:tcPr>
          <w:p>
            <w:pPr>
              <w:spacing w:after="0"/>
              <w:rPr>
                <w:sz w:val="18"/>
                <w:szCs w:val="18"/>
                <w:color w:val="auto"/>
              </w:rPr>
            </w:pPr>
          </w:p>
        </w:tc>
      </w:tr>
      <w:tr>
        <w:trPr>
          <w:trHeight w:val="230"/>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Represents scheduled payments for the remaining three-month period ending 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20" w:type="dxa"/>
            <w:vAlign w:val="bottom"/>
            <w:gridSpan w:val="6"/>
          </w:tcPr>
          <w:p>
            <w:pPr>
              <w:ind w:left="40"/>
              <w:spacing w:after="0"/>
              <w:rPr>
                <w:sz w:val="20"/>
                <w:szCs w:val="20"/>
                <w:color w:val="auto"/>
              </w:rPr>
            </w:pPr>
            <w:r>
              <w:rPr>
                <w:rFonts w:ascii="Arial" w:cs="Arial" w:eastAsia="Arial" w:hAnsi="Arial"/>
                <w:sz w:val="18"/>
                <w:szCs w:val="18"/>
                <w:color w:val="auto"/>
                <w:w w:val="99"/>
              </w:rPr>
              <w:t>For The Three Months Ended September 30,</w:t>
            </w:r>
          </w:p>
        </w:tc>
        <w:tc>
          <w:tcPr>
            <w:tcW w:w="3320" w:type="dxa"/>
            <w:vAlign w:val="bottom"/>
            <w:gridSpan w:val="6"/>
          </w:tcPr>
          <w:p>
            <w:pPr>
              <w:ind w:left="20"/>
              <w:spacing w:after="0"/>
              <w:rPr>
                <w:sz w:val="20"/>
                <w:szCs w:val="20"/>
                <w:color w:val="auto"/>
              </w:rPr>
            </w:pPr>
            <w:r>
              <w:rPr>
                <w:rFonts w:ascii="Arial" w:cs="Arial" w:eastAsia="Arial" w:hAnsi="Arial"/>
                <w:sz w:val="18"/>
                <w:szCs w:val="18"/>
                <w:color w:val="auto"/>
                <w:w w:val="93"/>
              </w:rPr>
              <w:t>For The Nine Months Ended September 30,</w:t>
            </w:r>
          </w:p>
        </w:tc>
      </w:tr>
      <w:tr>
        <w:trPr>
          <w:trHeight w:val="237"/>
        </w:trPr>
        <w:tc>
          <w:tcPr>
            <w:tcW w:w="1920" w:type="dxa"/>
            <w:vAlign w:val="bottom"/>
          </w:tcPr>
          <w:p>
            <w:pPr>
              <w:spacing w:after="0"/>
              <w:rPr>
                <w:sz w:val="20"/>
                <w:szCs w:val="20"/>
                <w:color w:val="auto"/>
              </w:rPr>
            </w:pPr>
            <w:r>
              <w:rPr>
                <w:rFonts w:ascii="Arial" w:cs="Arial" w:eastAsia="Arial" w:hAnsi="Arial"/>
                <w:sz w:val="18"/>
                <w:szCs w:val="18"/>
                <w:color w:val="auto"/>
              </w:rPr>
              <w:t>Lease cost</w:t>
            </w: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Classification</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16"/>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920" w:type="dxa"/>
            <w:vAlign w:val="bottom"/>
          </w:tcPr>
          <w:p>
            <w:pPr>
              <w:spacing w:after="0"/>
              <w:rPr>
                <w:sz w:val="17"/>
                <w:szCs w:val="17"/>
                <w:color w:val="auto"/>
              </w:rPr>
            </w:pPr>
          </w:p>
        </w:tc>
        <w:tc>
          <w:tcPr>
            <w:tcW w:w="23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Research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Operating lease cost</w:t>
            </w: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development</w:t>
            </w:r>
          </w:p>
        </w:tc>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02"/>
        </w:trPr>
        <w:tc>
          <w:tcPr>
            <w:tcW w:w="1920" w:type="dxa"/>
            <w:vAlign w:val="bottom"/>
            <w:shd w:val="clear" w:color="auto" w:fill="CCEEFF"/>
          </w:tcPr>
          <w:p>
            <w:pPr>
              <w:spacing w:after="0"/>
              <w:rPr>
                <w:sz w:val="17"/>
                <w:szCs w:val="17"/>
                <w:color w:val="auto"/>
              </w:rPr>
            </w:pPr>
          </w:p>
        </w:tc>
        <w:tc>
          <w:tcPr>
            <w:tcW w:w="23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General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administration</w:t>
            </w: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Operating lease cost</w:t>
            </w: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24"/>
                <w:szCs w:val="24"/>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197"/>
        </w:trPr>
        <w:tc>
          <w:tcPr>
            <w:tcW w:w="1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lease cost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389</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1,177</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nine months ended September 30, 2023, the Company entered into a finance lease agreement for equipment to support the Company’s operations. Payments under the finance lease agreement are fixed for a term of 3 years. The leased assets are recognized in property plant &amp; equipment.</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nine months ended September 30, 2022, the Company entered into a finance lease agreement for equipment to support the Company’s operations. Payments under the finance lease agreement are fixed for a term of 5 years. The leased assets are recognized in property plant &amp; equipment.</w:t>
      </w:r>
    </w:p>
    <w:p>
      <w:pPr>
        <w:sectPr>
          <w:pgSz w:w="11900" w:h="16888" w:orient="portrait"/>
          <w:cols w:equalWidth="0" w:num="1">
            <w:col w:w="11240"/>
          </w:cols>
          <w:pgMar w:left="320" w:top="661" w:right="339" w:bottom="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finance leases as of:</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122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41223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finance lease liabilities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641223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00" w:type="dxa"/>
            <w:vAlign w:val="bottom"/>
          </w:tcPr>
          <w:p>
            <w:pPr>
              <w:spacing w:after="0"/>
              <w:rPr>
                <w:sz w:val="20"/>
                <w:szCs w:val="20"/>
                <w:color w:val="auto"/>
              </w:rPr>
            </w:pPr>
          </w:p>
        </w:tc>
        <w:tc>
          <w:tcPr>
            <w:tcW w:w="196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September 30, 2023</w:t>
            </w:r>
          </w:p>
        </w:tc>
        <w:tc>
          <w:tcPr>
            <w:tcW w:w="100" w:type="dxa"/>
            <w:vAlign w:val="bottom"/>
          </w:tcPr>
          <w:p>
            <w:pPr>
              <w:spacing w:after="0"/>
              <w:rPr>
                <w:sz w:val="20"/>
                <w:szCs w:val="20"/>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 w:type="dxa"/>
            <w:vAlign w:val="bottom"/>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3.0 years</w:t>
            </w: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line="182" w:lineRule="exact"/>
              <w:rPr>
                <w:sz w:val="20"/>
                <w:szCs w:val="20"/>
                <w:color w:val="auto"/>
              </w:rPr>
            </w:pPr>
            <w:r>
              <w:rPr>
                <w:rFonts w:ascii="Arial" w:cs="Arial" w:eastAsia="Arial" w:hAnsi="Arial"/>
                <w:sz w:val="18"/>
                <w:szCs w:val="18"/>
                <w:color w:val="auto"/>
              </w:rPr>
              <w:t>4.2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8" w:orient="portrait"/>
          <w:cols w:equalWidth="0" w:num="2">
            <w:col w:w="6120" w:space="720"/>
            <w:col w:w="4400"/>
          </w:cols>
          <w:pgMar w:left="320" w:top="661" w:right="339" w:bottom="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w w:val="95"/>
              </w:rPr>
              <w:t>At September 30, 2023, the future minimum lease payments under the finance lease are as follows: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3"/>
        </w:trPr>
        <w:tc>
          <w:tcPr>
            <w:tcW w:w="162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w:t>
            </w: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bottom w:val="single" w:sz="8" w:color="CCEEFF"/>
            </w:tcBorders>
            <w:gridSpan w:val="2"/>
          </w:tcPr>
          <w:p>
            <w:pPr>
              <w:spacing w:after="0"/>
              <w:rPr>
                <w:sz w:val="24"/>
                <w:szCs w:val="24"/>
                <w:color w:val="auto"/>
              </w:rPr>
            </w:pPr>
          </w:p>
        </w:tc>
      </w:tr>
      <w:tr>
        <w:trPr>
          <w:trHeight w:val="256"/>
        </w:trPr>
        <w:tc>
          <w:tcPr>
            <w:tcW w:w="1620" w:type="dxa"/>
            <w:vAlign w:val="bottom"/>
          </w:tcPr>
          <w:p>
            <w:pPr>
              <w:spacing w:after="0"/>
              <w:rPr>
                <w:sz w:val="22"/>
                <w:szCs w:val="22"/>
                <w:color w:val="auto"/>
              </w:rPr>
            </w:pPr>
          </w:p>
        </w:tc>
        <w:tc>
          <w:tcPr>
            <w:tcW w:w="5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December 31, 2023 </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2"/>
                <w:szCs w:val="22"/>
                <w:color w:val="auto"/>
              </w:rPr>
            </w:pPr>
          </w:p>
        </w:tc>
      </w:tr>
      <w:tr>
        <w:trPr>
          <w:trHeight w:val="216"/>
        </w:trPr>
        <w:tc>
          <w:tcPr>
            <w:tcW w:w="16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December 31, 2024</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December 31, 2026</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50"/>
        </w:trPr>
        <w:tc>
          <w:tcPr>
            <w:tcW w:w="162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2027</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1"/>
                <w:szCs w:val="21"/>
                <w:color w:val="auto"/>
              </w:rPr>
            </w:pPr>
          </w:p>
        </w:tc>
      </w:tr>
      <w:tr>
        <w:trPr>
          <w:trHeight w:val="210"/>
        </w:trPr>
        <w:tc>
          <w:tcPr>
            <w:tcW w:w="16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r>
      <w:tr>
        <w:trPr>
          <w:trHeight w:val="236"/>
        </w:trPr>
        <w:tc>
          <w:tcPr>
            <w:tcW w:w="1620" w:type="dxa"/>
            <w:vAlign w:val="bottom"/>
          </w:tcPr>
          <w:p>
            <w:pPr>
              <w:spacing w:after="0"/>
              <w:rPr>
                <w:sz w:val="20"/>
                <w:szCs w:val="20"/>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16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 finance lease liabilities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Represents scheduled payments for the remaining three-month period ending December 31,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w:t>
      </w:r>
    </w:p>
    <w:p>
      <w:pPr>
        <w:sectPr>
          <w:pgSz w:w="11900" w:h="16888" w:orient="portrait"/>
          <w:cols w:equalWidth="0" w:num="1">
            <w:col w:w="11240"/>
          </w:cols>
          <w:pgMar w:left="320" w:top="661" w:right="339" w:bottom="0" w:gutter="0" w:footer="0" w:header="0"/>
          <w:type w:val="continuous"/>
        </w:sectPr>
      </w:pPr>
    </w:p>
    <w:bookmarkStart w:id="16" w:name="page17"/>
    <w:bookmarkEnd w:id="16"/>
    <w:p>
      <w:pPr>
        <w:jc w:val="both"/>
        <w:spacing w:after="0" w:line="296" w:lineRule="auto"/>
        <w:rPr>
          <w:sz w:val="20"/>
          <w:szCs w:val="20"/>
          <w:color w:val="auto"/>
        </w:rPr>
      </w:pPr>
      <w:r>
        <w:rPr>
          <w:rFonts w:ascii="Arial" w:cs="Arial" w:eastAsia="Arial" w:hAnsi="Arial"/>
          <w:sz w:val="16"/>
          <w:szCs w:val="16"/>
          <w:color w:val="auto"/>
        </w:rPr>
        <w:t>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for further discussion regarding contingent consideration arising from the April 2022 asset purchase agreement with Thomason Jones Company, LLC.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Trust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the Company entered into agreements to issue $45,000 in fixed rate senior notes (the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on October 7, 2022 (the “Closing Date”), the Company entered into a Term Loan, Guarantee and Security Agreement (see “</w:t>
      </w:r>
      <w:r>
        <w:rPr>
          <w:rFonts w:ascii="Arial" w:cs="Arial" w:eastAsia="Arial" w:hAnsi="Arial"/>
          <w:sz w:val="18"/>
          <w:szCs w:val="18"/>
          <w:i w:val="1"/>
          <w:iCs w:val="1"/>
          <w:color w:val="auto"/>
        </w:rPr>
        <w:t>Term Loan Agreement</w:t>
      </w:r>
      <w:r>
        <w:rPr>
          <w:rFonts w:ascii="Arial" w:cs="Arial" w:eastAsia="Arial" w:hAnsi="Arial"/>
          <w:sz w:val="18"/>
          <w:szCs w:val="18"/>
          <w:color w:val="auto"/>
        </w:rPr>
        <w:t>” below) and the outstanding principal balance for the Series 2021-6 Notes underlying the Trust Indenture was paid in full. A loss on extinguishment of $4,824 was recognized upon settlement. During the three months ended September 30, 2022, a total of $619 of interest expense was incurred under the debt. Amortization of the debt issuance costs amounted to $586 during the three months ended September 30, 2022. During the nine months ended September 30, 2022, a total of $1,873 of interest expense was incurred under the debt. Amortization of the debt issuance costs amounted to $1,783 during the nine months ended September 30, 2022.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ending December 31, 2023 are required to be delivered to the Term Loan Lenders, the Company will be required to prepay the Term Loan based on excess cash flow, as defined in the Term Loan Agreement. Pursuant to the Term Loan Agreement, the Company partially prepaid the Term Loan in the amount of $5,275 as a result of the June 2023 Offering (as defined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2023, a total of $3,589 and $10,736, respectively, of interest expense was incurred under the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the debt issuance costs amounted to $375 and $995, respectively, during the three and nine months ended September 30, 2023.</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balance of $18,700 on September 30, 2023 consisted of $69,725 in principal, plus $4,930 Paid-in-Kind (“PIK”) interest, less $55,955 in unamortized debt discount related to the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Starting with the fiscal quarter ending December 31, 2023, (or through fiscal quarter ended September 30, 2023, only if liquidity, as defined, is less than $17,500), the Senior Leverage Ratio shall not be permitted, as of the last day of any fiscal quarter ending during any period set forth below, to exceed the ratio set forth opposite such period in the table below:</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Test Period Ending</w:t>
            </w:r>
          </w:p>
        </w:tc>
        <w:tc>
          <w:tcPr>
            <w:tcW w:w="1580" w:type="dxa"/>
            <w:vAlign w:val="bottom"/>
          </w:tcPr>
          <w:p>
            <w:pPr>
              <w:ind w:left="200"/>
              <w:spacing w:after="0"/>
              <w:rPr>
                <w:sz w:val="20"/>
                <w:szCs w:val="20"/>
                <w:color w:val="auto"/>
              </w:rPr>
            </w:pPr>
            <w:r>
              <w:rPr>
                <w:rFonts w:ascii="Arial" w:cs="Arial" w:eastAsia="Arial" w:hAnsi="Arial"/>
                <w:sz w:val="18"/>
                <w:szCs w:val="18"/>
                <w:b w:val="1"/>
                <w:bCs w:val="1"/>
                <w:color w:val="auto"/>
              </w:rPr>
              <w:t>Leverage Ratio</w:t>
            </w:r>
          </w:p>
        </w:tc>
      </w:tr>
      <w:tr>
        <w:trPr>
          <w:trHeight w:val="216"/>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2023 - September 30, 2023</w:t>
            </w:r>
          </w:p>
        </w:tc>
        <w:tc>
          <w:tcPr>
            <w:tcW w:w="1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6.00 to 1.00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December 31, 2023 - March 31, 2024</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5.00 to 1.00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2024 - September 30, 2024</w:t>
            </w:r>
          </w:p>
        </w:tc>
        <w:tc>
          <w:tcPr>
            <w:tcW w:w="1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4.00 to 1.00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December 31, 2024 - March 31, 2025</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3.25 to 1.00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2025 and thereafter</w:t>
            </w:r>
          </w:p>
        </w:tc>
        <w:tc>
          <w:tcPr>
            <w:tcW w:w="1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3.00 to 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ended December 31, 2022), then the Company shall not permit the Fixed Charge Coverage Ratio for the trailing four quarterly periods ending on the last day of any such quarter to be less than 1.15 to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twelve-month period ending on the most recently completed fiscal quarter is less than $15,000, then the level of capital expenditures is limited.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was in compliance with its covenants as of June 30, 2023 and December 31, 2022. On March 29, 2023 and September 29, 2023, the Company obtained waivers from the Administrative Agent and the Term Loan Lenders of its failures to satisfy the fixed charge coverage ratio and maximum senior leverage ratio with respect to the minimum cash requirements under the Term Loan during the quarters ended March 31, 2023 and September 30, 2023, respectively. As a result of the uncertainty of maintaining compliance with financial covenants the Company has continued to classify the entire Term Loan balance within current liabilities on the balance sheet.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NOTE 6 – DEBT (CONTINUED)</w:t>
            </w: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i w:val="1"/>
                <w:iCs w:val="1"/>
                <w:color w:val="auto"/>
              </w:rPr>
              <w:t>Future Debt Maturities</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color w:val="auto"/>
              </w:rPr>
              <w:t>At September 30, 2023, the future debt maturities are as follows:</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 Year Ending December 31,</w:t>
            </w: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8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80" w:type="dxa"/>
            <w:vAlign w:val="bottom"/>
            <w:vMerge w:val="continue"/>
          </w:tcPr>
          <w:p>
            <w:pPr>
              <w:spacing w:after="0"/>
              <w:rPr>
                <w:sz w:val="22"/>
                <w:szCs w:val="22"/>
                <w:color w:val="auto"/>
              </w:rPr>
            </w:pPr>
          </w:p>
        </w:tc>
        <w:tc>
          <w:tcPr>
            <w:tcW w:w="5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9"/>
                <w:szCs w:val="29"/>
                <w:color w:val="auto"/>
                <w:vertAlign w:val="superscript"/>
              </w:rPr>
              <w:t>(1)</w:t>
            </w:r>
          </w:p>
        </w:tc>
        <w:tc>
          <w:tcPr>
            <w:tcW w:w="182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2024</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2026</w:t>
            </w: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74,931</w:t>
            </w: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Estimated interest paid-in-kind</w:t>
            </w:r>
          </w:p>
        </w:tc>
        <w:tc>
          <w:tcPr>
            <w:tcW w:w="13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debt</w:t>
            </w:r>
          </w:p>
        </w:tc>
        <w:tc>
          <w:tcPr>
            <w:tcW w:w="1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74,655</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60" w:type="dxa"/>
            <w:vAlign w:val="bottom"/>
            <w:vMerge w:val="restart"/>
          </w:tcPr>
          <w:p>
            <w:pPr>
              <w:spacing w:after="0"/>
              <w:rPr>
                <w:sz w:val="20"/>
                <w:szCs w:val="20"/>
                <w:color w:val="auto"/>
              </w:rPr>
            </w:pPr>
            <w:r>
              <w:rPr>
                <w:rFonts w:ascii="Arial" w:cs="Arial" w:eastAsia="Arial" w:hAnsi="Arial"/>
                <w:sz w:val="18"/>
                <w:szCs w:val="18"/>
                <w:color w:val="auto"/>
              </w:rPr>
              <w:t>Less: Unamortized debt issuance costs, noncurrent</w:t>
            </w:r>
          </w:p>
        </w:tc>
        <w:tc>
          <w:tcPr>
            <w:tcW w:w="1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506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(55,955</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carrying amount</w:t>
            </w:r>
          </w:p>
        </w:tc>
        <w:tc>
          <w:tcPr>
            <w:tcW w:w="13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 of debt</w:t>
            </w:r>
          </w:p>
        </w:tc>
        <w:tc>
          <w:tcPr>
            <w:tcW w:w="13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long-term debt</w:t>
            </w:r>
          </w:p>
        </w:tc>
        <w:tc>
          <w:tcPr>
            <w:tcW w:w="13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Represents scheduled payments for the remaining three-month period ending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ASSET PURCHASE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Bourns Production,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$197 which approximated fair market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Thomason Jones Company,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2022, the Company entered into an asset purchase agreement (the “April 2022 Asset Purchase Agreement”) with William Thomason, Richard Jones, and Thomason Jones Company, LLC (“Thomason Jones”) whereby the Company acquired inventory and intellectual property assets for up to $700 cash plus contingent payments of $1,000 each to William Thomason and Richard Jones (the “Earn Out”). The Company determined the contingent consideration to be recognized as contingent compensation to Mr. Thomason and Mr. Jones. The Company concluded the purchase price to be $444 and was allocated in its entirety to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Compensation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April 2022 Asset Purchase Agreement, if, within twenty-four months of the April 2022 Asset Purchase Agreement the Company realizes $3,000 in gross sales of product either (a) sold under the Wakespeed brand and/or (b) which incorporates any portion of Purchased IP as listed within the agreement, then the Company would be obligated to pay Messrs. Thomason and Jones each the amount of $1,000 as soon as reasonably practicable. This payment may be made in cash or Common Stock, in the sole discretion of the Company. As a result, the Company determined that a liability should be recorded ratably over the 24-month period.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18-month period from the date of acquisition. Also as a result, the Company recorded an accrual related to the Earn Out in the amount of $2,000 and $782 as of September 30, 2023 and December 31, 2022, respectively. The sales goals under the April 2022 Asset Purchase Agreement were achieved during the quarter ended September 30, 2023.</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line="2" w:lineRule="exact"/>
        <w:rPr>
          <w:sz w:val="20"/>
          <w:szCs w:val="20"/>
          <w:color w:val="auto"/>
        </w:rPr>
      </w:pPr>
    </w:p>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former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25, 2022, the Company entered into a separation and release of claims agreement with its former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Company entered into an agreement with its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26, 2023, the Company entered into a separation and release of claims agreement with its former Chief Legal Officer (the “CLO”). As consideration for the CLO’s execution of the agreement, the Company agreed to pay the employee payments equivalent to $720 for wages and benefits divided into 24 monthly payments commencing on June 1, 2023, and all outstanding equity-based compensation awards to become fully vested and exercisable resulting in an expense of $76. The CLO had three (3) months from the termination date to exercise the outstanding options. The three (3) month period ended on July 26, 2023 in which the options were not exercised and the options were forfeited as a result.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October 7, 2022, in connection with the merger, the Company assumed the outstanding public warrants of CNTQ. There were no Public Warrants outstanding prior to the merger. Each Public Warrant entitles the holder to the right to purchase one share of Common Stock at an exercise price of $11.50 per share (the “Public Warrants”).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Public Warrants as of each relevant date.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2023, the Company received proceeds from Public Warrant exercises of $747 in exchange for 64,971 shares of Common Stock. The Company did not receive any proceeds from Public Warrants during the three months ended September 30,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entry into the underwriting agreement as further described in Note 10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Investor Warrant, less underwriting discounts and commissions.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their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Underwriters’ Warrants:</w:t>
      </w:r>
    </w:p>
    <w:p>
      <w:pPr>
        <w:spacing w:after="0" w:line="225"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Common Stock</w:t>
      </w:r>
    </w:p>
    <w:p>
      <w:pPr>
        <w:sectPr>
          <w:pgSz w:w="11900" w:h="16841" w:orient="portrait"/>
          <w:cols w:equalWidth="0" w:num="1">
            <w:col w:w="11240"/>
          </w:cols>
          <w:pgMar w:left="320" w:top="661" w:right="339" w:bottom="0" w:gutter="0" w:footer="0" w:header="0"/>
        </w:sectPr>
      </w:pPr>
    </w:p>
    <w:bookmarkStart w:id="22" w:name="page23"/>
    <w:bookmarkEnd w:id="22"/>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825500</wp:posOffset>
            </wp:positionH>
            <wp:positionV relativeFrom="page">
              <wp:posOffset>226060</wp:posOffset>
            </wp:positionV>
            <wp:extent cx="570039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Underwriters’ Warrants Outstanding, January 1,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Warrants issued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Underwriters’ Warrants Outstanding,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70039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73" w:lineRule="exact"/>
        <w:rPr>
          <w:sz w:val="20"/>
          <w:szCs w:val="20"/>
          <w:color w:val="auto"/>
        </w:rPr>
      </w:pPr>
    </w:p>
    <w:p>
      <w:pPr>
        <w:jc w:val="right"/>
        <w:ind w:right="22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Warrants</w:t>
      </w:r>
    </w:p>
    <w:p>
      <w:pPr>
        <w:spacing w:after="0" w:line="36"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570,250</w:t>
      </w:r>
    </w:p>
    <w:p>
      <w:pPr>
        <w:spacing w:after="0" w:line="4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570,250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31750</wp:posOffset>
            </wp:positionV>
            <wp:extent cx="10801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ectPr>
          <w:pgSz w:w="11900" w:h="16838" w:orient="portrait"/>
          <w:cols w:equalWidth="0" w:num="2">
            <w:col w:w="7000" w:space="720"/>
            <w:col w:w="1439"/>
          </w:cols>
          <w:pgMar w:left="1300" w:top="125" w:right="1440" w:bottom="1440" w:gutter="0" w:footer="0" w:header="0"/>
        </w:sectPr>
      </w:pPr>
    </w:p>
    <w:bookmarkStart w:id="23" w:name="page24"/>
    <w:bookmarkEnd w:id="23"/>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nine months ended September 30, 2023, private placement warrant holders exercised 3,126,472 warrants on a cashless basis, with the Company agreeing to issue 1,100,000 shares of Common Stock in connection with such exercise. There were 1,501,386 and 4,627,858 private warrants outstanding as of September 30,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nine months ended September 30, 2023, Penny Warrant holders exercised 2,000,000 warrants on a cashless basis, with the Company agreeing to issue 1,996,323 shares of Common Stock in connection with such exercise. During the three months ended September 30, 2023, there were no exercises of Penny Warrants. During the nine months ended September 30, 2023, the Company issued additional Penny Warrants to purchase 501 shares of Common Stock to the Term Loan Lenders in accordance with the anti-dilution provisions of the Penny Warrants with respect to certain sales made by the Company under the ChEF Equity Facility. The Company concluded the Penny Warrants are not considered indexed to the Company’s Common Stock and to be accounted for as liabilities under ASC</w:t>
      </w:r>
    </w:p>
    <w:p>
      <w:pPr>
        <w:spacing w:after="0" w:line="5" w:lineRule="exact"/>
        <w:rPr>
          <w:sz w:val="20"/>
          <w:szCs w:val="20"/>
          <w:color w:val="auto"/>
        </w:rPr>
      </w:pPr>
    </w:p>
    <w:p>
      <w:pPr>
        <w:ind w:firstLine="8"/>
        <w:spacing w:after="0" w:line="260" w:lineRule="auto"/>
        <w:tabs>
          <w:tab w:leader="none" w:pos="381"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such, the estimated fair value is recognized as a liability each reporting period, with changes in the fair value recognized within income each period. There were no Term Loan Warrants outstanding prior to the merger.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line="45" w:lineRule="exact"/>
        <w:rPr>
          <w:sz w:val="20"/>
          <w:szCs w:val="20"/>
          <w:color w:val="auto"/>
        </w:rPr>
      </w:pPr>
    </w:p>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8"/>
                <w:szCs w:val="18"/>
                <w:color w:val="auto"/>
              </w:rPr>
              <w:t>As of</w:t>
            </w:r>
          </w:p>
        </w:tc>
        <w:tc>
          <w:tcPr>
            <w:tcW w:w="140" w:type="dxa"/>
            <w:vAlign w:val="bottom"/>
          </w:tcPr>
          <w:p>
            <w:pPr>
              <w:spacing w:after="0"/>
              <w:rPr>
                <w:sz w:val="18"/>
                <w:szCs w:val="18"/>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As of</w:t>
            </w:r>
          </w:p>
        </w:tc>
      </w:tr>
      <w:tr>
        <w:trPr>
          <w:trHeight w:val="237"/>
        </w:trPr>
        <w:tc>
          <w:tcPr>
            <w:tcW w:w="3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September 30, 2023</w:t>
            </w:r>
          </w:p>
        </w:tc>
        <w:tc>
          <w:tcPr>
            <w:tcW w:w="14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December 31, 2022</w:t>
            </w:r>
          </w:p>
        </w:tc>
      </w:tr>
      <w:tr>
        <w:trPr>
          <w:trHeight w:val="21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 price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Term (in years)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113.00%</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Risk-free rate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Investor Warrants issued in the June 2023 Offering:</w:t>
      </w:r>
    </w:p>
    <w:p>
      <w:pPr>
        <w:spacing w:after="0" w:line="200" w:lineRule="exact"/>
        <w:rPr>
          <w:sz w:val="20"/>
          <w:szCs w:val="20"/>
          <w:color w:val="auto"/>
        </w:rPr>
      </w:pP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8"/>
                <w:szCs w:val="18"/>
                <w:color w:val="auto"/>
              </w:rPr>
              <w:t>As of</w:t>
            </w:r>
          </w:p>
        </w:tc>
      </w:tr>
      <w:tr>
        <w:trPr>
          <w:trHeight w:val="237"/>
        </w:trPr>
        <w:tc>
          <w:tcPr>
            <w:tcW w:w="4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September 30, 2023</w:t>
            </w: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3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 price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Term (in years)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Risk-free rate</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warrants from January 1, 2023 to September 30, 2023:</w:t>
      </w:r>
    </w:p>
    <w:p>
      <w:pPr>
        <w:sectPr>
          <w:pgSz w:w="11900" w:h="16883" w:orient="portrait"/>
          <w:cols w:equalWidth="0" w:num="1">
            <w:col w:w="11240"/>
          </w:cols>
          <w:pgMar w:left="320" w:top="661" w:right="3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563245</wp:posOffset>
            </wp:positionV>
            <wp:extent cx="498919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Warrants Outstanding, January 1, 2023</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Warrants Outstanding,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498919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563245</wp:posOffset>
            </wp:positionV>
            <wp:extent cx="498919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Warrants Outstanding, January 1, 2023</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September 30,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563245</wp:posOffset>
            </wp:positionV>
            <wp:extent cx="498919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Warrants Outstanding, January 1, 2023</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issued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September 30,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Investor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563245</wp:posOffset>
            </wp:positionV>
            <wp:extent cx="498919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Warrants Outstanding, January 1, 2023</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Warrants Outstanding,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Common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4,627,858</w:t>
      </w:r>
    </w:p>
    <w:p>
      <w:pPr>
        <w:spacing w:after="0" w:line="35"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(3,126,472)</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39370</wp:posOffset>
            </wp:positionV>
            <wp:extent cx="951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Common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9,487,500</w:t>
      </w:r>
    </w:p>
    <w:p>
      <w:pPr>
        <w:spacing w:after="0" w:line="23"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(64,971)</w:t>
      </w:r>
    </w:p>
    <w:p>
      <w:pPr>
        <w:spacing w:after="0" w:line="23"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951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Common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2,593,056</w:t>
      </w:r>
    </w:p>
    <w:p>
      <w:pPr>
        <w:spacing w:after="0" w:line="35"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(2,000,000)</w:t>
      </w:r>
    </w:p>
    <w:p>
      <w:pPr>
        <w:spacing w:after="0" w:line="35"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501</w:t>
      </w:r>
    </w:p>
    <w:p>
      <w:pPr>
        <w:spacing w:after="0" w:line="50"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593,557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951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31750</wp:posOffset>
            </wp:positionV>
            <wp:extent cx="951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-130175</wp:posOffset>
            </wp:positionV>
            <wp:extent cx="9518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Common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11,405,000</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(273,100)</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11,131,900</w:t>
      </w:r>
    </w:p>
    <w:p>
      <w:pPr>
        <w:sectPr>
          <w:pgSz w:w="11900" w:h="16883" w:orient="portrait"/>
          <w:cols w:equalWidth="0" w:num="2">
            <w:col w:w="6620" w:space="720"/>
            <w:col w:w="3900"/>
          </w:cols>
          <w:pgMar w:left="320" w:top="661" w:right="339" w:bottom="0" w:gutter="0" w:footer="0" w:header="0"/>
          <w:type w:val="continuous"/>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4614545</wp:posOffset>
            </wp:positionH>
            <wp:positionV relativeFrom="page">
              <wp:posOffset>97155</wp:posOffset>
            </wp:positionV>
            <wp:extent cx="9518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page">
              <wp:posOffset>4614545</wp:posOffset>
            </wp:positionH>
            <wp:positionV relativeFrom="page">
              <wp:posOffset>114300</wp:posOffset>
            </wp:positionV>
            <wp:extent cx="951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1865" cy="8890"/>
                    </a:xfrm>
                    <a:prstGeom prst="rect">
                      <a:avLst/>
                    </a:prstGeom>
                    <a:noFill/>
                  </pic:spPr>
                </pic:pic>
              </a:graphicData>
            </a:graphic>
          </wp:anchor>
        </w:drawing>
        <w:t>The following table presents a roll forward of the aggregate fair values of the Company’s warrant liabilities for which fair value is determined by Level 3 Inputs. The only class of warrants that were determined to be Level 3 are the term loan warrants.</w:t>
      </w:r>
    </w:p>
    <w:p>
      <w:pPr>
        <w:sectPr>
          <w:pgSz w:w="11900" w:h="16838" w:orient="portrait"/>
          <w:cols w:equalWidth="0" w:num="1">
            <w:col w:w="11240"/>
          </w:cols>
          <w:pgMar w:left="32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Balances,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498919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 in fair value of warrants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Balances,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-115570</wp:posOffset>
            </wp:positionV>
            <wp:extent cx="498919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Liability</w:t>
      </w:r>
    </w:p>
    <w:p>
      <w:pPr>
        <w:spacing w:after="0" w:line="22" w:lineRule="exact"/>
        <w:rPr>
          <w:sz w:val="20"/>
          <w:szCs w:val="20"/>
          <w:color w:val="auto"/>
        </w:rPr>
      </w:pPr>
    </w:p>
    <w:p>
      <w:pPr>
        <w:ind w:left="1020" w:hanging="1013"/>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30,841</w:t>
      </w:r>
    </w:p>
    <w:p>
      <w:pPr>
        <w:spacing w:after="0" w:line="3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13,762</w:t>
      </w:r>
    </w:p>
    <w:p>
      <w:pPr>
        <w:spacing w:after="0" w:line="21"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(11,901)</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(18,642)</w:t>
      </w:r>
    </w:p>
    <w:p>
      <w:pPr>
        <w:spacing w:after="0" w:line="49" w:lineRule="exact"/>
        <w:rPr>
          <w:sz w:val="20"/>
          <w:szCs w:val="20"/>
          <w:color w:val="auto"/>
        </w:rPr>
      </w:pPr>
    </w:p>
    <w:p>
      <w:pPr>
        <w:ind w:left="1020" w:hanging="101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14,060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951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395" w:right="33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type w:val="continuous"/>
        </w:sectPr>
      </w:pPr>
    </w:p>
    <w:bookmarkStart w:id="26" w:name="page27"/>
    <w:bookmarkEnd w:id="26"/>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authorized to issue up to 170,000,000 shares of Common Stock. Common stockholders are entitled to dividends if and when declared by the Board of Directors of the Company subject to the rights of the preferred stockholders. As of September 30, 2023 and December 31, 2022, there were 58,880,712 and 43,272,728 shares issued and outstanding. No dividends on Common Stock had been declared by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2023 and 2022, the Company reserved shares of Common Stock for issuance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September 30, 2023</w:t>
            </w: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September 30, 2022</w:t>
            </w:r>
          </w:p>
        </w:tc>
      </w:tr>
      <w:tr>
        <w:trPr>
          <w:trHeight w:val="216"/>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3,274,940</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3,665,099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58,880,712</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38,576,658</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23,219,622</w:t>
            </w: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Earnout shares</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40,000,000</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issuance</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4,470,153</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639,395</w:t>
            </w:r>
          </w:p>
        </w:tc>
        <w:tc>
          <w:tcPr>
            <w:tcW w:w="80" w:type="dxa"/>
            <w:vAlign w:val="bottom"/>
            <w:shd w:val="clear" w:color="auto" w:fill="CCEEFF"/>
          </w:tcPr>
          <w:p>
            <w:pPr>
              <w:spacing w:after="0"/>
              <w:rPr>
                <w:sz w:val="21"/>
                <w:szCs w:val="21"/>
                <w:color w:val="auto"/>
              </w:rPr>
            </w:pPr>
          </w:p>
        </w:tc>
      </w:tr>
      <w:tr>
        <w:trPr>
          <w:trHeight w:val="217"/>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129,845,427</w:t>
            </w:r>
          </w:p>
        </w:tc>
        <w:tc>
          <w:tcPr>
            <w:tcW w:w="280" w:type="dxa"/>
            <w:vAlign w:val="bottom"/>
            <w:tcBorders>
              <w:top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42,881,152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98,500 shares pursuant to the Purchase Agreement with CCM LLC for aggregate net proceeds to the Company of $671 from the period January 1, 2023 through September 30,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Share-based compensation expense for options and restricted stock units (“RSUs”) totaling $6,387 and $1,155 was recognized in the Company’s condensed consolidated statements of operations for the nine months ended September 30, 2023 and 2022, respectively. Share-based compensation expense for options and RSUs totaling $946 and $436 was recognized in the Company’s condensed consolidated statements of operations for the three months ended September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for the nine months ended September 30, 2023 and 2022 was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8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1,033</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5,168</w:t>
            </w: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r>
      <w:tr>
        <w:trPr>
          <w:trHeight w:val="229"/>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20" w:type="dxa"/>
            <w:vAlign w:val="bottom"/>
            <w:gridSpan w:val="3"/>
          </w:tcPr>
          <w:p>
            <w:pPr>
              <w:spacing w:after="0"/>
              <w:rPr>
                <w:sz w:val="20"/>
                <w:szCs w:val="20"/>
                <w:color w:val="auto"/>
              </w:rPr>
            </w:pPr>
            <w:r>
              <w:rPr>
                <w:rFonts w:ascii="Arial" w:cs="Arial" w:eastAsia="Arial" w:hAnsi="Arial"/>
                <w:sz w:val="18"/>
                <w:szCs w:val="18"/>
                <w:color w:val="auto"/>
                <w:w w:val="92"/>
              </w:rPr>
              <w:t>Share-based compensation for the three months ended September 30, 2023 and 2022 was allocated as follows: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4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78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3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7"/>
          </w:tcPr>
          <w:p>
            <w:pPr>
              <w:spacing w:after="0"/>
              <w:rPr>
                <w:sz w:val="20"/>
                <w:szCs w:val="20"/>
                <w:color w:val="auto"/>
              </w:rPr>
            </w:pPr>
            <w:r>
              <w:rPr>
                <w:rFonts w:ascii="Arial" w:cs="Arial" w:eastAsia="Arial" w:hAnsi="Arial"/>
                <w:sz w:val="18"/>
                <w:szCs w:val="18"/>
                <w:color w:val="auto"/>
              </w:rPr>
              <w:t>A summary of the Company’s option activity and related information follows: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Weighted-Average</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Weighted-Average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Number of Options</w:t>
            </w:r>
          </w:p>
        </w:tc>
        <w:tc>
          <w:tcPr>
            <w:tcW w:w="160" w:type="dxa"/>
            <w:vAlign w:val="bottom"/>
          </w:tcPr>
          <w:p>
            <w:pPr>
              <w:spacing w:after="0"/>
              <w:rPr>
                <w:sz w:val="18"/>
                <w:szCs w:val="18"/>
                <w:color w:val="auto"/>
              </w:rPr>
            </w:pPr>
          </w:p>
        </w:tc>
        <w:tc>
          <w:tcPr>
            <w:tcW w:w="1820" w:type="dxa"/>
            <w:vAlign w:val="bottom"/>
            <w:gridSpan w:val="3"/>
          </w:tcPr>
          <w:p>
            <w:pPr>
              <w:jc w:val="right"/>
              <w:ind w:right="420"/>
              <w:spacing w:after="0"/>
              <w:rPr>
                <w:sz w:val="20"/>
                <w:szCs w:val="20"/>
                <w:color w:val="auto"/>
              </w:rPr>
            </w:pPr>
            <w:r>
              <w:rPr>
                <w:rFonts w:ascii="Arial" w:cs="Arial" w:eastAsia="Arial" w:hAnsi="Arial"/>
                <w:sz w:val="18"/>
                <w:szCs w:val="18"/>
                <w:color w:val="auto"/>
                <w:w w:val="92"/>
              </w:rPr>
              <w:t>Weighted-Average</w:t>
            </w:r>
          </w:p>
        </w:tc>
        <w:tc>
          <w:tcPr>
            <w:tcW w:w="12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Grant Date Fair</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 (in</w:t>
            </w:r>
          </w:p>
        </w:tc>
        <w:tc>
          <w:tcPr>
            <w:tcW w:w="1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Aggregate intrinsic</w:t>
            </w:r>
          </w:p>
        </w:tc>
      </w:tr>
      <w:tr>
        <w:trPr>
          <w:trHeight w:val="237"/>
        </w:trPr>
        <w:tc>
          <w:tcPr>
            <w:tcW w:w="2500" w:type="dxa"/>
            <w:vAlign w:val="bottom"/>
          </w:tcPr>
          <w:p>
            <w:pPr>
              <w:spacing w:after="0"/>
              <w:rPr>
                <w:sz w:val="20"/>
                <w:szCs w:val="20"/>
                <w:color w:val="auto"/>
              </w:rPr>
            </w:pPr>
          </w:p>
        </w:tc>
        <w:tc>
          <w:tcPr>
            <w:tcW w:w="1460" w:type="dxa"/>
            <w:vAlign w:val="bottom"/>
          </w:tcPr>
          <w:p>
            <w:pPr>
              <w:jc w:val="right"/>
              <w:ind w:right="551"/>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Exercise Price</w:t>
            </w:r>
          </w:p>
        </w:tc>
        <w:tc>
          <w:tcPr>
            <w:tcW w:w="120" w:type="dxa"/>
            <w:vAlign w:val="bottom"/>
          </w:tcPr>
          <w:p>
            <w:pPr>
              <w:spacing w:after="0"/>
              <w:rPr>
                <w:sz w:val="20"/>
                <w:szCs w:val="20"/>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Value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years)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value</w:t>
            </w:r>
          </w:p>
        </w:tc>
      </w:tr>
      <w:tr>
        <w:trPr>
          <w:trHeight w:val="216"/>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Options granted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602,275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(580,760)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0.89</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3,665,099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2023</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3,642,958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35,989</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Options granted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143,607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3.82</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2500" w:type="dxa"/>
            <w:vAlign w:val="bottom"/>
          </w:tcPr>
          <w:p>
            <w:pPr>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(208,192)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0.96</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3,274,940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2023</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2,235,282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3,274,940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r>
    </w:tbl>
    <w:p>
      <w:pPr>
        <w:spacing w:after="0" w:line="202" w:lineRule="exact"/>
        <w:rPr>
          <w:sz w:val="20"/>
          <w:szCs w:val="20"/>
          <w:color w:val="auto"/>
        </w:rPr>
      </w:pPr>
    </w:p>
    <w:p>
      <w:pPr>
        <w:ind w:left="460" w:right="20" w:hanging="331"/>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Number of options and weighted average exercise price has been adjusted to reflect the exchange of Legacy Dragonfly’s stock options for New Dragonfly stock options at an exchange ratio of approximately 1.182 as a result of the merger. See Note 1 for additional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immediately. The fair value of the restricted stock units on the date of grant was $3,464 and was recorded as compensation expense during the nine months ended September 30, 2023. During the first nine months of 2023, the Company granted an additional 37,000 restricted stock units which have not vested. The fair value of the 37,000 unvested restricted stock units was $121 and an expense of $14 was recorded during the nine months ended September 30, 2023. During the three months ended September 30, 2023, the Company granted an additional 9,000 restricted stock units which have not vested. The fair value of the 9,000 restricted stock units on the day of grant was $16 and no expense was recognized during the three months ended September 30, 2023.</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416" w:gutter="0" w:footer="0" w:header="0"/>
        </w:sectPr>
      </w:pPr>
    </w:p>
    <w:bookmarkStart w:id="28" w:name="page29"/>
    <w:bookmarkEnd w:id="28"/>
    <w:p>
      <w:pPr>
        <w:jc w:val="center"/>
        <w:ind w:left="360" w:right="208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grants of restricted stock units prior to October 7, 2022. The following table presents the restricted stock units activity for the nine months ended September 30, 2023:</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Unvested shares at January 1,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 and unvested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Unvested shares, September 30, 2023</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Vested and exercisable as of September 30, 2023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w w:val="99"/>
              </w:rPr>
              <w:t>Weighted-Average</w:t>
            </w:r>
          </w:p>
        </w:tc>
      </w:tr>
      <w:tr>
        <w:trPr>
          <w:trHeight w:val="237"/>
        </w:trPr>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Number of Shares</w:t>
            </w: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Fair Market Value</w:t>
            </w:r>
          </w:p>
        </w:tc>
      </w:tr>
      <w:tr>
        <w:trPr>
          <w:trHeight w:val="202"/>
        </w:trPr>
        <w:tc>
          <w:tcPr>
            <w:tcW w:w="1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180,000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14.00</w:t>
            </w:r>
          </w:p>
        </w:tc>
        <w:tc>
          <w:tcPr>
            <w:tcW w:w="20" w:type="dxa"/>
            <w:vAlign w:val="bottom"/>
          </w:tcPr>
          <w:p>
            <w:pPr>
              <w:spacing w:after="0"/>
              <w:rPr>
                <w:sz w:val="17"/>
                <w:szCs w:val="17"/>
                <w:color w:val="auto"/>
              </w:rPr>
            </w:pPr>
          </w:p>
        </w:tc>
      </w:tr>
      <w:tr>
        <w:trPr>
          <w:trHeight w:val="216"/>
        </w:trPr>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498,998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7.19</w:t>
            </w:r>
          </w:p>
        </w:tc>
      </w:tr>
      <w:tr>
        <w:trPr>
          <w:trHeight w:val="251"/>
        </w:trPr>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(461,998)</w:t>
            </w:r>
          </w:p>
        </w:tc>
        <w:tc>
          <w:tcPr>
            <w:tcW w:w="12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29"/>
        </w:trPr>
        <w:tc>
          <w:tcPr>
            <w:tcW w:w="1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217,000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12.17</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9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-890905</wp:posOffset>
            </wp:positionV>
            <wp:extent cx="606044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-607695</wp:posOffset>
            </wp:positionV>
            <wp:extent cx="606044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044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-290830</wp:posOffset>
            </wp:positionV>
            <wp:extent cx="606044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661" w:right="339" w:bottom="1440" w:gutter="0" w:footer="0" w:header="0"/>
          <w:type w:val="continuous"/>
        </w:sectPr>
      </w:pP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there were 4,470,153 shares of unissued authorized and available for future awards under the 2022 Equity Incentive Plan and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the </w:t>
      </w:r>
      <w:r>
        <w:rPr>
          <w:rFonts w:ascii="Arial" w:cs="Arial" w:eastAsia="Arial" w:hAnsi="Arial"/>
          <w:sz w:val="18"/>
          <w:szCs w:val="18"/>
          <w:i w:val="1"/>
          <w:iCs w:val="1"/>
          <w:color w:val="auto"/>
        </w:rPr>
        <w:t>two</w:t>
      </w:r>
      <w:r>
        <w:rPr>
          <w:rFonts w:ascii="Arial" w:cs="Arial" w:eastAsia="Arial" w:hAnsi="Arial"/>
          <w:sz w:val="18"/>
          <w:szCs w:val="18"/>
          <w:color w:val="auto"/>
        </w:rPr>
        <w:t xml:space="preserve">-class method when computing net loss per share as the Company has issued warrants that meet the definition of participating securities. The </w:t>
      </w:r>
      <w:r>
        <w:rPr>
          <w:rFonts w:ascii="Arial" w:cs="Arial" w:eastAsia="Arial" w:hAnsi="Arial"/>
          <w:sz w:val="18"/>
          <w:szCs w:val="18"/>
          <w:i w:val="1"/>
          <w:iCs w:val="1"/>
          <w:color w:val="auto"/>
        </w:rPr>
        <w:t>two</w:t>
      </w:r>
      <w:r>
        <w:rPr>
          <w:rFonts w:ascii="Arial" w:cs="Arial" w:eastAsia="Arial" w:hAnsi="Arial"/>
          <w:sz w:val="18"/>
          <w:szCs w:val="18"/>
          <w:color w:val="auto"/>
        </w:rPr>
        <w:t xml:space="preserve">-class method determines net loss per share for each class of common and participating securities according to dividends declared or accumulated and participation rights in undistributed earnings. The </w:t>
      </w:r>
      <w:r>
        <w:rPr>
          <w:rFonts w:ascii="Arial" w:cs="Arial" w:eastAsia="Arial" w:hAnsi="Arial"/>
          <w:sz w:val="18"/>
          <w:szCs w:val="18"/>
          <w:i w:val="1"/>
          <w:iCs w:val="1"/>
          <w:color w:val="auto"/>
        </w:rPr>
        <w:t>two</w:t>
      </w:r>
      <w:r>
        <w:rPr>
          <w:rFonts w:ascii="Arial" w:cs="Arial" w:eastAsia="Arial" w:hAnsi="Arial"/>
          <w:sz w:val="18"/>
          <w:szCs w:val="18"/>
          <w:color w:val="auto"/>
        </w:rPr>
        <w:t>-class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by the weighted average number of common shares outstanding. In addition, in computing the dilutive effect of convertible securities, the numerator is adjusted to add back any convertible preferred dividends. Diluted net loss per common share is computed by dividing net loss attributable to common stockholders by the weighted average number of common shares that would have been outstanding during the period assuming the issuance of common shares for all potential dilutive common shares outstanding. Potential common shares consist of potential future exercises of outstanding stock options and Common Stock warrants. Because the inclusion of potential common shares would be anti-dilutive for all periods presented, they have been excluded from the calculation.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Common Stock warrants contractually entitle the holders of such securities to participate in dividends but do </w:t>
      </w:r>
      <w:r>
        <w:rPr>
          <w:rFonts w:ascii="Arial" w:cs="Arial" w:eastAsia="Arial" w:hAnsi="Arial"/>
          <w:sz w:val="18"/>
          <w:szCs w:val="18"/>
          <w:i w:val="1"/>
          <w:iCs w:val="1"/>
          <w:color w:val="auto"/>
        </w:rPr>
        <w:t>not</w:t>
      </w:r>
      <w:r>
        <w:rPr>
          <w:rFonts w:ascii="Arial" w:cs="Arial" w:eastAsia="Arial" w:hAnsi="Arial"/>
          <w:sz w:val="18"/>
          <w:szCs w:val="18"/>
          <w:color w:val="auto"/>
        </w:rPr>
        <w:t xml:space="preserve"> contractually require the holders of such securities to participate in losses of the Company. Accordingly, in periods in which the Company reports a net loss, such losses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assumed to have been issued if their effect is anti-dilutive. The Company reported a net loss attributable to common stockholders for the three and nine months ended September 30, 2023 and 2022.</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information needed to compute basic and diluted loss per share for the three and nine months ended September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w w:val="99"/>
              </w:rPr>
              <w:t>For The Three Months Ended</w:t>
            </w:r>
          </w:p>
        </w:tc>
        <w:tc>
          <w:tcPr>
            <w:tcW w:w="300" w:type="dxa"/>
            <w:vAlign w:val="bottom"/>
          </w:tcPr>
          <w:p>
            <w:pPr>
              <w:spacing w:after="0"/>
              <w:rPr>
                <w:sz w:val="18"/>
                <w:szCs w:val="18"/>
                <w:color w:val="auto"/>
              </w:rPr>
            </w:pPr>
          </w:p>
        </w:tc>
        <w:tc>
          <w:tcPr>
            <w:tcW w:w="30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For The Nine Months Ended</w:t>
            </w:r>
          </w:p>
        </w:tc>
      </w:tr>
      <w:tr>
        <w:trPr>
          <w:trHeight w:val="241"/>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1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(10,023)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(3,689)</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(16,831)</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(7,456)</w:t>
            </w:r>
          </w:p>
        </w:tc>
      </w:tr>
      <w:tr>
        <w:trPr>
          <w:trHeight w:val="197"/>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outstanding used to</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4100" w:type="dxa"/>
            <w:vAlign w:val="bottom"/>
          </w:tcPr>
          <w:p>
            <w:pPr>
              <w:spacing w:after="0"/>
              <w:rPr>
                <w:sz w:val="20"/>
                <w:szCs w:val="20"/>
                <w:color w:val="auto"/>
              </w:rPr>
            </w:pPr>
            <w:r>
              <w:rPr>
                <w:rFonts w:ascii="Arial" w:cs="Arial" w:eastAsia="Arial" w:hAnsi="Arial"/>
                <w:sz w:val="18"/>
                <w:szCs w:val="18"/>
                <w:color w:val="auto"/>
              </w:rPr>
              <w:t>compute net loss per share, basic and diluted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58,736,013</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38,129,422</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50,166,320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37,098,990</w:t>
            </w:r>
          </w:p>
        </w:tc>
      </w:t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w w:val="99"/>
              </w:rPr>
              <w:t>Net loss per share of Common Stock, basic and</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1"/>
        </w:trPr>
        <w:tc>
          <w:tcPr>
            <w:tcW w:w="41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29" w:name="page30"/>
    <w:bookmarkEnd w:id="29"/>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number of potential shares of Common Stock that have been excluded from diluted net loss per share because their effect was anti-dilutive:</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9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59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23,219,622</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217,000</w:t>
            </w: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3,274,940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3,665,099</w:t>
            </w:r>
          </w:p>
        </w:tc>
        <w:tc>
          <w:tcPr>
            <w:tcW w:w="80" w:type="dxa"/>
            <w:vAlign w:val="bottom"/>
            <w:shd w:val="clear" w:color="auto" w:fill="CCEEFF"/>
          </w:tcPr>
          <w:p>
            <w:pPr>
              <w:spacing w:after="0"/>
              <w:rPr>
                <w:sz w:val="21"/>
                <w:szCs w:val="21"/>
                <w:color w:val="auto"/>
              </w:rPr>
            </w:pPr>
          </w:p>
        </w:tc>
      </w:tr>
      <w:tr>
        <w:trPr>
          <w:trHeight w:val="216"/>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number of common shares-basic</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26,711,562</w:t>
            </w:r>
          </w:p>
        </w:tc>
        <w:tc>
          <w:tcPr>
            <w:tcW w:w="280" w:type="dxa"/>
            <w:vAlign w:val="bottom"/>
            <w:tcBorders>
              <w:top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3,665,099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tax provision and the resulting effective tax rate for interim periods is determined based upon its estimated annual effective tax rate adjusted for the effect of discrete items arising in that quarter. The Company recorded an income tax expense (benefit) of $0 and ($1,700) during the nine months ended September 30,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Subsequent to the quarter ended September 30, 2023, we issued and sold approximately 490,000 shares of our common stock under the ChEF Equity Facility, resulting in net cash proceeds of $607,973. As a result, subsequent to the quarter ended September 30, 2023, the Company issued additional Penny Warrants to purchase 4,277 shares of common stock to the Term Loan Lenders in accordance with the anti-dilution provisions of the Penny Warrants with respect to certain sales made by the Company under the ChEF Equity Facility.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References in this report (the “</w:t>
      </w:r>
      <w:r>
        <w:rPr>
          <w:rFonts w:ascii="Arial" w:cs="Arial" w:eastAsia="Arial" w:hAnsi="Arial"/>
          <w:sz w:val="18"/>
          <w:szCs w:val="18"/>
          <w:b w:val="1"/>
          <w:bCs w:val="1"/>
          <w:i w:val="1"/>
          <w:iCs w:val="1"/>
          <w:color w:val="auto"/>
        </w:rPr>
        <w:t>Quarterly Report</w:t>
      </w:r>
      <w:r>
        <w:rPr>
          <w:rFonts w:ascii="Arial" w:cs="Arial" w:eastAsia="Arial" w:hAnsi="Arial"/>
          <w:sz w:val="18"/>
          <w:szCs w:val="18"/>
          <w:i w:val="1"/>
          <w:iCs w:val="1"/>
          <w:color w:val="auto"/>
        </w:rPr>
        <w:t>”) to “we,” “us,” “our” or the “Company” refer to Dragonfly Energy Holdings Corp., a Nevada corporation. References to “Legacy Dragonfly” refer to Dragonfly Energy Corp., a Nevada corporation and our wholly-owned subsidiary.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2022 included in our Annual Report on Form 10-K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on April 17, 2023, as amended May 1, 2023 (the “</w:t>
      </w:r>
      <w:r>
        <w:rPr>
          <w:rFonts w:ascii="Arial" w:cs="Arial" w:eastAsia="Arial" w:hAnsi="Arial"/>
          <w:sz w:val="16"/>
          <w:szCs w:val="16"/>
          <w:b w:val="1"/>
          <w:bCs w:val="1"/>
          <w:i w:val="1"/>
          <w:iCs w:val="1"/>
          <w:color w:val="auto"/>
        </w:rPr>
        <w:t>Annual Report</w:t>
      </w:r>
      <w:r>
        <w:rPr>
          <w:rFonts w:ascii="Arial" w:cs="Arial" w:eastAsia="Arial" w:hAnsi="Arial"/>
          <w:sz w:val="16"/>
          <w:szCs w:val="16"/>
          <w:i w:val="1"/>
          <w:iCs w:val="1"/>
          <w:color w:val="auto"/>
        </w:rPr>
        <w: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made pursuant to the safe harbor provisions of the Private Securities Litigation Reform Act of 1995 under Section 27A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Section 21E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our Business Combination, which may be affected by, among other things, the factors listed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increase market penetration into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addressable markets that we intend to target do not grow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any members of our senior management team or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any relationships with key suppliers, including suppliers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any relationships with key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our patents and other intellectual property;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to successfully optimize solid-state cells or to produce commercially viable solid-state cells in a timely manner or at all, or to scale to mass production;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to produce lithium battery cells in the United States in a timely manner or at all, or to scale to mass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maintain the listing of our common stock on the Nasdaq Global Market and our public warrants on the Nasdaq Capital Market;</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(including an economic slowdown or inflationary pressures);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sell the desired amounts of shares of common stock at desired prices under our equity facility;</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potential for events or circumstances that result in our failure to timely achieve the anticipated benefits of our customer arrangements with THOR Industries and its affiliate brands (including Keystone RV Company (“</w:t>
      </w:r>
      <w:r>
        <w:rPr>
          <w:rFonts w:ascii="Arial" w:cs="Arial" w:eastAsia="Arial" w:hAnsi="Arial"/>
          <w:sz w:val="17"/>
          <w:szCs w:val="17"/>
          <w:b w:val="1"/>
          <w:bCs w:val="1"/>
          <w:color w:val="auto"/>
        </w:rPr>
        <w:t>Keystone</w:t>
      </w:r>
      <w:r>
        <w:rPr>
          <w:rFonts w:ascii="Arial" w:cs="Arial" w:eastAsia="Arial" w:hAnsi="Arial"/>
          <w:sz w:val="17"/>
          <w:szCs w:val="17"/>
          <w:color w:val="auto"/>
        </w:rPr>
        <w:t>”)), including Keystone’s decision in July 2023, that, due to weaker demand for its products and their subsequent focus on reducing costs, it would no longer install our storage solutions as standard equipment, but rather return to offering those solutions as an option to dealers and consumers;</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accuracy of our projections and estimates regarding our expenses, capital requirements, cash utilization, and need for additional financing;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retain these customers for future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reliance on two suppliers for our lithium iron phosphate cells and a single supplier for the manufacture of our battery management system;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dependence on a single manufacturing facility.</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Arial" w:cs="Arial" w:eastAsia="Arial" w:hAnsi="Arial"/>
          <w:sz w:val="17"/>
          <w:szCs w:val="17"/>
          <w:i w:val="1"/>
          <w:iCs w:val="1"/>
          <w:color w:val="auto"/>
        </w:rPr>
        <w:t>Part I—Item 1A—Risk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of our Annual Report, for additional risks which could adversely impact our business and financial performance.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manufacturer of non-toxic deep cycle lithium-ion batteries that are designed to displace lead acid batteries in a number of different storage applications and end markets including recreational vehicle (“</w:t>
      </w:r>
      <w:r>
        <w:rPr>
          <w:rFonts w:ascii="Arial" w:cs="Arial" w:eastAsia="Arial" w:hAnsi="Arial"/>
          <w:sz w:val="18"/>
          <w:szCs w:val="18"/>
          <w:b w:val="1"/>
          <w:bCs w:val="1"/>
          <w:color w:val="auto"/>
        </w:rPr>
        <w:t>RV</w:t>
      </w:r>
      <w:r>
        <w:rPr>
          <w:rFonts w:ascii="Arial" w:cs="Arial" w:eastAsia="Arial" w:hAnsi="Arial"/>
          <w:sz w:val="18"/>
          <w:szCs w:val="18"/>
          <w:color w:val="auto"/>
        </w:rPr>
        <w:t>”), marine vessel, and solar and off-grid industries, with disruptive solid-state cell technology currently under development.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2020, we have sold over 281,000 batteries. For the quarters ended September 30, 2023, and September 30, 2022, we sold 14,886 and 31,375 batteries, respectively, and had $15.9 million and $26.1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w:t>
      </w:r>
      <w:r>
        <w:rPr>
          <w:rFonts w:ascii="Arial" w:cs="Arial" w:eastAsia="Arial" w:hAnsi="Arial"/>
          <w:sz w:val="18"/>
          <w:szCs w:val="18"/>
          <w:b w:val="1"/>
          <w:bCs w:val="1"/>
          <w:color w:val="auto"/>
        </w:rPr>
        <w:t>DTC</w:t>
      </w:r>
      <w:r>
        <w:rPr>
          <w:rFonts w:ascii="Arial" w:cs="Arial" w:eastAsia="Arial" w:hAnsi="Arial"/>
          <w:sz w:val="18"/>
          <w:szCs w:val="18"/>
          <w:color w:val="auto"/>
        </w:rPr>
        <w:t>”) and “Dragonfly” branded batteries to original equipment manufacturers (“</w:t>
      </w:r>
      <w:r>
        <w:rPr>
          <w:rFonts w:ascii="Arial" w:cs="Arial" w:eastAsia="Arial" w:hAnsi="Arial"/>
          <w:sz w:val="18"/>
          <w:szCs w:val="18"/>
          <w:b w:val="1"/>
          <w:bCs w:val="1"/>
          <w:color w:val="auto"/>
        </w:rPr>
        <w:t>OEMs</w:t>
      </w:r>
      <w:r>
        <w:rPr>
          <w:rFonts w:ascii="Arial" w:cs="Arial" w:eastAsia="Arial" w:hAnsi="Arial"/>
          <w:sz w:val="18"/>
          <w:szCs w:val="18"/>
          <w:color w:val="auto"/>
        </w:rPr>
        <w: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our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our conventional lithium iron phosphate (“</w:t>
      </w:r>
      <w:r>
        <w:rPr>
          <w:rFonts w:ascii="Arial" w:cs="Arial" w:eastAsia="Arial" w:hAnsi="Arial"/>
          <w:sz w:val="18"/>
          <w:szCs w:val="18"/>
          <w:b w:val="1"/>
          <w:bCs w:val="1"/>
          <w:color w:val="auto"/>
        </w:rPr>
        <w:t>LFP</w:t>
      </w:r>
      <w:r>
        <w:rPr>
          <w:rFonts w:ascii="Arial" w:cs="Arial" w:eastAsia="Arial" w:hAnsi="Arial"/>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2023, we had cash totaling $13.2 million. Our net loss for the quarter ended September 30, 2023 was $10.0 million and our net loss for the quarter ended September 30, 2022 was $3.7 million. As a result of becoming a publicly traded company, we continue to need to hire additional personnel and implement procedures and processes to address public company regulatory requirements and customary practices. We expect to incur additional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below, we expect that we will need to raise additional funds, including through the use of our $150 million equity facility (the “</w:t>
      </w:r>
      <w:r>
        <w:rPr>
          <w:rFonts w:ascii="Arial" w:cs="Arial" w:eastAsia="Arial" w:hAnsi="Arial"/>
          <w:sz w:val="17"/>
          <w:szCs w:val="17"/>
          <w:b w:val="1"/>
          <w:bCs w:val="1"/>
          <w:color w:val="auto"/>
        </w:rPr>
        <w:t>ChEF Equity Facility</w:t>
      </w:r>
      <w:r>
        <w:rPr>
          <w:rFonts w:ascii="Arial" w:cs="Arial" w:eastAsia="Arial" w:hAnsi="Arial"/>
          <w:sz w:val="17"/>
          <w:szCs w:val="17"/>
          <w:color w:val="auto"/>
        </w:rPr>
        <w:t>”) with Chardan Capital Markets LLC (“</w:t>
      </w:r>
      <w:r>
        <w:rPr>
          <w:rFonts w:ascii="Arial" w:cs="Arial" w:eastAsia="Arial" w:hAnsi="Arial"/>
          <w:sz w:val="17"/>
          <w:szCs w:val="17"/>
          <w:b w:val="1"/>
          <w:bCs w:val="1"/>
          <w:color w:val="auto"/>
        </w:rPr>
        <w:t>CCM LLC</w:t>
      </w:r>
      <w:r>
        <w:rPr>
          <w:rFonts w:ascii="Arial" w:cs="Arial" w:eastAsia="Arial" w:hAnsi="Arial"/>
          <w:sz w:val="17"/>
          <w:szCs w:val="17"/>
          <w:color w:val="auto"/>
        </w:rPr>
        <w:t>”)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The Business Combination</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7, 2022, Chardan NexTech 2 Acquisition Corp., a Delaware company (“</w:t>
      </w:r>
      <w:r>
        <w:rPr>
          <w:rFonts w:ascii="Arial" w:cs="Arial" w:eastAsia="Arial" w:hAnsi="Arial"/>
          <w:sz w:val="16"/>
          <w:szCs w:val="16"/>
          <w:b w:val="1"/>
          <w:bCs w:val="1"/>
          <w:color w:val="auto"/>
        </w:rPr>
        <w:t>Chardan</w:t>
      </w:r>
      <w:r>
        <w:rPr>
          <w:rFonts w:ascii="Arial" w:cs="Arial" w:eastAsia="Arial" w:hAnsi="Arial"/>
          <w:sz w:val="16"/>
          <w:szCs w:val="16"/>
          <w:color w:val="auto"/>
        </w:rPr>
        <w:t>”), and Legacy Dragonfly consummated the merger pursuant to the Agreement and Plan of Merger, dated as of May 15, 2022 (as amended, the “</w:t>
      </w:r>
      <w:r>
        <w:rPr>
          <w:rFonts w:ascii="Arial" w:cs="Arial" w:eastAsia="Arial" w:hAnsi="Arial"/>
          <w:sz w:val="16"/>
          <w:szCs w:val="16"/>
          <w:b w:val="1"/>
          <w:bCs w:val="1"/>
          <w:color w:val="auto"/>
        </w:rPr>
        <w:t>Business Combination Agreement</w:t>
      </w:r>
      <w:r>
        <w:rPr>
          <w:rFonts w:ascii="Arial" w:cs="Arial" w:eastAsia="Arial" w:hAnsi="Arial"/>
          <w:sz w:val="16"/>
          <w:szCs w:val="16"/>
          <w:color w:val="auto"/>
        </w:rPr>
        <w:t>”), by and among Chardan, Bronco Merger Sub, Inc., a Delaware corporation and wholly-owned subsidiary of Chardan (“</w:t>
      </w:r>
      <w:r>
        <w:rPr>
          <w:rFonts w:ascii="Arial" w:cs="Arial" w:eastAsia="Arial" w:hAnsi="Arial"/>
          <w:sz w:val="16"/>
          <w:szCs w:val="16"/>
          <w:b w:val="1"/>
          <w:bCs w:val="1"/>
          <w:color w:val="auto"/>
        </w:rPr>
        <w:t>Merger Sub</w:t>
      </w:r>
      <w:r>
        <w:rPr>
          <w:rFonts w:ascii="Arial" w:cs="Arial" w:eastAsia="Arial" w:hAnsi="Arial"/>
          <w:sz w:val="16"/>
          <w:szCs w:val="16"/>
          <w:color w:val="auto"/>
        </w:rPr>
        <w:t>”), and Legacy Dragonfly. Pursuant to the Business Combination Agreement, Merger Sub merged with and into Legacy Dragonfly (the “</w:t>
      </w:r>
      <w:r>
        <w:rPr>
          <w:rFonts w:ascii="Arial" w:cs="Arial" w:eastAsia="Arial" w:hAnsi="Arial"/>
          <w:sz w:val="16"/>
          <w:szCs w:val="16"/>
          <w:b w:val="1"/>
          <w:bCs w:val="1"/>
          <w:color w:val="auto"/>
        </w:rPr>
        <w:t>Merger</w:t>
      </w:r>
      <w:r>
        <w:rPr>
          <w:rFonts w:ascii="Arial" w:cs="Arial" w:eastAsia="Arial" w:hAnsi="Arial"/>
          <w:sz w:val="16"/>
          <w:szCs w:val="16"/>
          <w:color w:val="auto"/>
        </w:rPr>
        <w:t>” and, together with the other transactions contemplated by the Business Combination Agreement, the “</w:t>
      </w:r>
      <w:r>
        <w:rPr>
          <w:rFonts w:ascii="Arial" w:cs="Arial" w:eastAsia="Arial" w:hAnsi="Arial"/>
          <w:sz w:val="16"/>
          <w:szCs w:val="16"/>
          <w:b w:val="1"/>
          <w:bCs w:val="1"/>
          <w:color w:val="auto"/>
        </w:rPr>
        <w:t>Business Combination</w:t>
      </w:r>
      <w:r>
        <w:rPr>
          <w:rFonts w:ascii="Arial" w:cs="Arial" w:eastAsia="Arial" w:hAnsi="Arial"/>
          <w:sz w:val="16"/>
          <w:szCs w:val="16"/>
          <w:color w:val="auto"/>
        </w:rPr>
        <w:t>”), with Legacy Dragonfly continuing as the surviving corporation in the Merger and as our wholly owned subsidiary. In connection with the Business Combination, Chardan changed its name to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Combination was accounted for as a reverse recapitalization. Under this method of accounting, Chardan was treated as the acquired company for financial statement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20, 2023, we entered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Roth Capital Partners, LLC, as representative of the several underwriters (the “</w:t>
      </w:r>
      <w:r>
        <w:rPr>
          <w:rFonts w:ascii="Arial" w:cs="Arial" w:eastAsia="Arial" w:hAnsi="Arial"/>
          <w:sz w:val="18"/>
          <w:szCs w:val="18"/>
          <w:b w:val="1"/>
          <w:bCs w:val="1"/>
          <w:color w:val="auto"/>
        </w:rPr>
        <w:t>Underwriters</w:t>
      </w:r>
      <w:r>
        <w:rPr>
          <w:rFonts w:ascii="Arial" w:cs="Arial" w:eastAsia="Arial" w:hAnsi="Arial"/>
          <w:sz w:val="18"/>
          <w:szCs w:val="18"/>
          <w:color w:val="auto"/>
        </w:rPr>
        <w:t>”), pursuant to which we sold to the Underwriters, in a firm commitment underwritten public offering (the “</w:t>
      </w:r>
      <w:r>
        <w:rPr>
          <w:rFonts w:ascii="Arial" w:cs="Arial" w:eastAsia="Arial" w:hAnsi="Arial"/>
          <w:sz w:val="18"/>
          <w:szCs w:val="18"/>
          <w:b w:val="1"/>
          <w:bCs w:val="1"/>
          <w:color w:val="auto"/>
        </w:rPr>
        <w:t>June</w:t>
      </w:r>
      <w:r>
        <w:rPr>
          <w:rFonts w:ascii="Arial" w:cs="Arial" w:eastAsia="Arial" w:hAnsi="Arial"/>
          <w:sz w:val="18"/>
          <w:szCs w:val="18"/>
          <w:color w:val="auto"/>
        </w:rPr>
        <w:t xml:space="preserve"> </w:t>
      </w:r>
      <w:r>
        <w:rPr>
          <w:rFonts w:ascii="Arial" w:cs="Arial" w:eastAsia="Arial" w:hAnsi="Arial"/>
          <w:sz w:val="18"/>
          <w:szCs w:val="18"/>
          <w:b w:val="1"/>
          <w:bCs w:val="1"/>
          <w:color w:val="auto"/>
        </w:rPr>
        <w:t>2023 Offering</w:t>
      </w:r>
      <w:r>
        <w:rPr>
          <w:rFonts w:ascii="Arial" w:cs="Arial" w:eastAsia="Arial" w:hAnsi="Arial"/>
          <w:sz w:val="18"/>
          <w:szCs w:val="18"/>
          <w:color w:val="auto"/>
        </w:rPr>
        <w:t>”), an aggregate of (i) 10,000,000 shares of our common stock, par value $0.0001, and (ii) accompanying warrants to purchase up to</w:t>
      </w:r>
      <w:r>
        <w:rPr>
          <w:rFonts w:ascii="Arial" w:cs="Arial" w:eastAsia="Arial" w:hAnsi="Arial"/>
          <w:sz w:val="18"/>
          <w:szCs w:val="18"/>
          <w:b w:val="1"/>
          <w:bCs w:val="1"/>
          <w:color w:val="auto"/>
        </w:rPr>
        <w:t xml:space="preserve"> </w:t>
      </w:r>
      <w:r>
        <w:rPr>
          <w:rFonts w:ascii="Arial" w:cs="Arial" w:eastAsia="Arial" w:hAnsi="Arial"/>
          <w:sz w:val="18"/>
          <w:szCs w:val="18"/>
          <w:color w:val="auto"/>
        </w:rPr>
        <w:t>10,000,000 shares of common stock (the “</w:t>
      </w:r>
      <w:r>
        <w:rPr>
          <w:rFonts w:ascii="Arial" w:cs="Arial" w:eastAsia="Arial" w:hAnsi="Arial"/>
          <w:sz w:val="18"/>
          <w:szCs w:val="18"/>
          <w:b w:val="1"/>
          <w:bCs w:val="1"/>
          <w:color w:val="auto"/>
        </w:rPr>
        <w:t>Investor Warrants</w:t>
      </w:r>
      <w:r>
        <w:rPr>
          <w:rFonts w:ascii="Arial" w:cs="Arial" w:eastAsia="Arial" w:hAnsi="Arial"/>
          <w:sz w:val="18"/>
          <w:szCs w:val="18"/>
          <w:color w:val="auto"/>
        </w:rPr>
        <w:t>”), at the combined public offering price of $2.00 per share and accompanying Investor Warrant, less underwriting discounts and commissions, and (iii) warrants to purchase up to an aggregate of 570,250 shares of common stock (the “</w:t>
      </w:r>
      <w:r>
        <w:rPr>
          <w:rFonts w:ascii="Arial" w:cs="Arial" w:eastAsia="Arial" w:hAnsi="Arial"/>
          <w:sz w:val="18"/>
          <w:szCs w:val="18"/>
          <w:b w:val="1"/>
          <w:bCs w:val="1"/>
          <w:color w:val="auto"/>
        </w:rPr>
        <w:t>Underwriters’ Warrants</w:t>
      </w:r>
      <w:r>
        <w:rPr>
          <w:rFonts w:ascii="Arial" w:cs="Arial" w:eastAsia="Arial" w:hAnsi="Arial"/>
          <w:sz w:val="18"/>
          <w:szCs w:val="18"/>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position and results of operations depend to a significant extent on the following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 Consumers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demand for our products ultimately depends on demand from consumers in our current end markets. We generate sales through (1) DTC and (2) through OEMs, particularly in the RV market.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253" w:lineRule="auto"/>
        <w:rPr>
          <w:sz w:val="20"/>
          <w:szCs w:val="20"/>
          <w:color w:val="auto"/>
        </w:rPr>
      </w:pPr>
      <w:r>
        <w:rPr>
          <w:rFonts w:ascii="Arial" w:cs="Arial" w:eastAsia="Arial" w:hAnsi="Arial"/>
          <w:sz w:val="18"/>
          <w:szCs w:val="18"/>
          <w:color w:val="auto"/>
        </w:rPr>
        <w:t>Demand from end market consumers is impacted by a number of factors, including fuel costs and energy demands (including an increasing trend towards the use of green energy), as well as overall macro-economic conditions, such as interest rates and inflation.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such as inflation and rising interest rates, have caused a downward shift in decisions taken by end market consumers around spending in the RV market and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this change had a material adverse impact on our OEM sales for the quarter ended September 30, 2023. Furthermore, we expect this change to continue to have a material limiting effect on our revenue throughout the remainder of 2023 and potentially into 2024.</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strategy includes plans to expand into new end markets that we have identified as opportunities for our LFP batteries, including long-haul and fleet trucking,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now actively working down our inventory to more appropriate safety stock levels.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Customer Mix</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Production Capacity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domestic cell manufacturing,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research and development is primarily focused on the advanced manufacturing of domestic battery cells and solid-state lithium-ion battery cells using our proprietary and patented dry deposition battery cell manufacturing process. The Company has announced that its pilot line successfully produced both anode and cathode material, at pilot scale, using this patented process. The Company currently expects to deliver full sample battery cells from its pilot line before the end of 2023.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are primarily generated from the sale of our LFP batteries to OEMs and consumers, as well as chargers and other accessories, either individually or bundled.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goods sold includes the cost of cells and other components of our LFP batteries, labor and overhead, logistics and freight costs, and depreciation of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consists primarily of interest expense, the change in fair value of the warrant liability and amortization of debt issuance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Three months ended September 30, 2023 and September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three months ended September 30, 2023, and September 30, 2022. This data should be read together with our financial statements and related notes included elsewhere in this Quarterly Report,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right"/>
              <w:ind w:right="521"/>
              <w:spacing w:after="0"/>
              <w:rPr>
                <w:sz w:val="20"/>
                <w:szCs w:val="20"/>
                <w:color w:val="auto"/>
              </w:rPr>
            </w:pPr>
            <w:r>
              <w:rPr>
                <w:rFonts w:ascii="Arial" w:cs="Arial" w:eastAsia="Arial" w:hAnsi="Arial"/>
                <w:sz w:val="18"/>
                <w:szCs w:val="18"/>
                <w:b w:val="1"/>
                <w:bCs w:val="1"/>
                <w:color w:val="auto"/>
                <w:w w:val="92"/>
              </w:rPr>
              <w:t>Three months ended September 30,</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8"/>
                <w:szCs w:val="18"/>
                <w:b w:val="1"/>
                <w:bCs w:val="1"/>
                <w:color w:val="auto"/>
              </w:rPr>
              <w:t>% Net Sales</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7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26,117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11,317</w:t>
            </w:r>
          </w:p>
        </w:tc>
        <w:tc>
          <w:tcPr>
            <w:tcW w:w="340" w:type="dxa"/>
            <w:vAlign w:val="bottom"/>
          </w:tcPr>
          <w:p>
            <w:pPr>
              <w:spacing w:after="0"/>
              <w:rPr>
                <w:sz w:val="20"/>
                <w:szCs w:val="20"/>
                <w:color w:val="auto"/>
              </w:rPr>
            </w:pPr>
          </w:p>
        </w:tc>
        <w:tc>
          <w:tcPr>
            <w:tcW w:w="1820" w:type="dxa"/>
            <w:vAlign w:val="bottom"/>
            <w:gridSpan w:val="3"/>
          </w:tcPr>
          <w:p>
            <w:pPr>
              <w:jc w:val="right"/>
              <w:ind w:right="261"/>
              <w:spacing w:after="0"/>
              <w:rPr>
                <w:sz w:val="20"/>
                <w:szCs w:val="20"/>
                <w:color w:val="auto"/>
              </w:rPr>
            </w:pPr>
            <w:r>
              <w:rPr>
                <w:rFonts w:ascii="Arial" w:cs="Arial" w:eastAsia="Arial" w:hAnsi="Arial"/>
                <w:sz w:val="18"/>
                <w:szCs w:val="18"/>
                <w:color w:val="auto"/>
              </w:rPr>
              <w:t>71.2</w:t>
            </w:r>
          </w:p>
        </w:tc>
        <w:tc>
          <w:tcPr>
            <w:tcW w:w="44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19,079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753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6,005</w:t>
            </w:r>
          </w:p>
        </w:tc>
        <w:tc>
          <w:tcPr>
            <w:tcW w:w="340" w:type="dxa"/>
            <w:vAlign w:val="bottom"/>
          </w:tcPr>
          <w:p>
            <w:pPr>
              <w:spacing w:after="0"/>
              <w:rPr>
                <w:sz w:val="18"/>
                <w:szCs w:val="18"/>
                <w:color w:val="auto"/>
              </w:rPr>
            </w:pPr>
          </w:p>
        </w:tc>
        <w:tc>
          <w:tcPr>
            <w:tcW w:w="1820" w:type="dxa"/>
            <w:vAlign w:val="bottom"/>
            <w:gridSpan w:val="3"/>
          </w:tcPr>
          <w:p>
            <w:pPr>
              <w:jc w:val="right"/>
              <w:ind w:right="261"/>
              <w:spacing w:after="0"/>
              <w:rPr>
                <w:sz w:val="20"/>
                <w:szCs w:val="20"/>
                <w:color w:val="auto"/>
              </w:rPr>
            </w:pPr>
            <w:r>
              <w:rPr>
                <w:rFonts w:ascii="Arial" w:cs="Arial" w:eastAsia="Arial" w:hAnsi="Arial"/>
                <w:sz w:val="18"/>
                <w:szCs w:val="18"/>
                <w:color w:val="auto"/>
              </w:rPr>
              <w:t>37.8</w:t>
            </w:r>
          </w:p>
        </w:tc>
        <w:tc>
          <w:tcPr>
            <w:tcW w:w="4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6,336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3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rPr>
              <w:t>19.4</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3,358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65.9</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10,447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3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(37.1)</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3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(3,977)</w:t>
            </w:r>
          </w:p>
        </w:tc>
        <w:tc>
          <w:tcPr>
            <w:tcW w:w="1820" w:type="dxa"/>
            <w:vAlign w:val="bottom"/>
            <w:gridSpan w:val="3"/>
            <w:shd w:val="clear" w:color="auto" w:fill="CCEEFF"/>
          </w:tcPr>
          <w:p>
            <w:pPr>
              <w:jc w:val="right"/>
              <w:ind w:right="201"/>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(1,166)</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62"/>
        </w:trPr>
        <w:tc>
          <w:tcPr>
            <w:tcW w:w="3840" w:type="dxa"/>
            <w:vAlign w:val="bottom"/>
            <w:vMerge w:val="restart"/>
          </w:tcPr>
          <w:p>
            <w:pPr>
              <w:spacing w:after="0"/>
              <w:rPr>
                <w:sz w:val="20"/>
                <w:szCs w:val="20"/>
                <w:color w:val="auto"/>
              </w:rPr>
            </w:pPr>
            <w:r>
              <w:rPr>
                <w:rFonts w:ascii="Arial" w:cs="Arial" w:eastAsia="Arial" w:hAnsi="Arial"/>
                <w:sz w:val="18"/>
                <w:szCs w:val="18"/>
                <w:color w:val="auto"/>
              </w:rPr>
              <w:t>Change in fair market value of warrant liability</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jc w:val="right"/>
              <w:ind w:right="201"/>
              <w:spacing w:after="0" w:line="162" w:lineRule="exact"/>
              <w:rPr>
                <w:sz w:val="20"/>
                <w:szCs w:val="20"/>
                <w:color w:val="auto"/>
              </w:rPr>
            </w:pPr>
            <w:r>
              <w:rPr>
                <w:rFonts w:ascii="Arial" w:cs="Arial" w:eastAsia="Arial" w:hAnsi="Arial"/>
                <w:sz w:val="16"/>
                <w:szCs w:val="16"/>
                <w:color w:val="auto"/>
                <w:w w:val="74"/>
              </w:rPr>
              <w:t>)</w:t>
            </w:r>
          </w:p>
        </w:tc>
        <w:tc>
          <w:tcPr>
            <w:tcW w:w="1820" w:type="dxa"/>
            <w:vAlign w:val="bottom"/>
            <w:gridSpan w:val="3"/>
          </w:tcPr>
          <w:p>
            <w:pPr>
              <w:jc w:val="right"/>
              <w:ind w:right="201"/>
              <w:spacing w:after="0" w:line="16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4"/>
                <w:szCs w:val="14"/>
                <w:color w:val="auto"/>
              </w:rPr>
            </w:pPr>
          </w:p>
        </w:tc>
        <w:tc>
          <w:tcPr>
            <w:tcW w:w="132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38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820" w:type="dxa"/>
            <w:vAlign w:val="bottom"/>
            <w:gridSpan w:val="3"/>
          </w:tcPr>
          <w:p>
            <w:pPr>
              <w:jc w:val="right"/>
              <w:ind w:right="261"/>
              <w:spacing w:after="0" w:line="68" w:lineRule="exact"/>
              <w:rPr>
                <w:sz w:val="20"/>
                <w:szCs w:val="20"/>
                <w:color w:val="auto"/>
              </w:rPr>
            </w:pPr>
            <w:r>
              <w:rPr>
                <w:rFonts w:ascii="Arial" w:cs="Arial" w:eastAsia="Arial" w:hAnsi="Arial"/>
                <w:sz w:val="7"/>
                <w:szCs w:val="7"/>
                <w:color w:val="auto"/>
              </w:rPr>
              <w:t>(0.9</w:t>
            </w:r>
          </w:p>
        </w:tc>
        <w:tc>
          <w:tcPr>
            <w:tcW w:w="4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8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Other Expense</w:t>
            </w:r>
          </w:p>
        </w:tc>
        <w:tc>
          <w:tcPr>
            <w:tcW w:w="4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340" w:type="dxa"/>
            <w:vAlign w:val="bottom"/>
            <w:tcBorders>
              <w:top w:val="single" w:sz="8" w:color="CCEEFF"/>
            </w:tcBorders>
            <w:shd w:val="clear" w:color="auto" w:fill="CCEEFF"/>
          </w:tcPr>
          <w:p>
            <w:pPr>
              <w:jc w:val="right"/>
              <w:ind w:right="201"/>
              <w:spacing w:after="0" w:line="148" w:lineRule="exact"/>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jc w:val="right"/>
              <w:ind w:right="201"/>
              <w:spacing w:after="0" w:line="148" w:lineRule="exact"/>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jc w:val="right"/>
              <w:ind w:right="181"/>
              <w:spacing w:after="0" w:line="148" w:lineRule="exact"/>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88"/>
        </w:trPr>
        <w:tc>
          <w:tcPr>
            <w:tcW w:w="384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20" w:type="dxa"/>
            <w:vAlign w:val="bottom"/>
            <w:gridSpan w:val="3"/>
            <w:shd w:val="clear" w:color="auto" w:fill="CCEEFF"/>
          </w:tcPr>
          <w:p>
            <w:pPr>
              <w:jc w:val="right"/>
              <w:ind w:right="261"/>
              <w:spacing w:after="0" w:line="68" w:lineRule="exact"/>
              <w:rPr>
                <w:sz w:val="20"/>
                <w:szCs w:val="20"/>
                <w:color w:val="auto"/>
              </w:rPr>
            </w:pPr>
            <w:r>
              <w:rPr>
                <w:rFonts w:ascii="Arial" w:cs="Arial" w:eastAsia="Arial" w:hAnsi="Arial"/>
                <w:sz w:val="7"/>
                <w:szCs w:val="7"/>
                <w:color w:val="auto"/>
              </w:rPr>
              <w:t>(25.9</w:t>
            </w:r>
          </w:p>
        </w:tc>
        <w:tc>
          <w:tcPr>
            <w:tcW w:w="440" w:type="dxa"/>
            <w:vAlign w:val="bottom"/>
            <w:shd w:val="clear" w:color="auto" w:fill="CCEEFF"/>
          </w:tcPr>
          <w:p>
            <w:pPr>
              <w:spacing w:after="0"/>
              <w:rPr>
                <w:sz w:val="7"/>
                <w:szCs w:val="7"/>
                <w:color w:val="auto"/>
              </w:rPr>
            </w:pPr>
          </w:p>
        </w:tc>
        <w:tc>
          <w:tcPr>
            <w:tcW w:w="1320" w:type="dxa"/>
            <w:vAlign w:val="bottom"/>
            <w:gridSpan w:val="2"/>
            <w:shd w:val="clear" w:color="auto" w:fill="CCEEFF"/>
          </w:tcPr>
          <w:p>
            <w:pPr>
              <w:jc w:val="right"/>
              <w:ind w:right="241"/>
              <w:spacing w:after="0" w:line="68" w:lineRule="exact"/>
              <w:rPr>
                <w:sz w:val="20"/>
                <w:szCs w:val="20"/>
                <w:color w:val="auto"/>
              </w:rPr>
            </w:pPr>
            <w:r>
              <w:rPr>
                <w:rFonts w:ascii="Arial" w:cs="Arial" w:eastAsia="Arial" w:hAnsi="Arial"/>
                <w:sz w:val="7"/>
                <w:szCs w:val="7"/>
                <w:color w:val="auto"/>
              </w:rPr>
              <w:t>(1,166</w:t>
            </w:r>
          </w:p>
        </w:tc>
        <w:tc>
          <w:tcPr>
            <w:tcW w:w="14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Before Taxes</w:t>
            </w: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(10,023)</w:t>
            </w:r>
          </w:p>
        </w:tc>
        <w:tc>
          <w:tcPr>
            <w:tcW w:w="34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(63.1)</w:t>
            </w: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(4,575)</w:t>
            </w:r>
          </w:p>
        </w:tc>
        <w:tc>
          <w:tcPr>
            <w:tcW w:w="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1"/>
              <w:spacing w:after="0" w:line="162" w:lineRule="exact"/>
              <w:rPr>
                <w:sz w:val="20"/>
                <w:szCs w:val="20"/>
                <w:color w:val="auto"/>
              </w:rPr>
            </w:pPr>
            <w:r>
              <w:rPr>
                <w:rFonts w:ascii="Arial" w:cs="Arial" w:eastAsia="Arial" w:hAnsi="Arial"/>
                <w:sz w:val="18"/>
                <w:szCs w:val="18"/>
                <w:color w:val="auto"/>
              </w:rPr>
              <w:t>)</w:t>
            </w:r>
          </w:p>
        </w:tc>
        <w:tc>
          <w:tcPr>
            <w:tcW w:w="1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87"/>
        </w:trPr>
        <w:tc>
          <w:tcPr>
            <w:tcW w:w="384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80" w:type="dxa"/>
            <w:vAlign w:val="bottom"/>
            <w:gridSpan w:val="2"/>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320" w:type="dxa"/>
            <w:vAlign w:val="bottom"/>
            <w:gridSpan w:val="2"/>
            <w:shd w:val="clear" w:color="auto" w:fill="CCEEFF"/>
          </w:tcPr>
          <w:p>
            <w:pPr>
              <w:jc w:val="right"/>
              <w:ind w:right="241"/>
              <w:spacing w:after="0" w:line="68" w:lineRule="exact"/>
              <w:rPr>
                <w:sz w:val="20"/>
                <w:szCs w:val="20"/>
                <w:color w:val="auto"/>
              </w:rPr>
            </w:pPr>
            <w:r>
              <w:rPr>
                <w:rFonts w:ascii="Arial" w:cs="Arial" w:eastAsia="Arial" w:hAnsi="Arial"/>
                <w:sz w:val="7"/>
                <w:szCs w:val="7"/>
                <w:color w:val="auto"/>
              </w:rPr>
              <w:t>(886</w:t>
            </w:r>
          </w:p>
        </w:tc>
        <w:tc>
          <w:tcPr>
            <w:tcW w:w="14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(10,023</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(63.1</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4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9"/>
              </w:rPr>
              <w:t>Three months ended 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2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6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7"/>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DTC</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10,305</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64.9</w:t>
            </w: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3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5,584</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 Net Sales</w:t>
            </w:r>
          </w:p>
        </w:tc>
        <w:tc>
          <w:tcPr>
            <w:tcW w:w="3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15,889</w:t>
            </w:r>
          </w:p>
        </w:tc>
        <w:tc>
          <w:tcPr>
            <w:tcW w:w="1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26,117</w:t>
            </w:r>
          </w:p>
        </w:tc>
      </w:tr>
      <w:tr>
        <w:trPr>
          <w:trHeight w:val="27"/>
        </w:trPr>
        <w:tc>
          <w:tcPr>
            <w:tcW w:w="39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decreased by $10.2 million, or 39.2%, to $15.9 million for the three months ended September 30, 2023, as compared to $26.1 million for the quarter ended September 30, 2022. This decrease was primarily due to lower OEM and DTC battery and accessory sales compared to the three months ended September 30, 2022. For the quarter ended September 30, 2023, OEM revenue decreased by $8.3 million.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this change in strategy had a material adverse impact on our OEM sales for the quarter ended September 30, 2023. Furthermore, we expect this change to continue to have a material limiting effect on our revenue throughout the remainder of 2023 and potentially 2024. DTC revenue decreased by $1.9 million as a result of decreased customer demand for our products due to ongoing macro-economic factors such as rising interest rates and inflation.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revenue decreased by $7.8 million, or 40.7%, to $11.3 million for the three months ended September 30, 2023, as compared to $19.1 million for the three months ended September 30, 2022. This decrease was primarily due to lower unit volumes sold in the three months ended September 30,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by $2.5 million, or 35.0%, to $4.6 million for the three months ended September 30, 2023, as compared to $7.0 million for the three months ended September 30, 2022. The decrease in gross profit was primarily due to lower overall sales and unit volumes offset by a change in revenue mix that included a smaller percentage of lower margin OEM sales and a higher percentage of higher margin DTC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$0.6 million or 84.2%, to $1.4 million for the three months ended September 30, 2023, as compared to $0.8 million for the three months ended September 30, 2022. The increase was primarily due to higher patent expenses, increased wages associated with increased headcount, and higher materials and supply costs associated with development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decreased by $0.3 million, or 4.7%, to $6.0 million for the three months ended September 30, 2023, as compared to $6.3 million for the three months ended September 30, 2022. This decrease was primarily due to lower fees related to the Company’s Business Combination expenses in 2022 partially offset by higher compliance, insurance and investor relation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decreased by $0.3 million, or 8.1%, to $3.1 million for the three months ended September 30, 2023, as compared to $3.4 million for the three months ended September 30, 2022. This decrease was primarily due to lower shipping costs on lower unit volumes partially offset by higher spend on wage-related expenses and general marketing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Total Other Expense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expense totaled $4.1 million for the three months ended September 30, 2023 as compared to total other expense of $1.2 million for the three months ended September 30, 2022. Other expense in the quarter ended September 30, 2023 is comprised of $4.0 million in interest expense related to our debt securities, and a $0.1 million expense due to the change in fair market value of our warrants. The $1.2 million expense in the quarter ended September 30, 2022 was comprised of interest expense related to the senior secured notes of $45 million which were retired as a result of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no tax expense recorded for the three months ended September 30, 2023, as compared to a $0.9 million benefit for the three months ended September 30, 2022. The income tax benefit of $0.9 million for the quarter ended September 30, 2022 was expected to be used against future tax obligations. Based on available evidence as of September 30, 2023, management believes it is more likely than not that some or all the deferred tax assets will not be realized. Accordingly, the Company established a 100% valuation allowance. As a result of the full valuation allowance, the Company did not record a tax benefit during the quarter ended September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generated a net loss of $10.0 million for the three months ended September 30, 2023, as compared to a net loss of $3.7 million for the three months ended September 30, 2022. As described above, this result was driven lower sales and increased other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Nine months ended September 30, 2023 and September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nine months ended September 30, 2023, and September 30, 2022. This data should be read together with our financial statements and related notes included elsewhere in this Quarterly Report,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right"/>
              <w:ind w:right="581"/>
              <w:spacing w:after="0"/>
              <w:rPr>
                <w:sz w:val="20"/>
                <w:szCs w:val="20"/>
                <w:color w:val="auto"/>
              </w:rPr>
            </w:pPr>
            <w:r>
              <w:rPr>
                <w:rFonts w:ascii="Arial" w:cs="Arial" w:eastAsia="Arial" w:hAnsi="Arial"/>
                <w:sz w:val="18"/>
                <w:szCs w:val="18"/>
                <w:b w:val="1"/>
                <w:bCs w:val="1"/>
                <w:color w:val="auto"/>
                <w:w w:val="98"/>
              </w:rPr>
              <w:t>Nine months ended September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8"/>
                <w:szCs w:val="18"/>
                <w:b w:val="1"/>
                <w:bCs w:val="1"/>
                <w:color w:val="auto"/>
              </w:rPr>
              <w:t>% Net Sales</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3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53,954</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66,042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w w:val="98"/>
              </w:rPr>
              <w:t>40,541</w:t>
            </w: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75.1</w:t>
            </w:r>
          </w:p>
        </w:tc>
        <w:tc>
          <w:tcPr>
            <w:tcW w:w="44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46,481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13,413</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3,332</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1,951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w w:val="98"/>
              </w:rPr>
              <w:t>23,114</w:t>
            </w: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42.8</w:t>
            </w:r>
          </w:p>
        </w:tc>
        <w:tc>
          <w:tcPr>
            <w:tcW w:w="4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13,778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11,075</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9,331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37,521</w:t>
            </w:r>
          </w:p>
        </w:tc>
        <w:tc>
          <w:tcPr>
            <w:tcW w:w="340" w:type="dxa"/>
            <w:vAlign w:val="bottom"/>
          </w:tcPr>
          <w:p>
            <w:pPr>
              <w:spacing w:after="0"/>
              <w:rPr>
                <w:sz w:val="19"/>
                <w:szCs w:val="19"/>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69.5</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25,060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(24,108)</w:t>
            </w:r>
          </w:p>
        </w:tc>
        <w:tc>
          <w:tcPr>
            <w:tcW w:w="3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3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9"/>
              </w:rPr>
              <w:t>(11,905)</w:t>
            </w: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(22.1)</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(3,657)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19,182</w:t>
            </w:r>
          </w:p>
        </w:tc>
        <w:tc>
          <w:tcPr>
            <w:tcW w:w="340" w:type="dxa"/>
            <w:vAlign w:val="bottom"/>
          </w:tcPr>
          <w:p>
            <w:pPr>
              <w:spacing w:after="0"/>
              <w:rPr>
                <w:sz w:val="19"/>
                <w:szCs w:val="19"/>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35.6</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181"/>
              <w:spacing w:after="0" w:line="175" w:lineRule="exact"/>
              <w:rPr>
                <w:sz w:val="20"/>
                <w:szCs w:val="20"/>
                <w:color w:val="auto"/>
              </w:rPr>
            </w:pPr>
            <w:r>
              <w:rPr>
                <w:rFonts w:ascii="Arial" w:cs="Arial" w:eastAsia="Arial" w:hAnsi="Arial"/>
                <w:sz w:val="16"/>
                <w:szCs w:val="16"/>
                <w:color w:val="auto"/>
                <w:w w:val="74"/>
              </w:rPr>
              <w:t>)</w:t>
            </w:r>
          </w:p>
        </w:tc>
        <w:tc>
          <w:tcPr>
            <w:tcW w:w="1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340" w:type="dxa"/>
            <w:vAlign w:val="bottom"/>
            <w:vMerge w:val="restart"/>
            <w:shd w:val="clear" w:color="auto" w:fill="CCEEFF"/>
          </w:tcPr>
          <w:p>
            <w:pPr>
              <w:spacing w:after="0"/>
              <w:rPr>
                <w:sz w:val="12"/>
                <w:szCs w:val="12"/>
                <w:color w:val="auto"/>
              </w:rPr>
            </w:pPr>
          </w:p>
        </w:tc>
        <w:tc>
          <w:tcPr>
            <w:tcW w:w="182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1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88"/>
        </w:trPr>
        <w:tc>
          <w:tcPr>
            <w:tcW w:w="384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340" w:type="dxa"/>
            <w:vAlign w:val="bottom"/>
            <w:vMerge w:val="continue"/>
            <w:shd w:val="clear" w:color="auto" w:fill="CCEEFF"/>
          </w:tcPr>
          <w:p>
            <w:pPr>
              <w:spacing w:after="0"/>
              <w:rPr>
                <w:sz w:val="7"/>
                <w:szCs w:val="7"/>
                <w:color w:val="auto"/>
              </w:rPr>
            </w:pPr>
          </w:p>
        </w:tc>
        <w:tc>
          <w:tcPr>
            <w:tcW w:w="1820" w:type="dxa"/>
            <w:vAlign w:val="bottom"/>
            <w:gridSpan w:val="2"/>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320" w:type="dxa"/>
            <w:vAlign w:val="bottom"/>
            <w:gridSpan w:val="2"/>
            <w:shd w:val="clear" w:color="auto" w:fill="CCEEFF"/>
          </w:tcPr>
          <w:p>
            <w:pPr>
              <w:jc w:val="right"/>
              <w:ind w:right="241"/>
              <w:spacing w:after="0" w:line="68" w:lineRule="exact"/>
              <w:rPr>
                <w:sz w:val="20"/>
                <w:szCs w:val="20"/>
                <w:color w:val="auto"/>
              </w:rPr>
            </w:pPr>
            <w:r>
              <w:rPr>
                <w:rFonts w:ascii="Arial" w:cs="Arial" w:eastAsia="Arial" w:hAnsi="Arial"/>
                <w:sz w:val="7"/>
                <w:szCs w:val="7"/>
                <w:color w:val="auto"/>
              </w:rPr>
              <w:t>(3,657</w:t>
            </w:r>
          </w:p>
        </w:tc>
        <w:tc>
          <w:tcPr>
            <w:tcW w:w="15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Before Taxes</w:t>
            </w:r>
          </w:p>
        </w:tc>
        <w:tc>
          <w:tcPr>
            <w:tcW w:w="4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0"/>
              </w:rPr>
              <w:t>(16,831)</w:t>
            </w:r>
          </w:p>
        </w:tc>
        <w:tc>
          <w:tcPr>
            <w:tcW w:w="34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(31.2)</w:t>
            </w: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(9,156)</w:t>
            </w:r>
          </w:p>
        </w:tc>
        <w:tc>
          <w:tcPr>
            <w:tcW w:w="320" w:type="dxa"/>
            <w:vAlign w:val="bottom"/>
            <w:tcBorders>
              <w:top w:val="single" w:sz="8" w:color="CCEEFF"/>
            </w:tcBorders>
          </w:tcPr>
          <w:p>
            <w:pPr>
              <w:spacing w:after="0"/>
              <w:rPr>
                <w:sz w:val="17"/>
                <w:szCs w:val="17"/>
                <w:color w:val="auto"/>
              </w:rPr>
            </w:pPr>
          </w:p>
        </w:tc>
        <w:tc>
          <w:tcPr>
            <w:tcW w:w="1560" w:type="dxa"/>
            <w:vAlign w:val="bottom"/>
            <w:tcBorders>
              <w:top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2"/>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20" w:type="dxa"/>
            <w:vAlign w:val="bottom"/>
            <w:gridSpan w:val="2"/>
            <w:vMerge w:val="restart"/>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1"/>
              <w:spacing w:after="0" w:line="162" w:lineRule="exact"/>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87"/>
        </w:trPr>
        <w:tc>
          <w:tcPr>
            <w:tcW w:w="3840" w:type="dxa"/>
            <w:vAlign w:val="bottom"/>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820" w:type="dxa"/>
            <w:vAlign w:val="bottom"/>
            <w:gridSpan w:val="2"/>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320" w:type="dxa"/>
            <w:vAlign w:val="bottom"/>
            <w:gridSpan w:val="2"/>
            <w:shd w:val="clear" w:color="auto" w:fill="CCEEFF"/>
          </w:tcPr>
          <w:p>
            <w:pPr>
              <w:jc w:val="right"/>
              <w:ind w:right="241"/>
              <w:spacing w:after="0" w:line="68" w:lineRule="exact"/>
              <w:rPr>
                <w:sz w:val="20"/>
                <w:szCs w:val="20"/>
                <w:color w:val="auto"/>
              </w:rPr>
            </w:pPr>
            <w:r>
              <w:rPr>
                <w:rFonts w:ascii="Arial" w:cs="Arial" w:eastAsia="Arial" w:hAnsi="Arial"/>
                <w:sz w:val="7"/>
                <w:szCs w:val="7"/>
                <w:color w:val="auto"/>
              </w:rPr>
              <w:t>(1,700</w:t>
            </w:r>
          </w:p>
        </w:tc>
        <w:tc>
          <w:tcPr>
            <w:tcW w:w="156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(16,831</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5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52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w w:val="92"/>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2023</w:t>
            </w:r>
          </w:p>
        </w:tc>
        <w:tc>
          <w:tcPr>
            <w:tcW w:w="2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DTC</w:t>
            </w:r>
          </w:p>
        </w:tc>
        <w:tc>
          <w:tcPr>
            <w:tcW w:w="3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30,314</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 Net Sales</w:t>
            </w:r>
          </w:p>
        </w:tc>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56.2</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3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23,640</w:t>
            </w: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 Net Sales</w:t>
            </w:r>
          </w:p>
        </w:tc>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43.8</w:t>
            </w: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5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4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53,954</w:t>
            </w:r>
          </w:p>
        </w:tc>
        <w:tc>
          <w:tcPr>
            <w:tcW w:w="1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66,042</w:t>
            </w:r>
          </w:p>
        </w:tc>
      </w:tr>
      <w:tr>
        <w:trPr>
          <w:trHeight w:val="426"/>
        </w:trPr>
        <w:tc>
          <w:tcPr>
            <w:tcW w:w="3220" w:type="dxa"/>
            <w:vAlign w:val="bottom"/>
            <w:tcBorders>
              <w:top w:val="single" w:sz="8" w:color="CCEEFF"/>
              <w:bottom w:val="single" w:sz="8" w:color="auto"/>
            </w:tcBorders>
          </w:tcPr>
          <w:p>
            <w:pPr>
              <w:spacing w:after="0"/>
              <w:rPr>
                <w:sz w:val="24"/>
                <w:szCs w:val="24"/>
                <w:color w:val="auto"/>
              </w:rPr>
            </w:pPr>
          </w:p>
        </w:tc>
        <w:tc>
          <w:tcPr>
            <w:tcW w:w="3760" w:type="dxa"/>
            <w:vAlign w:val="bottom"/>
            <w:tcBorders>
              <w:top w:val="single" w:sz="8" w:color="CCEEFF"/>
              <w:bottom w:val="single" w:sz="8" w:color="auto"/>
            </w:tcBorders>
          </w:tcPr>
          <w:p>
            <w:pPr>
              <w:jc w:val="right"/>
              <w:ind w:right="1170"/>
              <w:spacing w:after="0"/>
              <w:rPr>
                <w:sz w:val="20"/>
                <w:szCs w:val="20"/>
                <w:color w:val="auto"/>
              </w:rPr>
            </w:pPr>
            <w:r>
              <w:rPr>
                <w:rFonts w:ascii="Arial" w:cs="Arial" w:eastAsia="Arial" w:hAnsi="Arial"/>
                <w:sz w:val="18"/>
                <w:szCs w:val="18"/>
                <w:color w:val="auto"/>
              </w:rPr>
              <w:t>36</w:t>
            </w:r>
          </w:p>
        </w:tc>
        <w:tc>
          <w:tcPr>
            <w:tcW w:w="1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decreased by $12.1 million, or 18.3%, to $54.0 million for the nine months ended September 30, 2023, as compared to $66.0 million for the nine months ended September 30, 2022. This decrease was primarily due to lower DTC battery and accessory sales. DTC revenue decreased by $11.4 million as a result of decreased customer demand for our products due to ongoing macro-economic factors such as rising interest rates and inflation. OEM revenue decline by $0.6 million for the nine months ended September 30, 2023 compared to the nine-months ended September 30, 2022 primarily due to weaker overall demand in the RV market. As described above, the change in strategy by our largest RV OEM customer in July of 2023 had a material adverse impact on our OEM sales for the quarter ended September 30, 2023 and we expect this change to continue to have a material limiting effect on our revenue throughout the remainder of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decreased by $6.0 million, or 12.8%, to $40.5 million for the nine months ended September 30, 2023, as compared to $46.5 million for the nine months ended September 30, 2022. This decrease was primarily due to lower unit volumes partially offset by higher material costs associated with consuming higher-priced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by $6.1 million, or 31.4%, to $13.4 million for the nine months ended September 30, 2023, as compared to $19.6 million for the nine months ended September 30, 2022. The decrease in gross profit was primarily due to lower unit volumes sold and a change in revenue mix that included a larger percentage of lower margin OEM sales and a lower percentage of higher margin DTC sales, combined with the aforementioned higher material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increased by $1.4 million or 70.8%, to $3.3 million for the nine months ended September 30, 2023, as compared to $2.0 million for the nine months ended September 30, 2022. The increase was primarily due to increased wages in the amount of $0.6 million associated with higher headcount, higher materials and supply costs associated with development work and higher patent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by $9.3 million, or 67.8%, to $23.1 million for the nine months ended September 30, 2023, as compared to $13.8 million for the nine months ended September 30, 2022. This increase was primarily due a $4.8 million increase in stock-based compensation costs, a $2.2 million increase in compliance and insurance expenses, a $1.6 million increase in investor relations expenses and a $0.8 million increase in professional services related to the June 2023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$1.8 million, or 18.7%, to $11.1 million for the nine months ended September 30, 2023, as compared to $9.3 million for the nine months ended September 30, 2022. This increase was primarily due to a $2.8 million increase in wage-related expenses, partially offset by $1.2 million in lower shipping costs due to the decline in DTC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totaled $7.3 million for the nine months ended September 30, 2023 as compared to total other expense of $3.7 million for the nine months ended September 30, 2022. Other income for the nine months ended September 30, 2023 is comprised of a change in fair market value of our warrants in the amount of $19.2 million of income, offset by $11.9 million in interest expense related to our debt securities. The $3.7 million expense for the nine months ended September 30, 2022 was comprised of interest expense related to the senior secured notes of $45 million which were retired as a result of the Business Combination.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no tax expense recorded for the nine months ended September 30, 2023, as compared to a $1.7 million benefit for the nine months ended September 30, 2022. The income tax benefit of $1.7 million for the nine months ended September 30, 2022 was expected to be used against future tax obligations. Based on available evidence as of September 30, 2023, management believes it is more likely than not that some or all the deferred tax assets will not be realized. Accordingly, the Company established a 100% valuation allowance. As a result of the full valuation allowance, the Company did not record a tax benefit during the nine months ended September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generated a net loss of $16.8 million for the nine months ended September 30, 2023, as compared to a net loss of $7.5 million for the nine months ended September 30, 2022. As described above, this result was driven primarily by lower sales, increased material costs due to the absorption of higher-priced inventory, and higher operating expenses, partially offset by increased other income (due to the change in fair market value of the Company’s warrants treated as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following accounting policies are those most critical to the judgments and estimates used in the preparation of our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Arial" w:cs="Arial" w:eastAsia="Arial" w:hAnsi="Arial"/>
          <w:sz w:val="17"/>
          <w:szCs w:val="17"/>
          <w:b w:val="1"/>
          <w:bCs w:val="1"/>
          <w:color w:val="auto"/>
        </w:rPr>
        <w:t>ASC 480</w:t>
      </w:r>
      <w:r>
        <w:rPr>
          <w:rFonts w:ascii="Arial" w:cs="Arial" w:eastAsia="Arial" w:hAnsi="Arial"/>
          <w:sz w:val="17"/>
          <w:szCs w:val="17"/>
          <w:color w:val="auto"/>
        </w:rPr>
        <w:t>”), and ASC 815, Derivatives and Hedging (“</w:t>
      </w:r>
      <w:r>
        <w:rPr>
          <w:rFonts w:ascii="Arial" w:cs="Arial" w:eastAsia="Arial" w:hAnsi="Arial"/>
          <w:sz w:val="17"/>
          <w:szCs w:val="17"/>
          <w:b w:val="1"/>
          <w:bCs w:val="1"/>
          <w:color w:val="auto"/>
        </w:rPr>
        <w:t>ASC 815</w:t>
      </w:r>
      <w:r>
        <w:rPr>
          <w:rFonts w:ascii="Arial" w:cs="Arial" w:eastAsia="Arial" w:hAnsi="Arial"/>
          <w:sz w:val="17"/>
          <w:szCs w:val="17"/>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Arial" w:cs="Arial" w:eastAsia="Arial" w:hAnsi="Arial"/>
          <w:sz w:val="17"/>
          <w:szCs w:val="17"/>
          <w:i w:val="1"/>
          <w:iCs w:val="1"/>
          <w:color w:val="auto"/>
        </w:rPr>
        <w:t>Note 9—</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w:t>
      </w:r>
      <w:r>
        <w:rPr>
          <w:rFonts w:ascii="Arial" w:cs="Arial" w:eastAsia="Arial" w:hAnsi="Arial"/>
          <w:sz w:val="17"/>
          <w:szCs w:val="17"/>
          <w:color w:val="auto"/>
        </w:rPr>
        <w:t>” in our accompanying condensed consolidated financial statements for information on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RSU awards are valued based on the closing trading price of the Company’s common stock on the date of grant. Changes in assumptions used to estimate fair value could result in materially different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Quarterly Report includes a non-generally accepted account principles within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measure that we use to supplement our results presented in accordance with U.S. GAAP. Earnings before interest tax and amortization (“</w:t>
      </w:r>
      <w:r>
        <w:rPr>
          <w:rFonts w:ascii="Arial" w:cs="Arial" w:eastAsia="Arial" w:hAnsi="Arial"/>
          <w:sz w:val="16"/>
          <w:szCs w:val="16"/>
          <w:b w:val="1"/>
          <w:bCs w:val="1"/>
          <w:color w:val="auto"/>
        </w:rPr>
        <w:t>EBITDA</w:t>
      </w:r>
      <w:r>
        <w:rPr>
          <w:rFonts w:ascii="Arial" w:cs="Arial" w:eastAsia="Arial" w:hAnsi="Arial"/>
          <w:sz w:val="16"/>
          <w:szCs w:val="16"/>
          <w:color w:val="auto"/>
        </w:rPr>
        <w:t>”) is defined as earnings before interest and other income (expenses), income taxes, and depreciation and amortization. Adjusted EBITDA is calculated as EBITDA adjusted for stock-based compensation, employee separation expenses, costs associated with the June 2023 Offering,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our adjusted EBITDA, reconciled to net loss for the three and nine months ended September 30, 2023, and September 30,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4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w w:val="98"/>
              </w:rPr>
              <w:t>Three months ended September 30,</w:t>
            </w:r>
          </w:p>
        </w:tc>
        <w:tc>
          <w:tcPr>
            <w:tcW w:w="200" w:type="dxa"/>
            <w:vAlign w:val="bottom"/>
          </w:tcPr>
          <w:p>
            <w:pPr>
              <w:spacing w:after="0"/>
              <w:rPr>
                <w:sz w:val="20"/>
                <w:szCs w:val="20"/>
                <w:color w:val="auto"/>
              </w:rPr>
            </w:pPr>
          </w:p>
        </w:tc>
        <w:tc>
          <w:tcPr>
            <w:tcW w:w="3120" w:type="dxa"/>
            <w:vAlign w:val="bottom"/>
            <w:gridSpan w:val="6"/>
          </w:tcPr>
          <w:p>
            <w:pPr>
              <w:jc w:val="center"/>
              <w:ind w:right="221"/>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37"/>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r>
      <w:tr>
        <w:trPr>
          <w:trHeight w:val="216"/>
        </w:trPr>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88"/>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9"/>
              </w:rPr>
              <w:t>(10,023)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(3,689)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(16,831)</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3,977</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1,166</w:t>
            </w:r>
          </w:p>
        </w:tc>
        <w:tc>
          <w:tcPr>
            <w:tcW w:w="20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11,905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3,657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316</w:t>
            </w:r>
          </w:p>
        </w:tc>
        <w:tc>
          <w:tcPr>
            <w:tcW w:w="48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648</w:t>
            </w: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(5,730)</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946</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1,155</w:t>
            </w:r>
          </w:p>
        </w:tc>
      </w:tr>
      <w:tr>
        <w:trPr>
          <w:trHeight w:val="257"/>
        </w:trPr>
        <w:tc>
          <w:tcPr>
            <w:tcW w:w="3960" w:type="dxa"/>
            <w:vAlign w:val="bottom"/>
          </w:tcPr>
          <w:p>
            <w:pPr>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(2)</w:t>
            </w: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6"/>
        </w:trPr>
        <w:tc>
          <w:tcPr>
            <w:tcW w:w="3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June 2023 Offering Costs </w:t>
            </w:r>
            <w:r>
              <w:rPr>
                <w:rFonts w:ascii="Arial" w:cs="Arial" w:eastAsia="Arial" w:hAnsi="Arial"/>
                <w:sz w:val="29"/>
                <w:szCs w:val="29"/>
                <w:color w:val="auto"/>
                <w:vertAlign w:val="superscript"/>
              </w:rPr>
              <w:t>(3)</w:t>
            </w: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57"/>
        </w:trPr>
        <w:tc>
          <w:tcPr>
            <w:tcW w:w="3960" w:type="dxa"/>
            <w:vAlign w:val="bottom"/>
          </w:tcPr>
          <w:p>
            <w:pPr>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(4)</w:t>
            </w: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469</w:t>
            </w:r>
          </w:p>
        </w:tc>
      </w:tr>
      <w:tr>
        <w:trPr>
          <w:trHeight w:val="290"/>
        </w:trPr>
        <w:tc>
          <w:tcPr>
            <w:tcW w:w="39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Change in fair market value of warrant liability </w:t>
            </w:r>
            <w:r>
              <w:rPr>
                <w:rFonts w:ascii="Arial" w:cs="Arial" w:eastAsia="Arial" w:hAnsi="Arial"/>
                <w:sz w:val="29"/>
                <w:szCs w:val="29"/>
                <w:color w:val="auto"/>
                <w:vertAlign w:val="superscript"/>
              </w:rPr>
              <w:t>(5)</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(19,182)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(15,188</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42" w:name="page43"/>
    <w:bookmarkEnd w:id="42"/>
    <w:p>
      <w:pPr>
        <w:ind w:left="980" w:hanging="97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 is comprised of costs associated with option and RSU grants made to our employees, consultants and board members.</w:t>
      </w:r>
    </w:p>
    <w:p>
      <w:pPr>
        <w:spacing w:after="0" w:line="170"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Separation Agreement is comprised of $720 in cash severance associated with separation agreement dated April 26, 2023, between us and our former Chief Legal Officer.</w:t>
      </w:r>
    </w:p>
    <w:p>
      <w:pPr>
        <w:spacing w:after="0" w:line="170"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June 2023 Offering Costs are comprised of fees and expenses, including legal, accounting, and other expenses associated with our secondary offering.</w:t>
      </w:r>
    </w:p>
    <w:p>
      <w:pPr>
        <w:spacing w:after="0" w:line="170" w:lineRule="exact"/>
        <w:rPr>
          <w:rFonts w:ascii="Arial" w:cs="Arial" w:eastAsia="Arial" w:hAnsi="Arial"/>
          <w:sz w:val="18"/>
          <w:szCs w:val="18"/>
          <w:color w:val="auto"/>
        </w:rPr>
      </w:pPr>
    </w:p>
    <w:p>
      <w:pPr>
        <w:jc w:val="both"/>
        <w:ind w:left="980" w:hanging="972"/>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former Chief Financial Officer and current Senior Vice President, Operations.</w:t>
      </w:r>
    </w:p>
    <w:p>
      <w:pPr>
        <w:spacing w:after="0" w:line="183"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for the three and nine month period ended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2023, we had cash totaling $13.2 million.</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w:t>
      </w:r>
      <w:r>
        <w:rPr>
          <w:rFonts w:ascii="Arial" w:cs="Arial" w:eastAsia="Arial" w:hAnsi="Arial"/>
          <w:sz w:val="18"/>
          <w:szCs w:val="18"/>
          <w:b w:val="1"/>
          <w:bCs w:val="1"/>
          <w:color w:val="auto"/>
        </w:rPr>
        <w:t>Term Loan</w:t>
      </w:r>
      <w:r>
        <w:rPr>
          <w:rFonts w:ascii="Arial" w:cs="Arial" w:eastAsia="Arial" w:hAnsi="Arial"/>
          <w:sz w:val="18"/>
          <w:szCs w:val="18"/>
          <w:color w:val="auto"/>
        </w:rPr>
        <w:t>”) pursuant to the Term Loan, Guarantee and Security Agreement (the “</w:t>
      </w:r>
      <w:r>
        <w:rPr>
          <w:rFonts w:ascii="Arial" w:cs="Arial" w:eastAsia="Arial" w:hAnsi="Arial"/>
          <w:sz w:val="18"/>
          <w:szCs w:val="18"/>
          <w:b w:val="1"/>
          <w:bCs w:val="1"/>
          <w:color w:val="auto"/>
        </w:rPr>
        <w:t>Term Loan Agreement</w:t>
      </w:r>
      <w:r>
        <w:rPr>
          <w:rFonts w:ascii="Arial" w:cs="Arial" w:eastAsia="Arial" w:hAnsi="Arial"/>
          <w:sz w:val="18"/>
          <w:szCs w:val="18"/>
          <w:color w:val="auto"/>
        </w:rPr>
        <w:t>”), the proceeds of which were used to repay the $45 million fixed rate senior notes, and ChEF Equity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Term Loan proceeds were used to: (i) support the Business Combination, (ii) prepay the fixed rate senior notes at closing of the Business Combination,</w:t>
      </w:r>
    </w:p>
    <w:p>
      <w:pPr>
        <w:spacing w:after="0" w:line="46" w:lineRule="exact"/>
        <w:rPr>
          <w:sz w:val="20"/>
          <w:szCs w:val="20"/>
          <w:color w:val="auto"/>
        </w:rPr>
      </w:pPr>
    </w:p>
    <w:p>
      <w:pPr>
        <w:jc w:val="both"/>
        <w:ind w:firstLine="8"/>
        <w:spacing w:after="0" w:line="285" w:lineRule="auto"/>
        <w:tabs>
          <w:tab w:leader="none" w:pos="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and September 29, 2023, we obtained waivers from Alter Domus (US) LLC, as the administrative agent for the lenders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EICF Agent LLC and certain third-party financing source of our failure to satisfy the fixed charge coverage ratio and maximum senior leverage ratio with respect to the minimum cash requirements under the Term Loan during the quarters ended March 31, 2023 and September 30, 2023. We were in compliance with the covenants as of June 30, 2023. However,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secured overnight financing rate (“</w:t>
      </w:r>
      <w:r>
        <w:rPr>
          <w:rFonts w:ascii="Arial" w:cs="Arial" w:eastAsia="Arial" w:hAnsi="Arial"/>
          <w:sz w:val="16"/>
          <w:szCs w:val="16"/>
          <w:b w:val="1"/>
          <w:bCs w:val="1"/>
          <w:color w:val="auto"/>
        </w:rPr>
        <w:t>SOFR</w:t>
      </w:r>
      <w:r>
        <w:rPr>
          <w:rFonts w:ascii="Arial" w:cs="Arial" w:eastAsia="Arial" w:hAnsi="Arial"/>
          <w:sz w:val="16"/>
          <w:szCs w:val="16"/>
          <w:color w:val="auto"/>
        </w:rPr>
        <w:t>”)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exercisable to purchase an aggregate of 2,593,056 shares at an exercise price of $0.01 per share, and (ii) warrants exercisable to purchase 1,600,000 shares of our common stock at an exercise price of $10.00 per share.</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January 1, 2023 to September 30, 2023, we issued and sold approximately 98,500 shares of our common stock under the ChEF Equity Facility, resulting in net cash proceeds of $670,593. During the nine months ended September 30, 2023, the Company issued additional Penny Warrants to purchase 501 shares of common stock to the Term Loan Lenders in accordance with the anti-dilution provisions of the Penny Warrants with respect to certain sales made by the Company under the ChEF Equity Facility. Subsequent to the quarter ended September 30, 2023, we issued and sold approximately 490,000 shares of our common stock under the ChEF Equity Facility, resulting in net cash proceeds of $607,973. As a result, subsequent to the quarter ended September 30, 2023, we issued additional Penny Warrants to purchase 4,277 shares of Common Stock to the Term Loan Lenders in accordance with the anti-dilution provisions of the Penny Warrants with respect to certain sales made by the Company under the ChEF Equity Facility.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5, 2023, we issued a note in the principal amount of $1.0 million (the “</w:t>
      </w:r>
      <w:r>
        <w:rPr>
          <w:rFonts w:ascii="Arial" w:cs="Arial" w:eastAsia="Arial" w:hAnsi="Arial"/>
          <w:sz w:val="18"/>
          <w:szCs w:val="18"/>
          <w:b w:val="1"/>
          <w:bCs w:val="1"/>
          <w:color w:val="auto"/>
        </w:rPr>
        <w:t>Principal Amount</w:t>
      </w:r>
      <w:r>
        <w:rPr>
          <w:rFonts w:ascii="Arial" w:cs="Arial" w:eastAsia="Arial" w:hAnsi="Arial"/>
          <w:sz w:val="18"/>
          <w:szCs w:val="18"/>
          <w:color w:val="auto"/>
        </w:rPr>
        <w:t>”) to Brian Nelson, one of our directors, in a private placement in exchange for cash in an equal amount (the “</w:t>
      </w:r>
      <w:r>
        <w:rPr>
          <w:rFonts w:ascii="Arial" w:cs="Arial" w:eastAsia="Arial" w:hAnsi="Arial"/>
          <w:sz w:val="18"/>
          <w:szCs w:val="18"/>
          <w:b w:val="1"/>
          <w:bCs w:val="1"/>
          <w:color w:val="auto"/>
        </w:rPr>
        <w:t>Note</w:t>
      </w:r>
      <w:r>
        <w:rPr>
          <w:rFonts w:ascii="Arial" w:cs="Arial" w:eastAsia="Arial" w:hAnsi="Arial"/>
          <w:sz w:val="18"/>
          <w:szCs w:val="18"/>
          <w:color w:val="auto"/>
        </w:rPr>
        <w:t>”). The Note became due and payable in full on April 1, 2023. We were also obligated to pay a fee in the amount of $100,000 (the “</w:t>
      </w:r>
      <w:r>
        <w:rPr>
          <w:rFonts w:ascii="Arial" w:cs="Arial" w:eastAsia="Arial" w:hAnsi="Arial"/>
          <w:sz w:val="18"/>
          <w:szCs w:val="18"/>
          <w:b w:val="1"/>
          <w:bCs w:val="1"/>
          <w:color w:val="auto"/>
        </w:rPr>
        <w:t>Loan Fee</w:t>
      </w:r>
      <w:r>
        <w:rPr>
          <w:rFonts w:ascii="Arial" w:cs="Arial" w:eastAsia="Arial" w:hAnsi="Arial"/>
          <w:sz w:val="18"/>
          <w:szCs w:val="18"/>
          <w:color w:val="auto"/>
        </w:rPr>
        <w:t>”) to Mr. Nelson on April 4, 2023. The Principal Amount of the Note was paid in full on April 1, 2023 and the Loan Fee was paid in full on April 4,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2023, we completed the June 2023 Offering which provided net proceeds to us, including the partial over-allotment option exercise, of approximately $21.1 million. In July 2023, upon a request from the Company’s lenders under the Term Loan Agreement, the Company repaid $5.3 million to satisfy a portion of its outstanding principal.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September 30, 2023, we generated a net loss of $16.8 million and had a negative cash flow from operations. As of September 30, 2023, we had approximately $13.2 million in cash and cash equivalents and working capital of $22.0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6"/>
          <w:szCs w:val="16"/>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waivers from our Administrative Agent and the Term Loan Lenders of our failures to satisfy the fixed charge coverage ratio and maximum senior leverage ratio with respect to the minimum cash requirements under the Term Loan during the quarters ended March 31, 2023 and September 30, 2023. While the Company was in compliance with its covenants for the quarter ended June 30,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i w:val="1"/>
                <w:iCs w:val="1"/>
                <w:color w:val="auto"/>
                <w:w w:val="91"/>
              </w:rPr>
              <w:t>Cash Flows for the Nine months ended September 30, 2023, and September 30, 2022</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in)/provided by:</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(16,727)</w:t>
            </w:r>
          </w:p>
        </w:tc>
        <w:tc>
          <w:tcPr>
            <w:tcW w:w="13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(24,711)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Investing activities</w:t>
            </w:r>
          </w:p>
        </w:tc>
        <w:tc>
          <w:tcPr>
            <w:tcW w:w="160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(6,507)</w:t>
            </w:r>
          </w:p>
        </w:tc>
        <w:tc>
          <w:tcPr>
            <w:tcW w:w="138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(6,065)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18,688</w:t>
            </w:r>
          </w:p>
        </w:tc>
        <w:tc>
          <w:tcPr>
            <w:tcW w:w="13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$16.7 million for the nine months ended September 30, 2023, primarily due to a net loss of $16.8 million partially offset by a $0.1 million increase as a result of other operating adjustments.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$24.7 million for the nine months ended September 30, 2022, due to a net loss during the period and a $17.3 million decrease in other operating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$6.5 million for the nine months ended September 30, 2023, as compared to net cash used in investing activities of $6.1 million for the nine months ended September 30, 2022. The increase in cash used in investing activities was primarily due to an increase in capital equipment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$18.7 million for the nine months ended September 30, 2023, as compared to net cash provided by financing activities of $15.7 million for the nine months ended September 30, 2022, and was primarily due to net proceeds of $21.1 million from the June 2023 Offering partially offset by a $5.3 million principal payment of our notes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estimated future obligations consist of short-term and long-term operating lease liabilities. As of September 30, 2023, we had $1.3 million in short-term operating lease liabilities and $2.6 million in long-term operating lease liabilities.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disclosed above, we have a Term Loan. As of September 30, 2023, the amount outstanding under the Term Loan was $74.7 million, which consists of $69.7 million in principal and $4.9 million in PIK interest.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Chief Executive Officer, as our principal executive officer, and Interim Chief Financial Officer, as our principal financial officer, to allow timely decisions regarding required disclosure.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preparation of the Quarterly Report on Form 10-Q for the quarter ended September 30, 2023, our management, with the participation of our Chief Executive Officer and Interim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Interim Chief Financial Officer concluded that, due to the material weaknesses previously reported in our Annual Report that have not yet been remediated, our disclosure controls and procedures were not effective as of September 30,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described a plan to remediate the material weaknesses within our Annual Report. Management, with the assistance of a third-party service provider, continues to design and implement internal controls. Additionally, management continued its risk assessment to identify risks and objectives. There were no other changes in our internal controls over financial reporting that occurred during the quarter ended September 30, 2023 that materially affected, or are reasonably likely to materially affect, our internal control over financial reporting. Management will continue to evaluate and enhance our processes as noted in the remediation plan described within our Annual Report. The elements of our remediation plan can only be accomplished over time, and we can offer no assurance that these will ultimately have the intended effects.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September 30, 2023 and subsequent to the end of the quarter through the date of this filing, as a result of the shares of common stock sold by the Company pursuant to the ChEF, the Company issued additional Penny Warrants under which an additional 4,277 shares of Common Stock are issuable upon the exercise of the Penny Warrants pursuant to the anti-dilution adjustment provisions in the Penny Warrants.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Penny Warrants and the shares of common stock issuable upon the exercise of the Penny Warrants have not been registered under the Securities Act of 1933, as amended, and were offered pursuant to the exemption from registration provided in Section 4(a)(2) under the Securities Act of 1933, as amended, and Rule 506(b) promulgated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868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8680" w:type="dxa"/>
            <w:vAlign w:val="bottom"/>
            <w:gridSpan w:val="9"/>
          </w:tcPr>
          <w:p>
            <w:pPr>
              <w:spacing w:after="0"/>
              <w:rPr>
                <w:sz w:val="20"/>
                <w:szCs w:val="20"/>
                <w:color w:val="auto"/>
              </w:rPr>
            </w:pPr>
            <w:r>
              <w:rPr>
                <w:rFonts w:ascii="Arial" w:cs="Arial" w:eastAsia="Arial" w:hAnsi="Arial"/>
                <w:sz w:val="18"/>
                <w:szCs w:val="18"/>
                <w:color w:val="auto"/>
                <w:w w:val="97"/>
              </w:rPr>
              <w:t>The following exhibits are filed as part of, or incorporated by reference into, this Quarterly Report on Form 10-Q.</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w w:val="96"/>
              </w:rPr>
              <w:t>Incorporation by Reference</w:t>
            </w:r>
          </w:p>
        </w:tc>
      </w:tr>
      <w:tr>
        <w:trPr>
          <w:trHeight w:val="237"/>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58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Form</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0"/>
                <w:szCs w:val="20"/>
                <w:color w:val="auto"/>
              </w:rPr>
            </w:pPr>
            <w:r>
              <w:rPr>
                <w:rFonts w:ascii="Arial" w:cs="Arial" w:eastAsia="Arial" w:hAnsi="Arial"/>
                <w:sz w:val="18"/>
                <w:szCs w:val="18"/>
                <w:b w:val="1"/>
                <w:bCs w:val="1"/>
                <w:color w:val="auto"/>
                <w:w w:val="95"/>
              </w:rPr>
              <w:t>Filing Date</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60" w:type="dxa"/>
            <w:vAlign w:val="bottom"/>
            <w:tcBorders>
              <w:top w:val="single" w:sz="8" w:color="auto"/>
            </w:tcBorders>
            <w:gridSpan w:val="6"/>
          </w:tcPr>
          <w:p>
            <w:pPr>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Articles of Incorporation of Dragonfly Energy Holdings Corp.</w:t>
              </w:r>
            </w:hyperlink>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8-K</w:t>
            </w: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7"/>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Bylaws of Dragonfly Energy Holdings Corp.</w:t>
              </w:r>
            </w:hyperlink>
          </w:p>
        </w:tc>
        <w:tc>
          <w:tcPr>
            <w:tcW w:w="1240" w:type="dxa"/>
            <w:vAlign w:val="bottom"/>
            <w:tcBorders>
              <w:top w:val="single" w:sz="8" w:color="0000EE"/>
            </w:tcBorders>
          </w:tcPr>
          <w:p>
            <w:pPr>
              <w:spacing w:after="0"/>
              <w:rPr>
                <w:sz w:val="17"/>
                <w:szCs w:val="17"/>
                <w:color w:val="auto"/>
              </w:rPr>
            </w:pPr>
          </w:p>
        </w:tc>
        <w:tc>
          <w:tcPr>
            <w:tcW w:w="3100" w:type="dxa"/>
            <w:vAlign w:val="bottom"/>
            <w:gridSpan w:val="4"/>
          </w:tcPr>
          <w:p>
            <w:pPr>
              <w:spacing w:after="0"/>
              <w:rPr>
                <w:sz w:val="17"/>
                <w:szCs w:val="17"/>
                <w:color w:val="auto"/>
              </w:rPr>
            </w:pPr>
          </w:p>
        </w:tc>
        <w:tc>
          <w:tcPr>
            <w:tcW w:w="8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8-K</w:t>
            </w:r>
          </w:p>
        </w:tc>
        <w:tc>
          <w:tcPr>
            <w:tcW w:w="6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color w:val="auto"/>
                <w:w w:val="97"/>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75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Certification of Principal Executive Officer Pursuant to Securities Exchange Act Rules 13a-14(a)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80" w:type="dxa"/>
            <w:vAlign w:val="bottom"/>
            <w:gridSpan w:val="7"/>
          </w:tcPr>
          <w:p>
            <w:pPr>
              <w:spacing w:after="0" w:line="196" w:lineRule="exact"/>
              <w:rPr>
                <w:sz w:val="20"/>
                <w:szCs w:val="20"/>
                <w:color w:val="auto"/>
              </w:rPr>
            </w:pPr>
            <w:r>
              <w:rPr>
                <w:rFonts w:ascii="Arial" w:cs="Arial" w:eastAsia="Arial" w:hAnsi="Arial"/>
                <w:sz w:val="18"/>
                <w:szCs w:val="18"/>
                <w:color w:val="0000EE"/>
              </w:rPr>
              <w:t>15(d)-14(a), as adopted Pursuant to Section 302 of the Sarbanes-Oxley Act of 2002.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7580" w:type="dxa"/>
            <w:vAlign w:val="bottom"/>
            <w:gridSpan w:val="7"/>
          </w:tcPr>
          <w:p>
            <w:pPr>
              <w:spacing w:after="0" w:line="196" w:lineRule="exact"/>
              <w:rPr>
                <w:sz w:val="20"/>
                <w:szCs w:val="20"/>
                <w:color w:val="auto"/>
              </w:rPr>
            </w:pPr>
            <w:r>
              <w:rPr>
                <w:rFonts w:ascii="Arial" w:cs="Arial" w:eastAsia="Arial" w:hAnsi="Arial"/>
                <w:sz w:val="18"/>
                <w:szCs w:val="18"/>
                <w:color w:val="0000EE"/>
                <w:w w:val="95"/>
              </w:rPr>
              <w:t>Certification of Principal Financial Officer Pursuant to Securities Exchange Act Rules 13a-14(a)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15(d)-14(a), as adopted Pursuant to Section 302 of the Sarbanes-Oxley Act of 2002.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7580" w:type="dxa"/>
            <w:vAlign w:val="bottom"/>
            <w:gridSpan w:val="7"/>
          </w:tcPr>
          <w:p>
            <w:pPr>
              <w:spacing w:after="0" w:line="19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 Section 1350,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as adopted pursuant to Section 906 of the Sarbanes-Oxley Act of 2002.</w:t>
            </w:r>
          </w:p>
        </w:tc>
        <w:tc>
          <w:tcPr>
            <w:tcW w:w="24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9"/>
                <w:szCs w:val="19"/>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7580" w:type="dxa"/>
            <w:vAlign w:val="bottom"/>
            <w:gridSpan w:val="7"/>
          </w:tcPr>
          <w:p>
            <w:pPr>
              <w:spacing w:after="0"/>
              <w:rPr>
                <w:sz w:val="20"/>
                <w:szCs w:val="20"/>
                <w:color w:val="auto"/>
              </w:rPr>
            </w:pPr>
            <w:r>
              <w:rPr>
                <w:rFonts w:ascii="Arial" w:cs="Arial" w:eastAsia="Arial" w:hAnsi="Arial"/>
                <w:sz w:val="18"/>
                <w:szCs w:val="18"/>
                <w:color w:val="auto"/>
                <w:w w:val="93"/>
              </w:rPr>
              <w:t>Cover Page Interactive Data File (embedded within the Inline XBRL document and included as Exhibit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360" w:type="dxa"/>
            <w:vAlign w:val="bottom"/>
            <w:gridSpan w:val="3"/>
          </w:tcPr>
          <w:p>
            <w:pPr>
              <w:ind w:left="120"/>
              <w:spacing w:after="0"/>
              <w:rPr>
                <w:sz w:val="20"/>
                <w:szCs w:val="20"/>
                <w:color w:val="auto"/>
              </w:rPr>
            </w:pPr>
            <w:r>
              <w:rPr>
                <w:rFonts w:ascii="Arial" w:cs="Arial" w:eastAsia="Arial" w:hAnsi="Arial"/>
                <w:sz w:val="18"/>
                <w:szCs w:val="18"/>
                <w:color w:val="auto"/>
              </w:rPr>
              <w:t>101)</w:t>
            </w: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r>
        <w:rPr>
          <w:rFonts w:ascii="Arial" w:cs="Arial" w:eastAsia="Arial" w:hAnsi="Arial"/>
          <w:sz w:val="18"/>
          <w:szCs w:val="18"/>
          <w:color w:val="auto"/>
        </w:rPr>
        <w:t>.</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 President and Interim Chief Financial Officer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(Principal Executive Officer and Principal Financial and Accounting</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14, 2023</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2023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14, 2023</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Arial" w:cs="Arial" w:eastAsia="Arial" w:hAnsi="Arial"/>
          <w:sz w:val="18"/>
          <w:szCs w:val="18"/>
          <w:b w:val="1"/>
          <w:bCs w:val="1"/>
          <w:color w:val="auto"/>
        </w:rPr>
        <w:t>Company</w:t>
      </w:r>
      <w:r>
        <w:rPr>
          <w:rFonts w:ascii="Arial" w:cs="Arial" w:eastAsia="Arial" w:hAnsi="Arial"/>
          <w:sz w:val="18"/>
          <w:szCs w:val="18"/>
          <w:color w:val="auto"/>
        </w:rPr>
        <w:t>”) for the quarter ended September 30, 2023 (the “</w:t>
      </w:r>
      <w:r>
        <w:rPr>
          <w:rFonts w:ascii="Arial" w:cs="Arial" w:eastAsia="Arial" w:hAnsi="Arial"/>
          <w:sz w:val="18"/>
          <w:szCs w:val="18"/>
          <w:b w:val="1"/>
          <w:bCs w:val="1"/>
          <w:color w:val="auto"/>
        </w:rPr>
        <w:t>Quarterly Report</w:t>
      </w:r>
      <w:r>
        <w:rPr>
          <w:rFonts w:ascii="Arial" w:cs="Arial" w:eastAsia="Arial" w:hAnsi="Arial"/>
          <w:sz w:val="18"/>
          <w:szCs w:val="18"/>
          <w:color w:val="auto"/>
        </w:rPr>
        <w:t>”), Denis Phares, as Chief Executive Officer and Interim Chief Financial Officer, certifies in his capacity as such officer of the Company, that to his knowledge:</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November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Interim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815"/>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3"/>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1" Type="http://schemas.openxmlformats.org/officeDocument/2006/relationships/hyperlink" Target="https://www.sec.gov/Archives/edgar/data/1847986/000149315223010262/ex3-1.htm" TargetMode="External"/><Relationship Id="rId82" Type="http://schemas.openxmlformats.org/officeDocument/2006/relationships/hyperlink" Target="https://www.sec.gov/Archives/edgar/data/1847986/000149315223010262/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2023-11-14T19:01:14Z</dcterms:created>
  <dcterms:modified xsi:type="dcterms:W3CDTF">2023-11-14T19:01:14Z</dcterms:modified>
</cp:coreProperties>
</file>