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27940</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0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center"/>
              <w:ind w:right="12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660" w:type="dxa"/>
            <w:vAlign w:val="bottom"/>
            <w:gridSpan w:val="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74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298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2024, Dragonfly Energy Holdings Corp. (the “Company”) received a written notice (the “Notice”) from the Listing Qualifications Department of The Nasdaq Stock Market LLC (“Nasdaq”) indicating that the Company is not in compliance with Nasdaq Listing Rule 5550(b)(2), which requires the Company to maintain a minimum Market Value of Listed Securities (“MVLS”) of $35 million for continued listing on The Nasdaq Capital Market (the “MVLS Requirement”) for the 30 consecutive business days preceding receipt of the Notice. Additionally, as of the date of this Current Report, the Company does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will have 180 calendar days, or until June 10, 2025 (the “Compliance Period”) to regain compliance with the MVLS Requirement. To regain compliance during the 180-day period, the Company’s MVLS must be at least $35 million for a minimum of ten consecutive business days at any time during this period, after which Nasdaq will provide written confirmation of compliance to the Company and the matter will be closed. If the Company does not regain compliance with the MVLS Requirement by the end of the Compliance Period, the Company will receive written notification from Nasdaq that its securities are subject to delisting. At that time, the Company may appeal any such delisting determination to a Nasdaq hearings panel.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or redeemable warrants, which will continue to trade on The Nasdaq Capital Market under the symbols “DFLI” and “DFLIW”, respectively, subject to the Company’s compliance with the other continued listing requirements of The Nasdaq Capital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monitor its MVLS and may, if appropriate, consider implementing available options to regain compliance with the MVLS Requirement. However, there can be no assurance that the Company will be able to regain compliance with the MVLS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including the below update to its risk factors, for the purpose of supplementing and updating the disclosure contained in its Annual Report on Form 10-K for the fiscal year ended December 31, 2023, filed with the SEC on April 16, 2024, as amended by the Form 10-K/A on April 29, 2024, and its Quarterly Reports on Form 10-Q for the period ended March 31, 2024, filed with the SEC on May 15, 2024, for the period ended June 30, 2024, filed with the SEC on August 14, 2024, and for the period ended September 30, 2024, filed with the SEC on November 14, 2024.</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not currently in compliance with the continued listing requirements for The Nasdaq Capital Market. If the Company does not regain compliance and continue to meet the continued listing requirements, the Company’s securities may be delisted, which could affect the market price and liquidity for the Company’s common stock and reduce the Company’s ability to raise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2024, the Company received a written notice (the “Notice”) from the Listing Qualifications Staff of the Nasdaq Stock Market, LLC (“Nasdaq”) indicating that the Company is not in compliance with Nasdaq Listing Rule 5550(b)(2), which requires the Company to maintain a minimum Market Value of Listed Securities (“MVLS”) of $35 million for continued listing on The Nasdaq Capital Market (the “MVLS Requirement”) for the 30 consecutive business days preceding receipt of the Notice. Additionally, the Company does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the Company will have 180 calendar days, or until June 10, 2025, to regain compliance with the MVLS Requirement, subject to extension by Nasdaq.</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intends to monitor its MVLS and may, if appropriate, consider implementing available options to regain compliance with the MVLS Requirement. If the Company does not regain compliance within the allotted compliance period, including any extensions that may be granted by Nasdaq, Nasdaq will provide notice that the Company’s securities will be subject to delisting. The Company would then be entitled to appeal that determination to a Nasdaq hearings panel. There can be no assurance that the Company will regain compliance with the MVLS Requirement during the 180-day compliance period or maintain compliance with the other Nasdaq listing requirements. A delisting could substantially decrease trading in the Company’s common stock, adversely affect the market liquidity of the Company’s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the Company’s common stock may decline further and stockholders may lose some or all of their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Company’s ability to regain compliance with the MVLS Requirement, and the other risks, uncertainties and factors detailed in the Company’s filings with the SEC, including in the Company’s Annual Report on Form 10-K for the year ended December 31, 2023, which was filed with the SEC on April 16, 2024.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December 18, 2024</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tc>
      </w:tr>
      <w:tr>
        <w:trPr>
          <w:trHeight w:val="191"/>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President</w:t>
            </w:r>
          </w:p>
        </w:tc>
      </w:tr>
      <w:tr>
        <w:trPr>
          <w:trHeight w:val="432"/>
        </w:trPr>
        <w:tc>
          <w:tcPr>
            <w:tcW w:w="3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2024-12-18T07:49:17Z</dcterms:created>
  <dcterms:modified xsi:type="dcterms:W3CDTF">2024-12-18T07:49:17Z</dcterms:modified>
</cp:coreProperties>
</file>