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177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177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PROPPER KERRY</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line="294" w:lineRule="auto"/>
        <w:rPr>
          <w:sz w:val="20"/>
          <w:szCs w:val="20"/>
          <w:color w:val="auto"/>
        </w:rPr>
      </w:pPr>
      <w:r>
        <w:rPr>
          <w:rFonts w:ascii="Times New Roman" w:cs="Times New Roman" w:eastAsia="Times New Roman" w:hAnsi="Times New Roman"/>
          <w:sz w:val="17"/>
          <w:szCs w:val="17"/>
          <w:color w:val="0000FF"/>
        </w:rPr>
        <w:t>C/O CHARDAN NEXTECH ACQUISITION 2 CORP.</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5"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Chardan NexTech Acquisition 2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p>
    <w:p>
      <w:pPr>
        <w:spacing w:after="0"/>
        <w:rPr>
          <w:sz w:val="20"/>
          <w:szCs w:val="20"/>
          <w:color w:val="auto"/>
        </w:rPr>
      </w:pPr>
      <w:r>
        <w:rPr>
          <w:rFonts w:ascii="Times New Roman" w:cs="Times New Roman" w:eastAsia="Times New Roman" w:hAnsi="Times New Roman"/>
          <w:sz w:val="17"/>
          <w:szCs w:val="17"/>
          <w:color w:val="0000FF"/>
        </w:rPr>
        <w:t xml:space="preserve">CNTQ </w:t>
      </w:r>
      <w:r>
        <w:rPr>
          <w:rFonts w:ascii="Times New Roman" w:cs="Times New Roman" w:eastAsia="Times New Roman" w:hAnsi="Times New Roman"/>
          <w:sz w:val="21"/>
          <w:szCs w:val="21"/>
          <w:color w:val="000000"/>
        </w:rPr>
        <w:t>]</w:t>
      </w:r>
    </w:p>
    <w:p>
      <w:pPr>
        <w:spacing w:after="0" w:line="34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09/30/2022</w:t>
      </w:r>
    </w:p>
    <w:p>
      <w:pPr>
        <w:spacing w:after="0" w:line="20" w:lineRule="exact"/>
        <w:rPr>
          <w:sz w:val="24"/>
          <w:szCs w:val="24"/>
          <w:color w:val="auto"/>
        </w:rPr>
      </w:pPr>
      <w:r>
        <w:rPr>
          <w:sz w:val="24"/>
          <w:szCs w:val="24"/>
          <w:color w:val="auto"/>
        </w:rPr>
        <w:br w:type="column"/>
      </w: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2064"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94"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83" w:lineRule="exact"/>
        <w:rPr>
          <w:sz w:val="24"/>
          <w:szCs w:val="24"/>
          <w:color w:val="auto"/>
        </w:rPr>
      </w:pPr>
    </w:p>
    <w:p>
      <w:pPr>
        <w:sectPr>
          <w:pgSz w:w="11900" w:h="16838" w:orient="portrait"/>
          <w:cols w:equalWidth="0" w:num="3">
            <w:col w:w="3460" w:space="460"/>
            <w:col w:w="3400" w:space="415"/>
            <w:col w:w="3345"/>
          </w:cols>
          <w:pgMar w:left="460" w:top="219" w:right="35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17"/>
          <w:szCs w:val="17"/>
          <w:color w:val="0000FF"/>
        </w:rPr>
        <w:t>17 STATE STREET, 21ST FLOOR</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10004</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516"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36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740" w:type="dxa"/>
            <w:vAlign w:val="bottom"/>
          </w:tcPr>
          <w:p>
            <w:pPr>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36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60"/>
              <w:spacing w:after="0" w:line="133" w:lineRule="exact"/>
              <w:rPr>
                <w:sz w:val="20"/>
                <w:szCs w:val="20"/>
                <w:color w:val="auto"/>
              </w:rPr>
            </w:pPr>
            <w:r>
              <w:rPr>
                <w:rFonts w:ascii="Arial" w:cs="Arial" w:eastAsia="Arial" w:hAnsi="Arial"/>
                <w:sz w:val="12"/>
                <w:szCs w:val="12"/>
                <w:b w:val="1"/>
                <w:bCs w:val="1"/>
                <w:color w:val="auto"/>
              </w:rPr>
              <w:t>(Month/Day/Year)  if any</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9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84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8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940" w:type="dxa"/>
            <w:vAlign w:val="bottom"/>
            <w:gridSpan w:val="3"/>
            <w:vMerge w:val="restart"/>
          </w:tcPr>
          <w:p>
            <w:pPr>
              <w:ind w:left="460"/>
              <w:spacing w:after="0"/>
              <w:rPr>
                <w:sz w:val="20"/>
                <w:szCs w:val="20"/>
                <w:color w:val="auto"/>
              </w:rPr>
            </w:pPr>
            <w:r>
              <w:rPr>
                <w:rFonts w:ascii="Times New Roman" w:cs="Times New Roman" w:eastAsia="Times New Roman" w:hAnsi="Times New Roman"/>
                <w:sz w:val="17"/>
                <w:szCs w:val="17"/>
                <w:color w:val="0000FF"/>
              </w:rPr>
              <w:t>09/30/2022</w:t>
            </w: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P</w:t>
            </w:r>
          </w:p>
        </w:tc>
        <w:tc>
          <w:tcPr>
            <w:tcW w:w="8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485,000</w:t>
            </w:r>
          </w:p>
        </w:tc>
        <w:tc>
          <w:tcPr>
            <w:tcW w:w="42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A</w:t>
            </w:r>
          </w:p>
        </w:tc>
        <w:tc>
          <w:tcPr>
            <w:tcW w:w="800" w:type="dxa"/>
            <w:vAlign w:val="bottom"/>
            <w:gridSpan w:val="3"/>
            <w:vMerge w:val="restart"/>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10.36</w:t>
            </w:r>
            <w:r>
              <w:rPr>
                <w:rFonts w:ascii="Times New Roman" w:cs="Times New Roman" w:eastAsia="Times New Roman" w:hAnsi="Times New Roman"/>
                <w:sz w:val="22"/>
                <w:szCs w:val="22"/>
                <w:color w:val="008000"/>
                <w:vertAlign w:val="superscript"/>
              </w:rPr>
              <w:t>(1)</w:t>
            </w:r>
          </w:p>
        </w:tc>
        <w:tc>
          <w:tcPr>
            <w:tcW w:w="11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485,000</w:t>
            </w:r>
          </w:p>
        </w:tc>
        <w:tc>
          <w:tcPr>
            <w:tcW w:w="30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940" w:type="dxa"/>
            <w:vAlign w:val="bottom"/>
            <w:gridSpan w:val="3"/>
            <w:vMerge w:val="continue"/>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80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240" w:type="dxa"/>
            <w:vAlign w:val="bottom"/>
            <w:tcBorders>
              <w:bottom w:val="single" w:sz="8" w:color="2C2C2C"/>
            </w:tcBorders>
            <w:gridSpan w:val="4"/>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2240" w:type="dxa"/>
            <w:vAlign w:val="bottom"/>
            <w:gridSpan w:val="4"/>
          </w:tcPr>
          <w:p>
            <w:pPr>
              <w:ind w:left="80"/>
              <w:spacing w:after="0"/>
              <w:rPr>
                <w:sz w:val="20"/>
                <w:szCs w:val="20"/>
                <w:color w:val="auto"/>
              </w:rPr>
            </w:pPr>
            <w:r>
              <w:rPr>
                <w:rFonts w:ascii="Arial" w:cs="Arial" w:eastAsia="Arial" w:hAnsi="Arial"/>
                <w:sz w:val="12"/>
                <w:szCs w:val="12"/>
                <w:b w:val="1"/>
                <w:bCs w:val="1"/>
                <w:color w:val="auto"/>
              </w:rPr>
              <w:t>5. Number  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58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7"/>
              </w:rPr>
              <w:t>Securities</w:t>
            </w: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8"/>
              </w:rPr>
              <w:t>(Instr. 3, 4</w:t>
            </w: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580" w:type="dxa"/>
            <w:vAlign w:val="bottom"/>
            <w:gridSpan w:val="2"/>
          </w:tcPr>
          <w:p>
            <w:pPr>
              <w:ind w:left="140"/>
              <w:spacing w:after="0"/>
              <w:rPr>
                <w:sz w:val="20"/>
                <w:szCs w:val="20"/>
                <w:color w:val="auto"/>
              </w:rPr>
            </w:pPr>
            <w:r>
              <w:rPr>
                <w:rFonts w:ascii="Arial" w:cs="Arial" w:eastAsia="Arial" w:hAnsi="Arial"/>
                <w:sz w:val="12"/>
                <w:szCs w:val="12"/>
                <w:b w:val="1"/>
                <w:bCs w:val="1"/>
                <w:color w:val="auto"/>
              </w:rPr>
              <w:t>Exercisable  Date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ranging from $10.33 to $10.38, inclusive. The reporting person undertakes to provide to the Issuer, any security holder of the Issuer, or the staff of the Securities and Exchange Commission, upon request, full information regarding the number of shares purchased at each separate price within the range set forth above.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 securities held directly by Chardan Capital Markets LLC, for which Mr. Propper is the Chairman, a co-founder and a partner.</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Mr. Propper disclaims any beneficial ownership of the securities reported herein other than to the extent of any pecuniary interest he may have therein, directly or indirectly.</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Kerry Propper</w:t>
            </w: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10/04/2022</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282327" TargetMode="External"/><Relationship Id="rId13" Type="http://schemas.openxmlformats.org/officeDocument/2006/relationships/hyperlink" Target="http://www.sec.gov/cgi-bin/browse-edgar?action=getcompany&amp;CIK=000184798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2022-10-04T21:18:25Z</dcterms:created>
  <dcterms:modified xsi:type="dcterms:W3CDTF">2022-10-04T21:18:25Z</dcterms:modified>
</cp:coreProperties>
</file>