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602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54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602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0001539678</w:t>
      </w:r>
    </w:p>
    <w:p>
      <w:pPr>
        <w:spacing w:after="0" w:line="44" w:lineRule="exact"/>
        <w:rPr>
          <w:sz w:val="24"/>
          <w:szCs w:val="24"/>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Previous Accession Number Of The Filing 0001387131-23-012314</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color w:val="auto"/>
        </w:rPr>
        <w:t>Dragonfly Energy Holdings Corp.</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001-40730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1190 Trademark Drive, #108</w:t>
      </w:r>
    </w:p>
    <w:p>
      <w:pPr>
        <w:spacing w:after="0" w:line="238" w:lineRule="auto"/>
        <w:rPr>
          <w:sz w:val="20"/>
          <w:szCs w:val="20"/>
          <w:color w:val="auto"/>
        </w:rPr>
      </w:pPr>
      <w:r>
        <w:rPr>
          <w:rFonts w:ascii="Arial" w:cs="Arial" w:eastAsia="Arial" w:hAnsi="Arial"/>
          <w:sz w:val="22"/>
          <w:szCs w:val="22"/>
          <w:color w:val="auto"/>
        </w:rPr>
        <w:t>Reno</w:t>
      </w:r>
    </w:p>
    <w:p>
      <w:pPr>
        <w:spacing w:after="0" w:line="230" w:lineRule="auto"/>
        <w:rPr>
          <w:sz w:val="20"/>
          <w:szCs w:val="20"/>
          <w:color w:val="auto"/>
        </w:rPr>
      </w:pPr>
      <w:r>
        <w:rPr>
          <w:rFonts w:ascii="Arial" w:cs="Arial" w:eastAsia="Arial" w:hAnsi="Arial"/>
          <w:sz w:val="22"/>
          <w:szCs w:val="22"/>
          <w:color w:val="auto"/>
        </w:rPr>
        <w:t>NEVADA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89521</w:t>
      </w:r>
    </w:p>
    <w:p>
      <w:pPr>
        <w:spacing w:after="0" w:line="26" w:lineRule="exact"/>
        <w:rPr>
          <w:sz w:val="24"/>
          <w:szCs w:val="24"/>
          <w:color w:val="auto"/>
        </w:rPr>
      </w:pPr>
    </w:p>
    <w:p>
      <w:pPr>
        <w:sectPr>
          <w:pgSz w:w="11900" w:h="16871" w:orient="portrait"/>
          <w:cols w:equalWidth="0" w:num="2">
            <w:col w:w="6680" w:space="720"/>
            <w:col w:w="3840"/>
          </w:cols>
          <w:pgMar w:left="320" w:top="267" w:right="339" w:bottom="0" w:gutter="0" w:footer="0" w:header="0"/>
          <w:type w:val="continuous"/>
        </w:sectPr>
      </w:pPr>
    </w:p>
    <w:p>
      <w:pPr>
        <w:ind w:left="40"/>
        <w:spacing w:after="0"/>
        <w:tabs>
          <w:tab w:leader="none" w:pos="738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22"/>
          <w:szCs w:val="22"/>
          <w:color w:val="auto"/>
        </w:rPr>
        <w:t>775-622-3448</w:t>
      </w:r>
    </w:p>
    <w:p>
      <w:pPr>
        <w:spacing w:after="0" w:line="44"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Name of Person for Whose Account the Securities are To Be Sold</w:t>
      </w:r>
      <w:r>
        <w:rPr>
          <w:sz w:val="20"/>
          <w:szCs w:val="20"/>
          <w:color w:val="auto"/>
        </w:rPr>
        <w:tab/>
      </w:r>
      <w:r>
        <w:rPr>
          <w:rFonts w:ascii="Arial" w:cs="Arial" w:eastAsia="Arial" w:hAnsi="Arial"/>
          <w:sz w:val="19"/>
          <w:szCs w:val="19"/>
          <w:color w:val="auto"/>
        </w:rPr>
        <w:t>John Marchetti</w:t>
      </w:r>
    </w:p>
    <w:p>
      <w:pPr>
        <w:spacing w:after="0" w:line="44"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Chief Financial 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71"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APEX CLEARING</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350 N ST. PAUL ST,</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64925</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90070.45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DALLAS  TX  75201</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0"/>
              </w:rPr>
              <w:t>Approximate</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w w:val="92"/>
              </w:rPr>
              <w:t>Date of Sale</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1200" w:type="dxa"/>
            <w:vAlign w:val="bottom"/>
            <w:vMerge w:val="restart"/>
          </w:tcPr>
          <w:p>
            <w:pPr>
              <w:jc w:val="right"/>
              <w:ind w:right="232"/>
              <w:spacing w:after="0"/>
              <w:rPr>
                <w:sz w:val="20"/>
                <w:szCs w:val="20"/>
                <w:color w:val="auto"/>
              </w:rPr>
            </w:pPr>
            <w:r>
              <w:rPr>
                <w:rFonts w:ascii="Arial" w:cs="Arial" w:eastAsia="Arial" w:hAnsi="Arial"/>
                <w:sz w:val="22"/>
                <w:szCs w:val="22"/>
                <w:color w:val="auto"/>
                <w:w w:val="85"/>
              </w:rPr>
              <w:t>58880000</w:t>
            </w:r>
          </w:p>
        </w:tc>
        <w:tc>
          <w:tcPr>
            <w:tcW w:w="1280" w:type="dxa"/>
            <w:vAlign w:val="bottom"/>
            <w:vMerge w:val="restart"/>
          </w:tcPr>
          <w:p>
            <w:pPr>
              <w:ind w:left="20"/>
              <w:spacing w:after="0"/>
              <w:rPr>
                <w:sz w:val="20"/>
                <w:szCs w:val="20"/>
                <w:color w:val="auto"/>
              </w:rPr>
            </w:pPr>
            <w:r>
              <w:rPr>
                <w:rFonts w:ascii="Arial" w:cs="Arial" w:eastAsia="Arial" w:hAnsi="Arial"/>
                <w:sz w:val="22"/>
                <w:szCs w:val="22"/>
                <w:color w:val="auto"/>
              </w:rPr>
              <w:t>10/17/2023</w:t>
            </w:r>
          </w:p>
        </w:tc>
        <w:tc>
          <w:tcPr>
            <w:tcW w:w="130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53"/>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color w:val="auto"/>
                <w:w w:val="91"/>
              </w:rPr>
              <w:t>Global Market</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560" w:type="dxa"/>
            <w:vAlign w:val="bottom"/>
          </w:tcPr>
          <w:p>
            <w:pPr>
              <w:jc w:val="center"/>
              <w:ind w:left="72"/>
              <w:spacing w:after="0"/>
              <w:rPr>
                <w:sz w:val="20"/>
                <w:szCs w:val="20"/>
                <w:color w:val="auto"/>
              </w:rPr>
            </w:pPr>
            <w:r>
              <w:rPr>
                <w:rFonts w:ascii="Arial" w:cs="Arial" w:eastAsia="Arial" w:hAnsi="Arial"/>
                <w:sz w:val="22"/>
                <w:szCs w:val="22"/>
                <w:b w:val="1"/>
                <w:bCs w:val="1"/>
                <w:color w:val="auto"/>
                <w:w w:val="92"/>
              </w:rPr>
              <w:t>Whom</w:t>
            </w:r>
          </w:p>
        </w:tc>
        <w:tc>
          <w:tcPr>
            <w:tcW w:w="27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Arial" w:cs="Arial" w:eastAsia="Arial" w:hAnsi="Arial"/>
                <w:sz w:val="22"/>
                <w:szCs w:val="22"/>
                <w:b w:val="1"/>
                <w:bCs w:val="1"/>
                <w:color w:val="auto"/>
                <w:w w:val="90"/>
              </w:rPr>
              <w:t>Acquired</w:t>
            </w:r>
          </w:p>
        </w:tc>
        <w:tc>
          <w:tcPr>
            <w:tcW w:w="272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vMerge w:val="restart"/>
          </w:tcPr>
          <w:p>
            <w:pPr>
              <w:ind w:left="20"/>
              <w:spacing w:after="0"/>
              <w:rPr>
                <w:sz w:val="20"/>
                <w:szCs w:val="20"/>
                <w:color w:val="auto"/>
              </w:rPr>
            </w:pPr>
            <w:r>
              <w:rPr>
                <w:rFonts w:ascii="Arial" w:cs="Arial" w:eastAsia="Arial" w:hAnsi="Arial"/>
                <w:sz w:val="22"/>
                <w:szCs w:val="22"/>
                <w:color w:val="auto"/>
                <w:w w:val="96"/>
              </w:rPr>
              <w:t>Restricted Stock</w:t>
            </w:r>
          </w:p>
        </w:tc>
        <w:tc>
          <w:tcPr>
            <w:tcW w:w="1560" w:type="dxa"/>
            <w:vAlign w:val="bottom"/>
          </w:tcPr>
          <w:p>
            <w:pPr>
              <w:ind w:left="140"/>
              <w:spacing w:after="0"/>
              <w:rPr>
                <w:sz w:val="20"/>
                <w:szCs w:val="20"/>
                <w:color w:val="auto"/>
              </w:rPr>
            </w:pPr>
            <w:r>
              <w:rPr>
                <w:rFonts w:ascii="Arial" w:cs="Arial" w:eastAsia="Arial" w:hAnsi="Arial"/>
                <w:sz w:val="22"/>
                <w:szCs w:val="22"/>
                <w:color w:val="auto"/>
              </w:rPr>
              <w:t>Dragonfly</w:t>
            </w:r>
          </w:p>
        </w:tc>
        <w:tc>
          <w:tcPr>
            <w:tcW w:w="2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02/10/2023</w:t>
            </w:r>
          </w:p>
        </w:tc>
        <w:tc>
          <w:tcPr>
            <w:tcW w:w="1580" w:type="dxa"/>
            <w:vAlign w:val="bottom"/>
            <w:vMerge w:val="continue"/>
          </w:tcPr>
          <w:p>
            <w:pPr>
              <w:spacing w:after="0"/>
              <w:rPr>
                <w:sz w:val="10"/>
                <w:szCs w:val="10"/>
                <w:color w:val="auto"/>
              </w:rPr>
            </w:pPr>
          </w:p>
        </w:tc>
        <w:tc>
          <w:tcPr>
            <w:tcW w:w="1560" w:type="dxa"/>
            <w:vAlign w:val="bottom"/>
            <w:vMerge w:val="restart"/>
          </w:tcPr>
          <w:p>
            <w:pPr>
              <w:ind w:left="140"/>
              <w:spacing w:after="0"/>
              <w:rPr>
                <w:sz w:val="20"/>
                <w:szCs w:val="20"/>
                <w:color w:val="auto"/>
              </w:rPr>
            </w:pPr>
            <w:r>
              <w:rPr>
                <w:rFonts w:ascii="Arial" w:cs="Arial" w:eastAsia="Arial" w:hAnsi="Arial"/>
                <w:sz w:val="22"/>
                <w:szCs w:val="22"/>
                <w:color w:val="auto"/>
              </w:rPr>
              <w:t>Energy</w:t>
            </w:r>
          </w:p>
        </w:tc>
        <w:tc>
          <w:tcPr>
            <w:tcW w:w="2720" w:type="dxa"/>
            <w:vAlign w:val="bottom"/>
            <w:vMerge w:val="restart"/>
          </w:tcPr>
          <w:p>
            <w:pPr>
              <w:jc w:val="right"/>
              <w:ind w:right="532"/>
              <w:spacing w:after="0"/>
              <w:rPr>
                <w:sz w:val="20"/>
                <w:szCs w:val="20"/>
                <w:color w:val="auto"/>
              </w:rPr>
            </w:pPr>
            <w:r>
              <w:rPr>
                <w:rFonts w:ascii="Arial" w:cs="Arial" w:eastAsia="Arial" w:hAnsi="Arial"/>
                <w:sz w:val="22"/>
                <w:szCs w:val="22"/>
                <w:color w:val="auto"/>
              </w:rPr>
              <w:t>64925</w:t>
            </w:r>
          </w:p>
        </w:tc>
        <w:tc>
          <w:tcPr>
            <w:tcW w:w="1480" w:type="dxa"/>
            <w:vAlign w:val="bottom"/>
            <w:vMerge w:val="restart"/>
          </w:tcPr>
          <w:p>
            <w:pPr>
              <w:ind w:left="120"/>
              <w:spacing w:after="0"/>
              <w:rPr>
                <w:sz w:val="20"/>
                <w:szCs w:val="20"/>
                <w:color w:val="auto"/>
              </w:rPr>
            </w:pPr>
            <w:r>
              <w:rPr>
                <w:rFonts w:ascii="Arial" w:cs="Arial" w:eastAsia="Arial" w:hAnsi="Arial"/>
                <w:sz w:val="22"/>
                <w:szCs w:val="22"/>
                <w:color w:val="auto"/>
                <w:w w:val="91"/>
              </w:rPr>
              <w:t>02/10/2023 NA</w:t>
            </w:r>
          </w:p>
        </w:tc>
        <w:tc>
          <w:tcPr>
            <w:tcW w:w="0" w:type="dxa"/>
            <w:vAlign w:val="bottom"/>
          </w:tcPr>
          <w:p>
            <w:pPr>
              <w:spacing w:after="0"/>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0" w:lineRule="exact"/>
              <w:rPr>
                <w:sz w:val="20"/>
                <w:szCs w:val="20"/>
                <w:color w:val="auto"/>
              </w:rPr>
            </w:pPr>
            <w:r>
              <w:rPr>
                <w:rFonts w:ascii="Arial" w:cs="Arial" w:eastAsia="Arial" w:hAnsi="Arial"/>
                <w:sz w:val="22"/>
                <w:szCs w:val="22"/>
                <w:color w:val="auto"/>
              </w:rPr>
              <w:t>Vesting</w:t>
            </w:r>
          </w:p>
        </w:tc>
        <w:tc>
          <w:tcPr>
            <w:tcW w:w="1560" w:type="dxa"/>
            <w:vAlign w:val="bottom"/>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560" w:type="dxa"/>
            <w:vAlign w:val="bottom"/>
          </w:tcPr>
          <w:p>
            <w:pPr>
              <w:ind w:left="140"/>
              <w:spacing w:after="0"/>
              <w:rPr>
                <w:sz w:val="20"/>
                <w:szCs w:val="20"/>
                <w:color w:val="auto"/>
              </w:rPr>
            </w:pPr>
            <w:r>
              <w:rPr>
                <w:rFonts w:ascii="Arial" w:cs="Arial" w:eastAsia="Arial" w:hAnsi="Arial"/>
                <w:sz w:val="22"/>
                <w:szCs w:val="22"/>
                <w:color w:val="auto"/>
                <w:w w:val="96"/>
              </w:rPr>
              <w:t>Holdings Corp.</w:t>
            </w:r>
          </w:p>
        </w:tc>
        <w:tc>
          <w:tcPr>
            <w:tcW w:w="2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-361950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43"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80" w:type="dxa"/>
            <w:vAlign w:val="bottom"/>
          </w:tcPr>
          <w:p>
            <w:pPr>
              <w:spacing w:after="0"/>
              <w:rPr>
                <w:sz w:val="20"/>
                <w:szCs w:val="20"/>
                <w:color w:val="auto"/>
              </w:rPr>
            </w:pPr>
            <w:r>
              <w:rPr>
                <w:rFonts w:ascii="Arial" w:cs="Arial" w:eastAsia="Arial" w:hAnsi="Arial"/>
                <w:sz w:val="22"/>
                <w:szCs w:val="22"/>
                <w:color w:val="auto"/>
              </w:rPr>
              <w:t>Remarks</w:t>
            </w:r>
          </w:p>
        </w:tc>
        <w:tc>
          <w:tcPr>
            <w:tcW w:w="2860" w:type="dxa"/>
            <w:vAlign w:val="bottom"/>
          </w:tcPr>
          <w:p>
            <w:pPr>
              <w:spacing w:after="0"/>
              <w:rPr>
                <w:sz w:val="23"/>
                <w:szCs w:val="23"/>
                <w:color w:val="auto"/>
              </w:rPr>
            </w:pPr>
          </w:p>
        </w:tc>
      </w:tr>
      <w:tr>
        <w:trPr>
          <w:trHeight w:val="297"/>
        </w:trPr>
        <w:tc>
          <w:tcPr>
            <w:tcW w:w="3180" w:type="dxa"/>
            <w:vAlign w:val="bottom"/>
          </w:tcPr>
          <w:p>
            <w:pPr>
              <w:spacing w:after="0"/>
              <w:rPr>
                <w:sz w:val="20"/>
                <w:szCs w:val="20"/>
                <w:color w:val="auto"/>
              </w:rPr>
            </w:pPr>
            <w:r>
              <w:rPr>
                <w:rFonts w:ascii="Arial" w:cs="Arial" w:eastAsia="Arial" w:hAnsi="Arial"/>
                <w:sz w:val="22"/>
                <w:szCs w:val="22"/>
                <w:color w:val="auto"/>
              </w:rPr>
              <w:t>Date of Notice</w:t>
            </w:r>
          </w:p>
        </w:tc>
        <w:tc>
          <w:tcPr>
            <w:tcW w:w="2860" w:type="dxa"/>
            <w:vAlign w:val="bottom"/>
          </w:tcPr>
          <w:p>
            <w:pPr>
              <w:jc w:val="right"/>
              <w:spacing w:after="0"/>
              <w:rPr>
                <w:sz w:val="20"/>
                <w:szCs w:val="20"/>
                <w:color w:val="auto"/>
              </w:rPr>
            </w:pPr>
            <w:r>
              <w:rPr>
                <w:rFonts w:ascii="Arial" w:cs="Arial" w:eastAsia="Arial" w:hAnsi="Arial"/>
                <w:sz w:val="22"/>
                <w:szCs w:val="22"/>
                <w:color w:val="auto"/>
              </w:rPr>
              <w:t>10/17/2023</w:t>
            </w:r>
          </w:p>
        </w:tc>
      </w:tr>
      <w:tr>
        <w:trPr>
          <w:trHeight w:val="297"/>
        </w:trPr>
        <w:tc>
          <w:tcPr>
            <w:tcW w:w="31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John Marchetti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2023-10-17T15:50:43Z</dcterms:created>
  <dcterms:modified xsi:type="dcterms:W3CDTF">2023-10-17T15:50:43Z</dcterms:modified>
</cp:coreProperties>
</file>