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001-40730</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85-1873463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12915 Old Virginia Road</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Reno, Nevada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89521</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Redeemable warrants, exercisable for common stock</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16, 2026, Dragonfly Energy Holdings Corp. (the “Company”) issued a press release containing certain preliminary financial results for the fourth quarter and full year ended December 31, 2025. Following the publication of the press release, the Company will host an earnings call at 4:30 p.m. (Eastern Time) on March 16, 2025, via a webcast. During the webcast, the Company’s financial results for the third quarter ended September 30, 2025 will be discussed. A copy of the press release is attached as Exhibit 99.1 hereto and incorporated in this Item 2.02 by reference.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Base Salary Reductions and Equity Awards to Named Executive Officers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15, 2026, members of the Company’s executive leadership team, including Denis Phares, Chief Executive Officer, Interim Chief Financial Officer and President, Wade Seaburg, Chief Commercial Officer, and Tyler Bourns, Chief Marketing Officer (collectively, the “Named Executive Officers”), each agreed to reduce their salary by approximately 20% for the remainder of fiscal 2026, effective April 1, 2026. As a result of these reductions, the salaries for the following executive officers for fiscal 2026 shall be: (i) $497,600 for Dr. Phares; (ii) $221,000 for Mr. Seaburg, and (iii) $264,000 for Mr. Bourns. In addition, the Company’s Chief Operating Officer agreed to reduce his salary by approximately 20% to $280,000 for the remainder of fiscal 2026, effective April 1, 2026.</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lieu of cash compensation, the Named Executive Officers were granted option awards under the Company’s 2022 Equity Incentive Plan (the “Plan”) as follows: (i) Dr. Phares received options to purchase 38,269 shares of the Company’s common stock, par value $0.001 per share (the “Common Stock”), (ii) Mr. Seaburg received options to purchase 36,607 shares of Common Stock, and (iii) Mr. Bourns received options to purchase 20,303 shares of Common Stock, in each case at an exercise price of $2.99 per share. In addition, in lieu of cash compensation, the Chief Operating Officer received options to purchase 21,534 shares of Common Stock at an exercise price of $2.99 per share under the Plan. The options vest in three equal annual installments, with one-third of the options vesting on April 1, 2026, one-third vesting on April 1, 2027, and the remaining one-third vesting on April 1, 2028, in each case subject to such Named Executive Officer’s continued service through the applicable vesting date and the terms of the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Director Compensation and Equity Awards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Each of the non-employee members of the Company’s Board of Directors (the “Board”) has also agreed to reduce their cash compensation by approximately 20% for the remainder of fiscal 2026, effective April 1, 2026. In lieu of such cash compensation, each of such directors was granted 13,364 RSUs in the aggregate under the Plan. The RSUs have the same vesting terms as the options, in each case subject to continued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2.02 Results of Operation and Financial Condition” above.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Current Report on Form 8-K under Items 2.02 and 7.01, including the information contained in Exhibit 99.1, is being furnished to the Securities and Exchange Commission (the “SEC”), and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Cost Reductions and Equity Awards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also implemented a 20% reduction in total payroll expense through a combination of targeted workforce reductions and salary adjustments. In lieu of cash compensation, the other employees received restricted stock units for an aggregate of up to 700,000 shares of Common Stock under the Plan. The RSUs have the same vesting terms as the options.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reduced discretionary spending, including a reduction in DTC-focused marketing expenses, to shift resources towards growing commercial revenues. The Company is also consolidating its rental space, which is expected to result in a $4.0 million reduction in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reduced management salaries, the reduced director fees, workforce reductions, the other reduced salaries and discretionary spending, the Company expects these initiatives to generate approximately $8.9 million in annualized savings.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4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estimates, assumptions, risks and uncertainties. Forward-looking statements include, but are not limited to, statements regarding the Company’s guidance for the first quarter of 2026, preliminary results of operations and financial position for fourth quarter and fiscal year 2025, planned products and services, business strategy and plans, market size and growth opportunities, competitive position and technological and market trends, as well as other risks detailed from time to time in the Company’s filings with the SEC, including in its Annual Report on Form 10-K for the year ended December 31, 2024. These documents contain important factors that could cause actual results to differ from current expectations and from the forward-looking statements contained in this Current Report on Form 8-K. These forward-looking statements speak only as of the date of this Current Report on Form 8-K and the Company undertakes no obligation to publicly update any forward-looking statements to reflect new information, events or circumstances after the date of this Current Report on Form 8-K.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3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of Dragonfly Energy Holdings Corp., dated March 16, 2026.</w:t>
            </w:r>
          </w:p>
        </w:tc>
        <w:tc>
          <w:tcPr>
            <w:tcW w:w="4740" w:type="dxa"/>
            <w:vAlign w:val="bottom"/>
            <w:tcBorders>
              <w:top w:val="single" w:sz="8" w:color="auto"/>
            </w:tcBorders>
          </w:tcPr>
          <w:p>
            <w:pPr>
              <w:spacing w:after="0"/>
              <w:rPr>
                <w:sz w:val="14"/>
                <w:szCs w:val="14"/>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2026</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6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156845</wp:posOffset>
            </wp:positionV>
            <wp:extent cx="170561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Significant Corporate Actions and Reports Fourth Quarter and Full Year 2025 Preliminary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Year 2025 Revenue Increased 16% Driven By 34% Growth in OEM Sales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Announces Reduction of Expenses, Improved Cost Structure and Accelerated Path to Profitability While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Providing Greater Alignment with Shareholders</w:t>
      </w:r>
    </w:p>
    <w:p>
      <w:pPr>
        <w:spacing w:after="0" w:line="203" w:lineRule="exact"/>
        <w:rPr>
          <w:sz w:val="20"/>
          <w:szCs w:val="20"/>
          <w:color w:val="auto"/>
        </w:rPr>
      </w:pPr>
    </w:p>
    <w:p>
      <w:pPr>
        <w:ind w:right="2660" w:firstLine="266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Targets Positive Adjusted EBITDA at $70 Million Annual Revenue Run Rate </w:t>
      </w:r>
      <w:r>
        <w:rPr>
          <w:rFonts w:ascii="Times New Roman" w:cs="Times New Roman" w:eastAsia="Times New Roman" w:hAnsi="Times New Roman"/>
          <w:sz w:val="18"/>
          <w:szCs w:val="18"/>
          <w:b w:val="1"/>
          <w:bCs w:val="1"/>
          <w:u w:val="single" w:color="auto"/>
          <w:color w:val="auto"/>
        </w:rPr>
        <w:t>Fourth Quarter and Full Year 2025 Financial Highlights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$13.1 million and $58.6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net sales were $8.1 million and $36.9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was 18.2% and 26.7%.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$(45.0) million and $(69.9)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$(3.8) million and $(11.8) million.</w:t>
      </w:r>
    </w:p>
    <w:p>
      <w:pPr>
        <w:spacing w:after="0" w:line="20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 xml:space="preserve">RENO, NEVADA (March 16, 2026) </w:t>
      </w:r>
      <w:r>
        <w:rPr>
          <w:rFonts w:ascii="Times New Roman" w:cs="Times New Roman" w:eastAsia="Times New Roman" w:hAnsi="Times New Roman"/>
          <w:sz w:val="18"/>
          <w:szCs w:val="18"/>
          <w:color w:val="auto"/>
        </w:rPr>
        <w:t>— Dragonfly Energy Holdings Corp. (Nasdaq: DFLI) (“Dragonfly Energy” or the “Company”), an industry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storage and battery technology and maker of Battle Born Batteries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today announced significant corporate actions and reported financial and operational results for the fourth quarter and full year ended December 31, 2025.</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fourth quarter capped a year of meaningful progress for Dragonfly Energy,” commented Dr. Denis Phares, Chief Executive Officer. “In 2025, we strengthened our balance sheet through decisive capital actions, expanded key RV and heavy-duty trucking partnerships, and delivered solid year-over-year revenue growth despite continued market headwinds. We also advanced strategic initiatives across product development and manufacturing, which we believe support the continued adoption of our solutions and position the Company for long-term growth.”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“Earlier this month, we implemented a series of actions intended to significantly improve our cost structure and sharpen our focus on commercial markets as our customer base continues to evolve toward OEM, trucking, and industrial channels,” continued Dr. Phares. “We believe these steps position Dragonfly Energy to operate more efficiently while aligning the organization with the areas where we are seeing the strongest long-term demand.”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approach the second quarter of 2026, we remain focused on expanding OEM relationships, improving operational efficiency, and strengthening our financial foundation to support our path to sustainable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Cost Realignment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2026, Dragonfly Energy implemented a strategic cost realignment designed to reduce operating expenses, better align incentives with shareholders and sharpen the Company’s focus on its commercial channels, including OEM, trucking, and industrial end markets. The Company expects the initiative to generate approximately $8.9 million in annualized savings. Key elements of the initiative include: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and Executive Leadership Compensation Adjustments</w:t>
      </w:r>
      <w:r>
        <w:rPr>
          <w:rFonts w:ascii="Times New Roman" w:cs="Times New Roman" w:eastAsia="Times New Roman" w:hAnsi="Times New Roman"/>
          <w:sz w:val="18"/>
          <w:szCs w:val="18"/>
          <w:color w:val="auto"/>
        </w:rPr>
        <w:t>: Each member of Dragonfly’s executive leadership team and Board of Directors has agreed to reduce their cash compensation by approximately 20% for the remainder of fiscal 2026, effective April 1, 2026. In lieu of cash compensation, they have received equity-based incentives, aligning incentives with long-term shareholder value.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Workforce and Compensation Adjustments</w:t>
      </w:r>
      <w:r>
        <w:rPr>
          <w:rFonts w:ascii="Times New Roman" w:cs="Times New Roman" w:eastAsia="Times New Roman" w:hAnsi="Times New Roman"/>
          <w:sz w:val="18"/>
          <w:szCs w:val="18"/>
          <w:color w:val="auto"/>
        </w:rPr>
        <w:t>: Dragonfly is implementing a 20% reduction in total payroll expense through a combination of targeted workforce reductions and salary adjustments. Non-executive employees participating in salary reductions have received equity-based compensation.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Reduction in Discretionary Spending</w:t>
      </w:r>
      <w:r>
        <w:rPr>
          <w:rFonts w:ascii="Times New Roman" w:cs="Times New Roman" w:eastAsia="Times New Roman" w:hAnsi="Times New Roman"/>
          <w:sz w:val="18"/>
          <w:szCs w:val="18"/>
          <w:color w:val="auto"/>
        </w:rPr>
        <w:t>: The Company is reducing discretionary spending, including a reduction in DTC-focused marketing expenses, as it shifts resources towards growing commercial revenues.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Facility Consolidation</w:t>
      </w:r>
      <w:r>
        <w:rPr>
          <w:rFonts w:ascii="Times New Roman" w:cs="Times New Roman" w:eastAsia="Times New Roman" w:hAnsi="Times New Roman"/>
          <w:sz w:val="18"/>
          <w:szCs w:val="18"/>
          <w:color w:val="auto"/>
        </w:rPr>
        <w:t>: Dragonfly is consolidating its rental space, which is expected to result in a $4.0 million reduction in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and 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result comparisons made are against the prior-year period unless otherwise noted)</w:t>
      </w:r>
    </w:p>
    <w:p>
      <w:pPr>
        <w:spacing w:after="0" w:line="203"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8"/>
          <w:szCs w:val="18"/>
          <w:b w:val="1"/>
          <w:bCs w:val="1"/>
          <w:color w:val="auto"/>
        </w:rPr>
        <w:t>Net Sales by Customer Type</w:t>
      </w:r>
    </w:p>
    <w:p>
      <w:pPr>
        <w:spacing w:after="0" w:line="31"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00" w:type="dxa"/>
            <w:vAlign w:val="bottom"/>
            <w:gridSpan w:val="5"/>
          </w:tcPr>
          <w:p>
            <w:pPr>
              <w:ind w:left="1080"/>
              <w:spacing w:after="0"/>
              <w:rPr>
                <w:sz w:val="20"/>
                <w:szCs w:val="20"/>
                <w:color w:val="auto"/>
              </w:rPr>
            </w:pPr>
            <w:r>
              <w:rPr>
                <w:rFonts w:ascii="Times New Roman" w:cs="Times New Roman" w:eastAsia="Times New Roman" w:hAnsi="Times New Roman"/>
                <w:sz w:val="18"/>
                <w:szCs w:val="18"/>
                <w:b w:val="1"/>
                <w:bCs w:val="1"/>
                <w:color w:val="242424"/>
              </w:rPr>
              <w:t>Fiscal Quarter Ended</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Change (YoY)</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42424"/>
              </w:rPr>
              <w:t>OEM</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42424"/>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8,114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6,236</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42424"/>
              </w:rPr>
              <w:t>30.1%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242424"/>
              </w:rPr>
              <w:t>DTC</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42424"/>
              </w:rPr>
              <w:t>4,695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42424"/>
              </w:rPr>
              <w:t>5,725</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42424"/>
              </w:rPr>
              <w:t>-18.0%</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42424"/>
              </w:rPr>
              <w:t>Licensing Fee</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42424"/>
              </w:rPr>
              <w:t>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42424"/>
              </w:rPr>
              <w:t>250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42424"/>
              </w:rPr>
              <w:t>0%</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42424"/>
              </w:rPr>
              <w:t>Net Sales</w:t>
            </w:r>
          </w:p>
        </w:tc>
        <w:tc>
          <w:tcPr>
            <w:tcW w:w="18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900" w:type="dxa"/>
            <w:vAlign w:val="bottom"/>
            <w:vMerge w:val="continue"/>
          </w:tcPr>
          <w:p>
            <w:pPr>
              <w:spacing w:after="0"/>
              <w:rPr>
                <w:sz w:val="19"/>
                <w:szCs w:val="19"/>
                <w:color w:val="auto"/>
              </w:rPr>
            </w:pPr>
          </w:p>
        </w:tc>
        <w:tc>
          <w:tcPr>
            <w:tcW w:w="18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42424"/>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13,059</w:t>
            </w:r>
          </w:p>
        </w:tc>
        <w:tc>
          <w:tcPr>
            <w:tcW w:w="3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12,212</w:t>
            </w:r>
          </w:p>
        </w:tc>
        <w:tc>
          <w:tcPr>
            <w:tcW w:w="320" w:type="dxa"/>
            <w:vAlign w:val="bottom"/>
            <w:vMerge w:val="continue"/>
          </w:tcPr>
          <w:p>
            <w:pPr>
              <w:spacing w:after="0"/>
              <w:rPr>
                <w:sz w:val="19"/>
                <w:szCs w:val="19"/>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42424"/>
              </w:rPr>
              <w:t>6.9%</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6.9% to $13.1 million. OEM net sales grew 30.1% to $8.1 million, led by continued strong adoption of our products at the factory level.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net sales were $4.7 million compared to $5.7 million, reflecting ongoing macroeconomic pressures and lessening corporate focus on DTC sales.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$2.4 million, with a gross margin of 18.2%, compared to gross profit of $2.5 million and gross margin of 20.8%. The year-over-year declines were due to a year-end inventory adjustment and lower volumes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Operating Expenses were $12.6 million, compared to $9.7 million. The increase was primarily related to one-time expenses associated with the debt restructure, as well as loss on lease impairment and settlements.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a Net Loss of $(45.0) million, or $(14.92) per diluted share, compared to Net Loss of $(9.8) million or $(13.89) per diluted share. Adjusted EBITDA excluding stock-based compensation, changes in the fair market value of our warrants, and other one-time expenses, was $(3.8) million, compared to $(2.3) million. Adjusted EBITDA was impacted by a year-end inventory valuation adjustment.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 non-GAAP measure and should be considered only as supplemental to, and not as superior to, financial measures prepared in accordance with United States generally accepted accounting principles (“GAAP”). Please refer to the reconciliation of Adjusted EBITDA to its nearest GAAP measure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Full Year 2025 Financial and 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result comparisons made are against the prior-year period unless otherwise noted)</w:t>
      </w:r>
    </w:p>
    <w:p>
      <w:pPr>
        <w:spacing w:after="0" w:line="203"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8"/>
          <w:szCs w:val="18"/>
          <w:b w:val="1"/>
          <w:bCs w:val="1"/>
          <w:color w:val="auto"/>
        </w:rPr>
        <w:t>Net Sales by Customer Type</w:t>
      </w:r>
    </w:p>
    <w:p>
      <w:pPr>
        <w:spacing w:after="0" w:line="31" w:lineRule="exact"/>
        <w:rPr>
          <w:sz w:val="20"/>
          <w:szCs w:val="20"/>
          <w:color w:val="auto"/>
        </w:rPr>
      </w:pPr>
    </w:p>
    <w:p>
      <w:pPr>
        <w:jc w:val="center"/>
        <w:ind w:left="23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00" w:type="dxa"/>
            <w:vAlign w:val="bottom"/>
            <w:gridSpan w:val="5"/>
          </w:tcPr>
          <w:p>
            <w:pPr>
              <w:ind w:left="1200"/>
              <w:spacing w:after="0"/>
              <w:rPr>
                <w:sz w:val="20"/>
                <w:szCs w:val="20"/>
                <w:color w:val="auto"/>
              </w:rPr>
            </w:pPr>
            <w:r>
              <w:rPr>
                <w:rFonts w:ascii="Times New Roman" w:cs="Times New Roman" w:eastAsia="Times New Roman" w:hAnsi="Times New Roman"/>
                <w:sz w:val="18"/>
                <w:szCs w:val="18"/>
                <w:b w:val="1"/>
                <w:bCs w:val="1"/>
                <w:color w:val="242424"/>
              </w:rPr>
              <w:t>Fiscal Year Ended</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Change (YoY)</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42424"/>
              </w:rPr>
              <w:t>OEM</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42424"/>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36,934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27,612</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42424"/>
              </w:rPr>
              <w:t>33.8%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242424"/>
              </w:rPr>
              <w:t>DTC</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42424"/>
              </w:rPr>
              <w:t>20,696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42424"/>
              </w:rPr>
              <w:t>22,616</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42424"/>
              </w:rPr>
              <w:t>-8.5%</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42424"/>
              </w:rPr>
              <w:t>Licensing</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rPr>
              <w:t>$</w:t>
            </w: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42424"/>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42424"/>
              </w:rPr>
              <w:t>417</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42424"/>
              </w:rPr>
              <w:t>139.8%</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42424"/>
              </w:rPr>
              <w:t>Net Sales</w:t>
            </w:r>
          </w:p>
        </w:tc>
        <w:tc>
          <w:tcPr>
            <w:tcW w:w="19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74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42424"/>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58,630</w:t>
            </w:r>
          </w:p>
        </w:tc>
        <w:tc>
          <w:tcPr>
            <w:tcW w:w="32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242424"/>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242424"/>
              </w:rPr>
              <w:t>50,645</w:t>
            </w:r>
          </w:p>
        </w:tc>
        <w:tc>
          <w:tcPr>
            <w:tcW w:w="320" w:type="dxa"/>
            <w:vAlign w:val="bottom"/>
            <w:vMerge w:val="continue"/>
          </w:tcPr>
          <w:p>
            <w:pPr>
              <w:spacing w:after="0"/>
              <w:rPr>
                <w:sz w:val="19"/>
                <w:szCs w:val="19"/>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42424"/>
              </w:rPr>
              <w:t>15.8%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Net Sales increased 15.8% to $58.6 million. OEM net sales increased 33.8%, led by increased product adoption and new customer acquisitions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DTC net sales declined to $20.7 million, from $22.6 million, reflecting continued softness in the RV market due to continued macroeconomic pressures.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34.6% to $15.6 million and gross margin expanded 370 basis points to 26.7%, reflecting higher sales volumes. Operating Expenses were $(38.8) million, compared to $(37.4)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a Net Loss of $(69.9) million, or $(14.80) per diluted share, compared to a Net Loss of $(40.6) million or $(59.15) per diluted share. Adjusted EBITDA excluding stock-based compensation, changes in the fair market value of the Company’s warrants, and other one-time expenses, was negative $(11.8) million, compared to negative $(18.5) million.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fourth quarter and full year 2025 financial and operating results are preliminary and are subject to finalization and adjustment in connection with the audit of the financial statements for the fiscal year ended December 31, 2025 and the preparation of the Company’s Annual Report on Form 10-K for the three months and fiscal year ended December 31, 2025. The preliminary financial results included in this press release have been prepared by, and are the responsibility of, the Company’s management. During the course of the preparation of the Company’s financial statements and related notes as of and for the three months and full year ended December 31, 2025, the Company may identify items that would require it to make material adjustments to the preliminary financial results presented herein. As a result, investors should exercise caution in relying on this information and should not draw any inferences from this information. This preliminary financial information should not be viewed as a substitute for full financial statements prepared in accordance with GAAP and reviewed by the Company’s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and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we took important steps to strengthen the business, substantially improving our balance sheet while expanding our customer base and product portfolio. Together with our ongoing operational initiatives, newly implemented cost realignment, and enhanced focus on commercial revenues, we believe Dragonfly Energy is positioned to achieve profitability and deliver long-term value for shareholders.”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2026, we anticipate revenue of $9.5 million and adjusted EBITDA loss of $4.6 million. First quarter results are expected to reflect softer than anticipated conditions in the RV market, particularly in January, along with a slower-than-expected ramp in the trucking segment. Activity has shown signs of stabilizing, and we expect operating leverage to improve as the year progresses,” concluded Dr.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Q1 2026 Guidance</w:t>
      </w:r>
    </w:p>
    <w:p>
      <w:pPr>
        <w:spacing w:after="0" w:line="225" w:lineRule="exact"/>
        <w:rPr>
          <w:sz w:val="20"/>
          <w:szCs w:val="20"/>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Sales of approximately </w:t>
      </w:r>
      <w:r>
        <w:rPr>
          <w:rFonts w:ascii="Times New Roman" w:cs="Times New Roman" w:eastAsia="Times New Roman" w:hAnsi="Times New Roman"/>
          <w:sz w:val="18"/>
          <w:szCs w:val="18"/>
          <w:b w:val="1"/>
          <w:bCs w:val="1"/>
          <w:color w:val="auto"/>
        </w:rPr>
        <w:t>$9.5</w:t>
      </w:r>
      <w:r>
        <w:rPr>
          <w:rFonts w:ascii="Times New Roman" w:cs="Times New Roman" w:eastAsia="Times New Roman" w:hAnsi="Times New Roman"/>
          <w:sz w:val="18"/>
          <w:szCs w:val="18"/>
          <w:color w:val="auto"/>
        </w:rPr>
        <w:t xml:space="preserve"> million.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EBITDA of approximately </w:t>
      </w: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color w:val="auto"/>
        </w:rPr>
        <w:t xml:space="preserve"> million*</w:t>
      </w:r>
    </w:p>
    <w:p>
      <w:pPr>
        <w:spacing w:after="0" w:line="206" w:lineRule="exact"/>
        <w:rPr>
          <w:rFonts w:ascii="Times New Roman" w:cs="Times New Roman" w:eastAsia="Times New Roman" w:hAnsi="Times New Roman"/>
          <w:sz w:val="18"/>
          <w:szCs w:val="18"/>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cannot reconcile its expected adjusted operating EBITDA under “Q1 2026 Guidance” without unreasonable effort because certain items that impact net (loss) income and other reconciling metrics are out of the Company’s control and/or cannot be reasonably predicted at this time. Actual results may vary from the guidance and the variations may be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the Company believes is useful to investors and analysts because it illustrates the underlying financial and business trends relating to the Company’s core, recurring results of operations and enhances comparability between periods.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it should not be considered in isolation or as a substitute for analysis of net loss or other results as reported under GAAP. Some of these limitations are:</w:t>
      </w:r>
    </w:p>
    <w:p>
      <w:pPr>
        <w:spacing w:after="0" w:line="16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Company’s cash expenditures,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the Company’s working capital needs;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Company’s tax expense or the cash requirements to pay taxes;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amortization and depreciation are non-cash charges, the assets being amortized and depreciated will often have to be replaced in the future and Adjusted EBITDA does not reflect any cash requirements for such replacements;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should not be construed as an inference that the Company’s future results will be unaffected by unusual or non-recurring items for which the Company may adjust in historical periods;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 the industry may calculate Adjusted EBITDA differently than the Company does, limiting its usefulness as a comparative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Dragonfly Energy management team will host a conference call to discuss its fourth quarter and full year 2025 financial and operational this afternoon, March 16, 2026 at 4:30 PM Eastern Time. The call can be accessed live via webcast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or through the Events and Presentations page within the Investor Relations section of Dragonfly Energy’s website at </w:t>
      </w:r>
      <w:r>
        <w:rPr>
          <w:rFonts w:ascii="Times New Roman" w:cs="Times New Roman" w:eastAsia="Times New Roman" w:hAnsi="Times New Roman"/>
          <w:sz w:val="18"/>
          <w:szCs w:val="18"/>
          <w:u w:val="single" w:color="auto"/>
          <w:color w:val="auto"/>
        </w:rPr>
        <w:t>https://investors.dragonflyenergy.com/events-and-presentations/default.aspx.</w:t>
      </w:r>
      <w:r>
        <w:rPr>
          <w:rFonts w:ascii="Times New Roman" w:cs="Times New Roman" w:eastAsia="Times New Roman" w:hAnsi="Times New Roman"/>
          <w:sz w:val="18"/>
          <w:szCs w:val="18"/>
          <w:color w:val="auto"/>
        </w:rPr>
        <w:t xml:space="preserve"> The call can also be accessed live via telephone by dialing (646) 564-2877, toll-free in North America (800) 549-8228, or for international callers +1 (289) 819-1520, and referencing conference ID: 41799. Please log in to the webcast or dial in to the call at least 10 minutes prior to the start of the event.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archive of the webcast will be available for a period of time shortly after the call on the Events and Presentations page on the Investor Relations section of Dragonfly Energy’s website, along with the earnings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https://investors.dragonflyenergy.com/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the first quarter of 2026, preliminary results of operations and financial position for fourth quarter and fiscal year 2025,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filed with the SEC and in the Company’s subsequent filings with the SEC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Fourth quarter and full year 2025 financial and operating results are preliminary, as they are subject to finalization and adjustment in connection with the preparation of the Annual Report on Form 10-K for fiscal 2025 to be filed later this month. During the course of the preparation of these financial statements, Dragonfly may identify items that would require the Company to make material adjustments to the preliminary financial results. As a result, investors should exercise caution in relying on this information and should not draw any inferences from this information. The preliminary financial information should not be viewed as a substitute for full financial statements prepared in accordance with GAAP and reviewed by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Financial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18"/>
                <w:szCs w:val="18"/>
                <w:color w:val="auto"/>
              </w:rPr>
            </w:pPr>
          </w:p>
        </w:tc>
      </w:tr>
      <w:tr>
        <w:trPr>
          <w:trHeight w:val="23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19"/>
                <w:szCs w:val="19"/>
                <w:color w:val="auto"/>
              </w:rPr>
            </w:pPr>
          </w:p>
        </w:tc>
      </w:tr>
      <w:tr>
        <w:trPr>
          <w:trHeight w:val="209"/>
        </w:trPr>
        <w:tc>
          <w:tcPr>
            <w:tcW w:w="6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50,180</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22,107</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80" w:type="dxa"/>
            <w:vAlign w:val="bottom"/>
            <w:shd w:val="clear" w:color="auto" w:fill="CCEEFF"/>
          </w:tcPr>
          <w:p>
            <w:pPr>
              <w:spacing w:after="0"/>
              <w:rPr>
                <w:sz w:val="18"/>
                <w:szCs w:val="18"/>
                <w:color w:val="auto"/>
              </w:rPr>
            </w:pPr>
          </w:p>
        </w:tc>
      </w:tr>
      <w:tr>
        <w:trPr>
          <w:trHeight w:val="22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r>
      <w:tr>
        <w:trPr>
          <w:trHeight w:val="223"/>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settlement, current portion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80" w:type="dxa"/>
            <w:vAlign w:val="bottom"/>
            <w:shd w:val="clear" w:color="auto" w:fill="CCEEFF"/>
          </w:tcPr>
          <w:p>
            <w:pPr>
              <w:spacing w:after="0"/>
              <w:rPr>
                <w:sz w:val="18"/>
                <w:szCs w:val="18"/>
                <w:color w:val="auto"/>
              </w:rPr>
            </w:pP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r>
      <w:tr>
        <w:trPr>
          <w:trHeight w:val="209"/>
        </w:trPr>
        <w:tc>
          <w:tcPr>
            <w:tcW w:w="6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settlement, net of current portion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non current portion, net of debt issuance costs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29,646</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80" w:type="dxa"/>
            <w:vAlign w:val="bottom"/>
            <w:shd w:val="clear" w:color="auto" w:fill="CCEEFF"/>
          </w:tcPr>
          <w:p>
            <w:pPr>
              <w:spacing w:after="0"/>
              <w:rPr>
                <w:sz w:val="18"/>
                <w:szCs w:val="18"/>
                <w:color w:val="auto"/>
              </w:rPr>
            </w:pP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r>
      <w:tr>
        <w:trPr>
          <w:trHeight w:val="209"/>
        </w:trPr>
        <w:tc>
          <w:tcPr>
            <w:tcW w:w="68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52,763</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 Series A 5,000 shares at $0.0001 par value, authorized, no shares issued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as of December 31, 2025 and 2024, respectively</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6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 Series B, 25,000 shares at $0.0001 par value, authorized, and no shares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2025 and 2024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26,417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4,995,000 shares at $0.0001 par value, authorized, no shares issued and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6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400,000,000 shares at $0.0001 par value, authorized, 12,078,713 and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723,265 shares issued and outstanding as of December 31, 2025 and 2024,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163,617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72,750</w:t>
            </w:r>
          </w:p>
        </w:tc>
        <w:tc>
          <w:tcPr>
            <w:tcW w:w="80" w:type="dxa"/>
            <w:vAlign w:val="bottom"/>
            <w:shd w:val="clear" w:color="auto" w:fill="CCEEFF"/>
          </w:tcPr>
          <w:p>
            <w:pPr>
              <w:spacing w:after="0"/>
              <w:rPr>
                <w:sz w:val="18"/>
                <w:szCs w:val="18"/>
                <w:color w:val="auto"/>
              </w:rPr>
            </w:pP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(156,249)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(82,154)</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Stockholders’ Equity</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86,549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6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Interim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60" w:type="dxa"/>
            <w:vAlign w:val="bottom"/>
            <w:gridSpan w:val="5"/>
          </w:tcPr>
          <w:p>
            <w:pPr>
              <w:jc w:val="right"/>
              <w:ind w:right="13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3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ind w:right="60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2"/>
          </w:tcPr>
          <w:p>
            <w:pPr>
              <w:jc w:val="right"/>
              <w:ind w:right="56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13,059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12,212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58,630</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50,645</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10,681</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9,674</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42,983</w:t>
            </w:r>
          </w:p>
        </w:tc>
        <w:tc>
          <w:tcPr>
            <w:tcW w:w="3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39,019</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2,378</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2,538</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15,647</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8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956</w:t>
            </w:r>
          </w:p>
        </w:tc>
        <w:tc>
          <w:tcPr>
            <w:tcW w:w="20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2,981</w:t>
            </w:r>
          </w:p>
        </w:tc>
        <w:tc>
          <w:tcPr>
            <w:tcW w:w="3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9,384</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7,031</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25,659</w:t>
            </w:r>
          </w:p>
        </w:tc>
        <w:tc>
          <w:tcPr>
            <w:tcW w:w="3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21,909</w:t>
            </w:r>
          </w:p>
        </w:tc>
        <w:tc>
          <w:tcPr>
            <w:tcW w:w="0" w:type="dxa"/>
            <w:vAlign w:val="bottom"/>
          </w:tcPr>
          <w:p>
            <w:pPr>
              <w:spacing w:after="0"/>
              <w:rPr>
                <w:sz w:val="1"/>
                <w:szCs w:val="1"/>
                <w:color w:val="auto"/>
              </w:rPr>
            </w:pPr>
          </w:p>
        </w:tc>
      </w:tr>
      <w:tr>
        <w:trPr>
          <w:trHeight w:val="229"/>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19"/>
                <w:szCs w:val="19"/>
                <w:color w:val="auto"/>
              </w:rPr>
            </w:pPr>
          </w:p>
        </w:tc>
        <w:tc>
          <w:tcPr>
            <w:tcW w:w="18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2,490</w:t>
            </w:r>
          </w:p>
        </w:tc>
        <w:tc>
          <w:tcPr>
            <w:tcW w:w="20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1,696</w:t>
            </w:r>
          </w:p>
        </w:tc>
        <w:tc>
          <w:tcPr>
            <w:tcW w:w="200" w:type="dxa"/>
            <w:vAlign w:val="bottom"/>
          </w:tcPr>
          <w:p>
            <w:pPr>
              <w:spacing w:after="0"/>
              <w:rPr>
                <w:sz w:val="19"/>
                <w:szCs w:val="19"/>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10,180</w:t>
            </w:r>
          </w:p>
        </w:tc>
        <w:tc>
          <w:tcPr>
            <w:tcW w:w="30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10,025</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Pr>
          <w:p>
            <w:pPr>
              <w:spacing w:after="0"/>
              <w:rPr>
                <w:sz w:val="19"/>
                <w:szCs w:val="19"/>
                <w:color w:val="auto"/>
              </w:rPr>
            </w:pPr>
          </w:p>
        </w:tc>
        <w:tc>
          <w:tcPr>
            <w:tcW w:w="18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12,578</w:t>
            </w:r>
          </w:p>
        </w:tc>
        <w:tc>
          <w:tcPr>
            <w:tcW w:w="200" w:type="dxa"/>
            <w:vAlign w:val="bottom"/>
          </w:tcPr>
          <w:p>
            <w:pPr>
              <w:spacing w:after="0"/>
              <w:rPr>
                <w:sz w:val="19"/>
                <w:szCs w:val="19"/>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9,683</w:t>
            </w:r>
          </w:p>
        </w:tc>
        <w:tc>
          <w:tcPr>
            <w:tcW w:w="200" w:type="dxa"/>
            <w:vAlign w:val="bottom"/>
          </w:tcPr>
          <w:p>
            <w:pPr>
              <w:spacing w:after="0"/>
              <w:rPr>
                <w:sz w:val="19"/>
                <w:szCs w:val="19"/>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38,820</w:t>
            </w:r>
          </w:p>
        </w:tc>
        <w:tc>
          <w:tcPr>
            <w:tcW w:w="30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37,385</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18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(10,200)</w:t>
            </w:r>
          </w:p>
        </w:tc>
        <w:tc>
          <w:tcPr>
            <w:tcW w:w="200" w:type="dxa"/>
            <w:vAlign w:val="bottom"/>
          </w:tcPr>
          <w:p>
            <w:pPr>
              <w:spacing w:after="0"/>
              <w:rPr>
                <w:sz w:val="18"/>
                <w:szCs w:val="18"/>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(7,145)</w:t>
            </w:r>
          </w:p>
        </w:tc>
        <w:tc>
          <w:tcPr>
            <w:tcW w:w="20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(23,173)</w:t>
            </w:r>
          </w:p>
        </w:tc>
        <w:tc>
          <w:tcPr>
            <w:tcW w:w="3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(25,759)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(3,713)</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(6,251)</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(20,265)</w:t>
            </w:r>
          </w:p>
        </w:tc>
        <w:tc>
          <w:tcPr>
            <w:tcW w:w="3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(21,504)</w:t>
            </w: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18"/>
                <w:szCs w:val="18"/>
                <w:color w:val="auto"/>
              </w:rPr>
            </w:pPr>
          </w:p>
        </w:tc>
        <w:tc>
          <w:tcPr>
            <w:tcW w:w="18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(31,285)</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(31,285)</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market value of warrant</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220" w:type="dxa"/>
            <w:vAlign w:val="bottom"/>
          </w:tcPr>
          <w:p>
            <w:pPr>
              <w:spacing w:after="0"/>
              <w:rPr>
                <w:sz w:val="21"/>
                <w:szCs w:val="21"/>
                <w:color w:val="auto"/>
              </w:rPr>
            </w:pPr>
          </w:p>
        </w:tc>
        <w:tc>
          <w:tcPr>
            <w:tcW w:w="18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Pr>
          <w:p>
            <w:pPr>
              <w:spacing w:after="0"/>
              <w:rPr>
                <w:sz w:val="21"/>
                <w:szCs w:val="21"/>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3,554</w:t>
            </w:r>
          </w:p>
        </w:tc>
        <w:tc>
          <w:tcPr>
            <w:tcW w:w="200" w:type="dxa"/>
            <w:vAlign w:val="bottom"/>
          </w:tcPr>
          <w:p>
            <w:pPr>
              <w:spacing w:after="0"/>
              <w:rPr>
                <w:sz w:val="21"/>
                <w:szCs w:val="21"/>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5,117</w:t>
            </w:r>
          </w:p>
        </w:tc>
        <w:tc>
          <w:tcPr>
            <w:tcW w:w="3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(34,374</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Taxes</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(44,574)</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(9,842)</w:t>
            </w:r>
          </w:p>
        </w:tc>
        <w:tc>
          <w:tcPr>
            <w:tcW w:w="2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(69,475)</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(40,615)</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(44,480)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(9,842)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(69,381)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(40,615)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(874</w:t>
            </w:r>
          </w:p>
        </w:tc>
        <w:tc>
          <w:tcPr>
            <w:tcW w:w="36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(874</w:t>
            </w:r>
          </w:p>
        </w:tc>
        <w:tc>
          <w:tcPr>
            <w:tcW w:w="32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3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Common</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(45,354)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(9,842)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(70,255)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(40,615)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&amp;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(14.74)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(13.89)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(14.69)</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Number of Shares-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Basic &amp; Diluted</w:t>
            </w:r>
          </w:p>
        </w:tc>
        <w:tc>
          <w:tcPr>
            <w:tcW w:w="220" w:type="dxa"/>
            <w:vAlign w:val="bottom"/>
          </w:tcPr>
          <w:p>
            <w:pPr>
              <w:spacing w:after="0"/>
              <w:rPr>
                <w:sz w:val="22"/>
                <w:szCs w:val="22"/>
                <w:color w:val="auto"/>
              </w:rPr>
            </w:pPr>
          </w:p>
        </w:tc>
        <w:tc>
          <w:tcPr>
            <w:tcW w:w="18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3,077,812</w:t>
            </w:r>
          </w:p>
        </w:tc>
        <w:tc>
          <w:tcPr>
            <w:tcW w:w="200" w:type="dxa"/>
            <w:vAlign w:val="bottom"/>
          </w:tcPr>
          <w:p>
            <w:pPr>
              <w:spacing w:after="0"/>
              <w:rPr>
                <w:sz w:val="22"/>
                <w:szCs w:val="22"/>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708,596</w:t>
            </w:r>
          </w:p>
        </w:tc>
        <w:tc>
          <w:tcPr>
            <w:tcW w:w="200" w:type="dxa"/>
            <w:vAlign w:val="bottom"/>
          </w:tcPr>
          <w:p>
            <w:pPr>
              <w:spacing w:after="0"/>
              <w:rPr>
                <w:sz w:val="22"/>
                <w:szCs w:val="22"/>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4,783,337</w:t>
            </w:r>
          </w:p>
        </w:tc>
        <w:tc>
          <w:tcPr>
            <w:tcW w:w="30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686,683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1" w:name="page12"/>
    <w:bookmarkEnd w:id="11"/>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(69,381)</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(40,615)</w:t>
            </w: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7,591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(5,117)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(paid-in-kind)</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12,047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restructuring fees (paid-in-kind)</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2,236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2,472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 of right-of-use assets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2,667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31,285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 of prepaid inventory</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(2,518)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(3,153)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settlement</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0"/>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9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33,425</w:t>
            </w:r>
          </w:p>
        </w:tc>
        <w:tc>
          <w:tcPr>
            <w:tcW w:w="60" w:type="dxa"/>
            <w:vAlign w:val="bottom"/>
            <w:tcBorders>
              <w:bottom w:val="single" w:sz="8" w:color="CCEEFF"/>
            </w:tcBorders>
          </w:tcPr>
          <w:p>
            <w:pPr>
              <w:spacing w:after="0"/>
              <w:rPr>
                <w:sz w:val="18"/>
                <w:szCs w:val="18"/>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(25,968</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194" w:lineRule="exact"/>
        <w:rPr>
          <w:sz w:val="20"/>
          <w:szCs w:val="20"/>
          <w:color w:val="auto"/>
        </w:rPr>
      </w:pPr>
    </w:p>
    <w:p>
      <w:pPr>
        <w:sectPr>
          <w:pgSz w:w="11900" w:h="16851" w:orient="portrait"/>
          <w:cols w:equalWidth="0" w:num="1">
            <w:col w:w="11240"/>
          </w:cols>
          <w:pgMar w:left="320" w:top="684" w:right="339" w:bottom="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r>
      <w:tr>
        <w:trPr>
          <w:trHeight w:val="248"/>
        </w:trPr>
        <w:tc>
          <w:tcPr>
            <w:tcW w:w="2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(1,949)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09"/>
        </w:trPr>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-574040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-299720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51" w:orient="portrait"/>
          <w:cols w:equalWidth="0" w:num="2">
            <w:col w:w="6680" w:space="720"/>
            <w:col w:w="3840"/>
          </w:cols>
          <w:pgMar w:left="320" w:top="684"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(ATM), net</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 net</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83,538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preferred stock offering, net of fees</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7,330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(49,081)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financing fees</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41,338</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2,002</w:t>
            </w: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13,421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4,849</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63"/>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40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18,270</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4,849</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Non-Cash Items</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106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w:t>
            </w:r>
          </w:p>
        </w:tc>
        <w:tc>
          <w:tcPr>
            <w:tcW w:w="78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18,653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dividends</w:t>
            </w:r>
          </w:p>
        </w:tc>
        <w:tc>
          <w:tcPr>
            <w:tcW w:w="40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Dividends paid in kind</w:t>
            </w:r>
          </w:p>
        </w:tc>
        <w:tc>
          <w:tcPr>
            <w:tcW w:w="4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Recognition of leasehold improvements obtained in exchange for operating lease liability</w:t>
            </w:r>
          </w:p>
        </w:tc>
        <w:tc>
          <w:tcPr>
            <w:tcW w:w="40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4,683</w:t>
            </w:r>
          </w:p>
        </w:tc>
        <w:tc>
          <w:tcPr>
            <w:tcW w:w="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Recognition of machinery &amp; equipment obtained in exchange for financing lease liability</w:t>
            </w:r>
          </w:p>
        </w:tc>
        <w:tc>
          <w:tcPr>
            <w:tcW w:w="4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1" w:orient="portrait"/>
          <w:cols w:equalWidth="0" w:num="1">
            <w:col w:w="11240"/>
          </w:cols>
          <w:pgMar w:left="320" w:top="684" w:right="33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preferred stock discount</w:t>
            </w:r>
          </w:p>
        </w:tc>
        <w:tc>
          <w:tcPr>
            <w:tcW w:w="18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84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622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1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7,330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Conversion of notes payable to preferred shares</w:t>
            </w:r>
          </w:p>
        </w:tc>
        <w:tc>
          <w:tcPr>
            <w:tcW w:w="1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Recognition of warrant liability - Penny Warrants</w:t>
            </w:r>
          </w:p>
        </w:tc>
        <w:tc>
          <w:tcPr>
            <w:tcW w:w="1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7,354</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Recognition of warrant liability - Investor Warrants</w:t>
            </w:r>
          </w:p>
        </w:tc>
        <w:tc>
          <w:tcPr>
            <w:tcW w:w="1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697</w:t>
            </w: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Settlement of accrued liability for employee stock purchase plan</w:t>
            </w:r>
          </w:p>
        </w:tc>
        <w:tc>
          <w:tcPr>
            <w:tcW w:w="1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Reclassification of assets held for sale to machinery and equipment</w:t>
            </w:r>
          </w:p>
        </w:tc>
        <w:tc>
          <w:tcPr>
            <w:tcW w:w="118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tcBorders>
              <w:bottom w:val="single" w:sz="8" w:color="CCEEFF"/>
            </w:tcBorders>
            <w:vMerge w:val="continue"/>
          </w:tcPr>
          <w:p>
            <w:pPr>
              <w:spacing w:after="0"/>
              <w:rPr>
                <w:sz w:val="20"/>
                <w:szCs w:val="20"/>
                <w:color w:val="auto"/>
              </w:rPr>
            </w:pPr>
          </w:p>
        </w:tc>
        <w:tc>
          <w:tcPr>
            <w:tcW w:w="118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644</w:t>
            </w:r>
          </w:p>
        </w:tc>
        <w:tc>
          <w:tcPr>
            <w:tcW w:w="1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Reclassification of assets held for sale</w:t>
            </w:r>
          </w:p>
        </w:tc>
        <w:tc>
          <w:tcPr>
            <w:tcW w:w="1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644</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3180" w:type="dxa"/>
            <w:vAlign w:val="bottom"/>
            <w:gridSpan w:val="6"/>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01"/>
        </w:trPr>
        <w:tc>
          <w:tcPr>
            <w:tcW w:w="3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4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r>
      <w:tr>
        <w:trPr>
          <w:trHeight w:val="238"/>
        </w:trPr>
        <w:tc>
          <w:tcPr>
            <w:tcW w:w="3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Calculation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(45,355)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(40,615)</w:t>
            </w: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3,713</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6,251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21,504</w:t>
            </w: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w:t>
            </w: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(41,311)</w:t>
            </w:r>
          </w:p>
        </w:tc>
        <w:tc>
          <w:tcPr>
            <w:tcW w:w="3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(6,684)</w:t>
            </w: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Non-Recurring/One-Time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Tariff Investigation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Stryten Agreement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r>
      <w:tr>
        <w:trPr>
          <w:trHeight w:val="198"/>
        </w:trPr>
        <w:tc>
          <w:tcPr>
            <w:tcW w:w="39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of right-of-use asset and disposal of</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associated assets of associated assets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2,432</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 tariff estimate adjustment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Financing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Stock Split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Fees and Loss on Settlement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3,124</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3,124</w:t>
            </w: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Restructure Expenses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1,938</w:t>
            </w: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ChEF Equity Facility termination fee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31,285</w:t>
            </w:r>
          </w:p>
        </w:tc>
        <w:tc>
          <w:tcPr>
            <w:tcW w:w="16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Dividend</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tcPr>
          <w:p>
            <w:pPr>
              <w:spacing w:after="0"/>
              <w:rPr>
                <w:sz w:val="19"/>
                <w:szCs w:val="19"/>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2026-03-16T15:52:19Z</dcterms:created>
  <dcterms:modified xsi:type="dcterms:W3CDTF">2026-03-16T15:52:19Z</dcterms:modified>
</cp:coreProperties>
</file>