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C_edei--DocumentType_c20260514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i w:val="false"/>
          <w:caps w:val="false"/>
          <w:smallCaps w:val="false"/>
          <w:sz w:val="20"/>
        </w:rPr>
        <w:t>May 14,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3_edei--EntityRegistrantName_c2026"/>
      <w:bookmarkEnd w:id="4"/>
      <w:r>
        <w:rPr>
          <w:rFonts w:ascii="Times New Roman;Times;Serif" w:hAnsi="Times New Roman;Times;Serif"/>
          <w:b/>
          <w:i w:val="false"/>
          <w:caps w:val="false"/>
          <w:smallCaps w:val="false"/>
          <w:sz w:val="36"/>
        </w:rPr>
        <w:t>DRAGONFLY ENERGY HOLDINGS CORP.</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D_edei--EntityIncorporationStateCo"/>
            <w:bookmarkEnd w:id="5"/>
            <w:r>
              <w:rPr>
                <w:rFonts w:ascii="Times New Roman;Times;Serif" w:hAnsi="Times New Roman;Times;Serif"/>
                <w:b/>
                <w:i w:val="false"/>
                <w:caps w:val="false"/>
                <w:smallCaps w:val="false"/>
                <w:sz w:val="20"/>
              </w:rPr>
              <w:t>Nevada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1_edei--EntityFileNumber_c20260514"/>
            <w:bookmarkEnd w:id="6"/>
            <w:r>
              <w:rPr>
                <w:rFonts w:ascii="Times New Roman;Times;Serif" w:hAnsi="Times New Roman;Times;Serif"/>
                <w:b/>
                <w:i w:val="false"/>
                <w:caps w:val="false"/>
                <w:smallCaps w:val="false"/>
                <w:sz w:val="20"/>
              </w:rPr>
              <w:t>001-40730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E_edei--EntityTaxIdentificationNum"/>
            <w:bookmarkEnd w:id="7"/>
            <w:r>
              <w:rPr>
                <w:rFonts w:ascii="Times New Roman;Times;Serif" w:hAnsi="Times New Roman;Times;Serif"/>
                <w:b/>
                <w:i w:val="false"/>
                <w:caps w:val="false"/>
                <w:smallCaps w:val="false"/>
                <w:sz w:val="20"/>
              </w:rPr>
              <w:t>85-1873463</w:t>
            </w:r>
          </w:p>
        </w:tc>
      </w:tr>
      <w:tr>
        <w:trPr/>
        <w:tc>
          <w:tcPr>
            <w:tcW w:w="216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jc w:val="center"/>
              <w:rPr>
                <w:rFonts w:ascii="Times New Roman;Times;Serif" w:hAnsi="Times New Roman;Times;Serif"/>
                <w:b/>
                <w:i w:val="false"/>
                <w:caps w:val="false"/>
                <w:smallCaps w:val="false"/>
                <w:sz w:val="20"/>
                <w:shd w:fill="FFFFFF" w:val="clear"/>
              </w:rPr>
            </w:pPr>
            <w:bookmarkStart w:id="8" w:name="xdx_903_edei--EntityAddressAddressLine1_"/>
            <w:bookmarkEnd w:id="8"/>
            <w:r>
              <w:rPr>
                <w:rFonts w:ascii="Times New Roman;Times;Serif" w:hAnsi="Times New Roman;Times;Serif"/>
                <w:b/>
                <w:i w:val="false"/>
                <w:caps w:val="false"/>
                <w:smallCaps w:val="false"/>
                <w:sz w:val="20"/>
                <w:shd w:fill="FFFFFF" w:val="clear"/>
              </w:rPr>
              <w:t>12915 Old Virginia Road</w:t>
            </w:r>
          </w:p>
          <w:p>
            <w:pPr>
              <w:pStyle w:val="TableContents"/>
              <w:bidi w:val="0"/>
              <w:spacing w:before="0" w:after="0"/>
              <w:jc w:val="center"/>
              <w:rPr>
                <w:rFonts w:ascii="Times New Roman;Times;Serif" w:hAnsi="Times New Roman;Times;Serif"/>
                <w:b/>
                <w:i w:val="false"/>
                <w:caps w:val="false"/>
                <w:smallCaps w:val="false"/>
                <w:sz w:val="20"/>
              </w:rPr>
            </w:pPr>
            <w:bookmarkStart w:id="9" w:name="xdx_906_edei--EntityAddressCityOrTown_c2"/>
            <w:bookmarkEnd w:id="9"/>
            <w:r>
              <w:rPr>
                <w:rFonts w:ascii="Times New Roman;Times;Serif" w:hAnsi="Times New Roman;Times;Serif"/>
                <w:b/>
                <w:i w:val="false"/>
                <w:caps w:val="false"/>
                <w:smallCaps w:val="false"/>
                <w:sz w:val="20"/>
              </w:rPr>
              <w:t xml:space="preserve">Reno, </w:t>
            </w:r>
            <w:bookmarkStart w:id="10" w:name="xdx_909_edei--EntityAddressStateOrProvin"/>
            <w:bookmarkEnd w:id="10"/>
            <w:r>
              <w:rPr>
                <w:rFonts w:ascii="Times New Roman;Times;Serif" w:hAnsi="Times New Roman;Times;Serif"/>
                <w:b/>
                <w:i w:val="false"/>
                <w:caps w:val="false"/>
                <w:smallCaps w:val="false"/>
                <w:sz w:val="20"/>
              </w:rPr>
              <w:t>Nevada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D_edei--EntityAddressPostalZipCode"/>
            <w:bookmarkEnd w:id="11"/>
            <w:r>
              <w:rPr>
                <w:rFonts w:ascii="Times New Roman;Times;Serif" w:hAnsi="Times New Roman;Times;Serif"/>
                <w:b/>
                <w:i w:val="false"/>
                <w:caps w:val="false"/>
                <w:smallCaps w:val="false"/>
                <w:sz w:val="20"/>
              </w:rPr>
              <w:t>89521</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2_edei--CityAreaCode_c20260514__20"/>
      <w:bookmarkEnd w:id="12"/>
      <w:r>
        <w:rPr>
          <w:rFonts w:ascii="Times New Roman;Times;Serif" w:hAnsi="Times New Roman;Times;Serif"/>
          <w:b/>
          <w:i w:val="false"/>
          <w:caps w:val="false"/>
          <w:smallCaps w:val="false"/>
          <w:sz w:val="20"/>
          <w:u w:val="single"/>
        </w:rPr>
        <w:t xml:space="preserve">(775) </w:t>
      </w:r>
      <w:bookmarkStart w:id="13" w:name="xdx_908_edei--LocalPhoneNumber_c20260514"/>
      <w:bookmarkEnd w:id="13"/>
      <w:r>
        <w:rPr>
          <w:rFonts w:ascii="Times New Roman;Times;Serif" w:hAnsi="Times New Roman;Times;Serif"/>
          <w:b/>
          <w:i w:val="false"/>
          <w:caps w:val="false"/>
          <w:smallCaps w:val="false"/>
          <w:sz w:val="20"/>
          <w:u w:val="single"/>
        </w:rPr>
        <w:t>622-3448</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9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8_edei--SolicitingMaterial_c202605"/>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E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F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both"/>
        <w:rPr>
          <w:caps w:val="false"/>
          <w:smallCaps w:val="false"/>
        </w:rPr>
      </w:pPr>
      <w:r>
        <w:rPr>
          <w:caps w:val="false"/>
          <w:smallCaps w:val="false"/>
        </w:rPr>
        <w:t> </w:t>
      </w:r>
    </w:p>
    <w:tbl>
      <w:tblPr>
        <w:tblW w:w="9510" w:type="dxa"/>
        <w:jc w:val="left"/>
        <w:tblInd w:w="0" w:type="dxa"/>
        <w:tblLayout w:type="fixed"/>
        <w:tblCellMar>
          <w:top w:w="0" w:type="dxa"/>
          <w:left w:w="0" w:type="dxa"/>
          <w:bottom w:w="28" w:type="dxa"/>
          <w:right w:w="0" w:type="dxa"/>
        </w:tblCellMar>
      </w:tblPr>
      <w:tblGrid>
        <w:gridCol w:w="4265"/>
        <w:gridCol w:w="60"/>
        <w:gridCol w:w="1535"/>
        <w:gridCol w:w="60"/>
        <w:gridCol w:w="3590"/>
      </w:tblGrid>
      <w:tr>
        <w:trPr/>
        <w:tc>
          <w:tcPr>
            <w:tcW w:w="426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42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5_edei--Security12bTitle_c20260514"/>
            <w:bookmarkEnd w:id="18"/>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F_edei--TradingSymbol_c20260514__2"/>
            <w:bookmarkEnd w:id="19"/>
            <w:r>
              <w:rPr>
                <w:rFonts w:ascii="Times New Roman;Times;Serif" w:hAnsi="Times New Roman;Times;Serif"/>
                <w:b w:val="false"/>
                <w:i w:val="false"/>
                <w:caps w:val="false"/>
                <w:smallCaps w:val="false"/>
                <w:sz w:val="20"/>
              </w:rPr>
              <w:t>DFLI</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5_edei--SecurityExchangeName_c2026"/>
            <w:bookmarkEnd w:id="20"/>
            <w:r>
              <w:rPr>
                <w:rFonts w:ascii="Times New Roman;Times;Serif" w:hAnsi="Times New Roman;Times;Serif"/>
                <w:b w:val="false"/>
                <w:i w:val="false"/>
                <w:caps w:val="false"/>
                <w:smallCaps w:val="false"/>
                <w:sz w:val="20"/>
              </w:rPr>
              <w:t>Nasdaq Capital Market</w:t>
            </w:r>
          </w:p>
        </w:tc>
      </w:tr>
      <w:tr>
        <w:trPr/>
        <w:tc>
          <w:tcPr>
            <w:tcW w:w="42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5_edei--Security12bTitle_c20260514"/>
            <w:bookmarkEnd w:id="21"/>
            <w:r>
              <w:rPr>
                <w:rFonts w:ascii="Times New Roman;Times;Serif" w:hAnsi="Times New Roman;Times;Serif"/>
                <w:b w:val="false"/>
                <w:i w:val="false"/>
                <w:caps w:val="false"/>
                <w:smallCaps w:val="false"/>
                <w:sz w:val="20"/>
              </w:rPr>
              <w:t>Redeemable warrants, exercisable for common stock</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6_edei--TradingSymbol_c20260514__2"/>
            <w:bookmarkEnd w:id="22"/>
            <w:r>
              <w:rPr>
                <w:rFonts w:ascii="Times New Roman;Times;Serif" w:hAnsi="Times New Roman;Times;Serif"/>
                <w:b w:val="false"/>
                <w:i w:val="false"/>
                <w:caps w:val="false"/>
                <w:smallCaps w:val="false"/>
                <w:sz w:val="20"/>
              </w:rPr>
              <w:t>DFLIW</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3" w:name="xdx_906_edei--SecurityExchangeName_c2026"/>
            <w:bookmarkEnd w:id="23"/>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2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A_edei--EntityExTransitionPeriod_c"/>
      <w:bookmarkEnd w:id="25"/>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830"/>
        <w:gridCol w:w="3980"/>
      </w:tblGrid>
      <w:tr>
        <w:trPr/>
        <w:tc>
          <w:tcPr>
            <w:tcW w:w="8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w:t>
            </w:r>
          </w:p>
        </w:tc>
        <w:tc>
          <w:tcPr>
            <w:tcW w:w="39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and Financial Condition.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14, 2026, Dragonfly Energy Holdings Corp. (the “Company”) issued an earnings release disclosing certain information regarding its results of operations for the first quarter ended March 31, 2026. Following the publication of the press release, the Company will host an earnings call at 4:30 p.m. (Eastern Time) on May 14, 2026, via a webcast. During the webcast, the Company’s financial results for the first quarter ended March 31, 2026 will be discussed. A copy of the press release is attached as Exhibit 99.1 hereto and incorporated in this Item 2.02 by reference.</w:t>
      </w:r>
    </w:p>
    <w:p>
      <w:pPr>
        <w:pStyle w:val="TextBody"/>
        <w:bidi w:val="0"/>
        <w:spacing w:before="0" w:after="0"/>
        <w:ind w:left="0" w:right="0" w:firstLine="720"/>
        <w:jc w:val="both"/>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875"/>
        <w:gridCol w:w="2240"/>
      </w:tblGrid>
      <w:tr>
        <w:trPr/>
        <w:tc>
          <w:tcPr>
            <w:tcW w:w="8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w:t>
            </w:r>
          </w:p>
        </w:tc>
        <w:tc>
          <w:tcPr>
            <w:tcW w:w="22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FD Disclosure.</w:t>
            </w:r>
          </w:p>
        </w:tc>
      </w:tr>
    </w:tbl>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2.02 Results of Operation and Financial Condition” above.</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Current Report on Form 8-K under Items 2.02 and 7.01, including the information contained in Exhibit 99.1, is being furnished to the Securities and Exchange Commission (the “SEC”), and shall not be deemed to be “filed” for the purposes of Section 18 of the Securities Exchange Act of 1934, as amended (the “Exchange Act”), or otherwise subject to the liabilities of that section, and shall not be deemed to be incorporated by reference into any filing under the Securities Act of 1933, as amended, or the Exchange Act, except as shall be expressly set forth by a specific reference in such filing.</w:t>
      </w:r>
    </w:p>
    <w:p>
      <w:pPr>
        <w:pStyle w:val="TextBody"/>
        <w:bidi w:val="0"/>
        <w:spacing w:before="0" w:after="0"/>
        <w:ind w:left="0" w:right="0" w:firstLine="720"/>
        <w:jc w:val="both"/>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w:t>
            </w:r>
          </w:p>
        </w:tc>
        <w:tc>
          <w:tcPr>
            <w:tcW w:w="29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 and Exhibits.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jc w:val="left"/>
        <w:rPr>
          <w:caps w:val="false"/>
          <w:smallCaps w:val="false"/>
        </w:rPr>
      </w:pPr>
      <w:r>
        <w:rPr>
          <w:caps w:val="false"/>
          <w:smallCaps w:val="false"/>
        </w:rPr>
        <w:t> </w:t>
      </w:r>
    </w:p>
    <w:tbl>
      <w:tblPr>
        <w:tblW w:w="7525" w:type="dxa"/>
        <w:jc w:val="left"/>
        <w:tblInd w:w="0" w:type="dxa"/>
        <w:tblLayout w:type="fixed"/>
        <w:tblCellMar>
          <w:top w:w="0" w:type="dxa"/>
          <w:left w:w="0" w:type="dxa"/>
          <w:bottom w:w="28" w:type="dxa"/>
          <w:right w:w="0" w:type="dxa"/>
        </w:tblCellMar>
      </w:tblPr>
      <w:tblGrid>
        <w:gridCol w:w="980"/>
        <w:gridCol w:w="60"/>
        <w:gridCol w:w="6485"/>
      </w:tblGrid>
      <w:tr>
        <w:trPr/>
        <w:tc>
          <w:tcPr>
            <w:tcW w:w="98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9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of Dragonfly Energy Holdings Corp., dated May 14, 2026.</w:t>
              </w:r>
            </w:hyperlink>
          </w:p>
        </w:tc>
      </w:tr>
      <w:tr>
        <w:trPr/>
        <w:tc>
          <w:tcPr>
            <w:tcW w:w="9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center"/>
        <w:rPr>
          <w:caps w:val="false"/>
          <w:smallCaps w:val="false"/>
        </w:rPr>
      </w:pPr>
      <w:r>
        <w:rPr>
          <w:caps w:val="false"/>
          <w:smallCaps w:val="false"/>
        </w:rPr>
        <w:t> </w:t>
      </w:r>
    </w:p>
    <w:tbl>
      <w:tblPr>
        <w:tblW w:w="8025" w:type="dxa"/>
        <w:jc w:val="left"/>
        <w:tblInd w:w="0" w:type="dxa"/>
        <w:tblLayout w:type="fixed"/>
        <w:tblCellMar>
          <w:top w:w="0" w:type="dxa"/>
          <w:left w:w="0" w:type="dxa"/>
          <w:bottom w:w="0" w:type="dxa"/>
          <w:right w:w="0" w:type="dxa"/>
        </w:tblCellMar>
      </w:tblPr>
      <w:tblGrid>
        <w:gridCol w:w="1760"/>
        <w:gridCol w:w="590"/>
        <w:gridCol w:w="5675"/>
      </w:tblGrid>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6265"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both"/>
              <w:rPr>
                <w:caps w:val="false"/>
                <w:smallCaps w:val="false"/>
              </w:rPr>
            </w:pPr>
            <w:r>
              <w:rPr>
                <w:caps w:val="false"/>
                <w:smallCaps w:val="false"/>
              </w:rPr>
              <w:t> </w:t>
            </w:r>
          </w:p>
        </w:tc>
        <w:tc>
          <w:tcPr>
            <w:tcW w:w="56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May 14, 2026</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6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5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Interim Chief Financial Officer and President</w:t>
            </w:r>
          </w:p>
        </w:tc>
      </w:tr>
    </w:tbl>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26" w:name="ex99-1.htm"/>
      <w:bookmarkStart w:id="27" w:name="ksex991"/>
      <w:bookmarkEnd w:id="26"/>
      <w:bookmarkEnd w:id="2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905000"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4667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Reports First Quarter 2026 Results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Sales and Adjusted EBITDA Above Guidance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Stevens Transport Purchase Order Valued at Over $3 Million, Spanning Nearly 500 Trucks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Cost Reduction Actions on Track and Expected to Benefit Results Starting Q2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Guides to Q2 2026 Net Sales of $13.2 Million and Adj EBITDA of $(1.9 Million)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First Quarter 2026 Financial Highlights</w:t>
      </w:r>
    </w:p>
    <w:p>
      <w:pPr>
        <w:pStyle w:val="TextBody"/>
        <w:bidi w:val="0"/>
        <w:spacing w:before="0" w:after="0"/>
        <w:ind w:left="0" w:right="0" w:hanging="0"/>
        <w:jc w:val="both"/>
        <w:rPr>
          <w:caps w:val="false"/>
          <w:smallCaps w:val="false"/>
        </w:rPr>
      </w:pPr>
      <w:r>
        <w:rPr>
          <w:caps w:val="false"/>
          <w:smallCaps w:val="false"/>
        </w:rPr>
        <w:t> </w:t>
      </w:r>
    </w:p>
    <w:tbl>
      <w:tblPr>
        <w:tblW w:w="5680" w:type="dxa"/>
        <w:jc w:val="left"/>
        <w:tblInd w:w="0" w:type="dxa"/>
        <w:tblLayout w:type="fixed"/>
        <w:tblCellMar>
          <w:top w:w="0" w:type="dxa"/>
          <w:left w:w="0" w:type="dxa"/>
          <w:bottom w:w="0" w:type="dxa"/>
          <w:right w:w="0" w:type="dxa"/>
        </w:tblCellMar>
      </w:tblPr>
      <w:tblGrid>
        <w:gridCol w:w="75"/>
        <w:gridCol w:w="170"/>
        <w:gridCol w:w="54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were $9.7 million.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OEM net sales were $5.8 million.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was 17.6%.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Common Shareholders was $(7.7) million.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was $(4.6) million.</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RENO, NEVADA (May 14, 2026)</w:t>
      </w:r>
      <w:r>
        <w:rPr>
          <w:rFonts w:ascii="Times New Roman;Times;Serif" w:hAnsi="Times New Roman;Times;Serif"/>
          <w:b w:val="false"/>
          <w:i w:val="false"/>
          <w:caps w:val="false"/>
          <w:smallCaps w:val="false"/>
          <w:sz w:val="20"/>
        </w:rPr>
        <w:t xml:space="preserve"> — Dragonfly Energy Holdings Corp. (Nasdaq: DFLI) (“Dragonfly Energy” or the “Company”), an industry leader in energy storage and battery technology and maker of Battle Born Batteries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today reported its financial and operational results for the first quarter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First quarter results reflect a softer demand environment in the RV market, as expected,” commented Dr. Denis Phares, Chief Executive Officer. “While the broader RV market has not yet recovered, we have seen signs of stabilization since the end of the first quarter and remain encouraged by the continued adoption of our lithium battery solutions across key OEM partnerships, including expanded model integration and increased energy storage content within select existing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 the heavy-duty trucking market, one of our key long-term growth opportunities, we continue to see strong momentum. Following quarter-end, Stevens Transport placed a significant purchase order valued at over $3 million, spanning nearly 500 trucks, marking one of the most comprehensive single-fleet adoptions of our heavy-duty trucking solutions to date. This order spans our full heavy-duty trucking product portfolio and reflects the successful progression from pilot programs to scaled fleet adoption, which we believe validates the real world operational and economic benefits of our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During the first quarter, we also announced significant corporate actions that reduced our operating expenses, enhanced our focus on the OEM segment, and more closely aligned the Company with our shareholders. We believe we remain well-positioned to support growth as we scale and expect to realize the benefits of these initiatives starting in the second quarter.”</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2026 Financial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Sales by Customer Type</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6724" w:type="dxa"/>
        <w:jc w:val="left"/>
        <w:tblInd w:w="0" w:type="dxa"/>
        <w:tblLayout w:type="fixed"/>
        <w:tblCellMar>
          <w:top w:w="0" w:type="dxa"/>
          <w:left w:w="0" w:type="dxa"/>
          <w:bottom w:w="0" w:type="dxa"/>
          <w:right w:w="0" w:type="dxa"/>
        </w:tblCellMar>
      </w:tblPr>
      <w:tblGrid>
        <w:gridCol w:w="1430"/>
        <w:gridCol w:w="60"/>
        <w:gridCol w:w="320"/>
        <w:gridCol w:w="1289"/>
        <w:gridCol w:w="81"/>
        <w:gridCol w:w="81"/>
        <w:gridCol w:w="273"/>
        <w:gridCol w:w="1336"/>
        <w:gridCol w:w="60"/>
        <w:gridCol w:w="60"/>
        <w:gridCol w:w="156"/>
        <w:gridCol w:w="1348"/>
        <w:gridCol w:w="230"/>
      </w:tblGrid>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42424"/>
              </w:rPr>
            </w:pPr>
            <w:r>
              <w:rPr>
                <w:color w:val="242424"/>
              </w:rPr>
              <w:t> </w:t>
            </w:r>
          </w:p>
        </w:tc>
        <w:tc>
          <w:tcPr>
            <w:tcW w:w="3380" w:type="dxa"/>
            <w:gridSpan w:val="6"/>
            <w:tcBorders>
              <w:bottom w:val="single" w:sz="8" w:space="0" w:color="000000"/>
            </w:tcBorders>
            <w:tcMar>
              <w:bottom w:w="28" w:type="dxa"/>
            </w:tcMar>
            <w:vAlign w:val="center"/>
          </w:tcPr>
          <w:p>
            <w:pPr>
              <w:pStyle w:val="TableContents"/>
              <w:bidi w:val="0"/>
              <w:spacing w:before="0" w:after="283"/>
              <w:jc w:val="center"/>
              <w:rPr>
                <w:b/>
                <w:color w:val="242424"/>
              </w:rPr>
            </w:pPr>
            <w:r>
              <w:rPr>
                <w:b/>
                <w:color w:val="242424"/>
              </w:rPr>
              <w:t>Fiscal Quarter Ended</w:t>
            </w:r>
          </w:p>
        </w:tc>
        <w:tc>
          <w:tcPr>
            <w:tcW w:w="60" w:type="dxa"/>
            <w:tcBorders/>
            <w:vAlign w:val="center"/>
          </w:tcPr>
          <w:p>
            <w:pPr>
              <w:pStyle w:val="TableContents"/>
              <w:bidi w:val="0"/>
              <w:spacing w:before="0" w:after="283"/>
              <w:jc w:val="left"/>
              <w:rPr>
                <w:color w:val="242424"/>
              </w:rPr>
            </w:pPr>
            <w:r>
              <w:rPr>
                <w:color w:val="242424"/>
              </w:rPr>
              <w:t> </w:t>
            </w:r>
          </w:p>
        </w:tc>
        <w:tc>
          <w:tcPr>
            <w:tcW w:w="60" w:type="dxa"/>
            <w:tcBorders/>
            <w:vAlign w:val="center"/>
          </w:tcPr>
          <w:p>
            <w:pPr>
              <w:pStyle w:val="TableContents"/>
              <w:bidi w:val="0"/>
              <w:spacing w:before="0" w:after="283"/>
              <w:jc w:val="left"/>
              <w:rPr>
                <w:color w:val="242424"/>
              </w:rPr>
            </w:pPr>
            <w:r>
              <w:rPr>
                <w:color w:val="242424"/>
              </w:rPr>
              <w:t> </w:t>
            </w:r>
          </w:p>
        </w:tc>
        <w:tc>
          <w:tcPr>
            <w:tcW w:w="1504" w:type="dxa"/>
            <w:gridSpan w:val="2"/>
            <w:tcBorders/>
            <w:vAlign w:val="center"/>
          </w:tcPr>
          <w:p>
            <w:pPr>
              <w:pStyle w:val="TableContents"/>
              <w:bidi w:val="0"/>
              <w:spacing w:before="0" w:after="283"/>
              <w:jc w:val="left"/>
              <w:rPr>
                <w:color w:val="242424"/>
              </w:rPr>
            </w:pPr>
            <w:r>
              <w:rPr>
                <w:color w:val="242424"/>
              </w:rPr>
              <w:t> </w:t>
            </w:r>
          </w:p>
        </w:tc>
        <w:tc>
          <w:tcPr>
            <w:tcW w:w="230" w:type="dxa"/>
            <w:tcBorders/>
            <w:vAlign w:val="center"/>
          </w:tcPr>
          <w:p>
            <w:pPr>
              <w:pStyle w:val="TableContents"/>
              <w:bidi w:val="0"/>
              <w:spacing w:before="0" w:after="283"/>
              <w:jc w:val="left"/>
              <w:rPr>
                <w:color w:val="242424"/>
              </w:rPr>
            </w:pPr>
            <w:r>
              <w:rPr>
                <w:color w:val="242424"/>
              </w:rPr>
              <w:t> </w:t>
            </w:r>
          </w:p>
        </w:tc>
      </w:tr>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 (YoY)</w:t>
            </w:r>
          </w:p>
        </w:tc>
        <w:tc>
          <w:tcPr>
            <w:tcW w:w="230"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283"/>
              <w:jc w:val="left"/>
              <w:rPr>
                <w:b/>
                <w:color w:val="242424"/>
              </w:rPr>
            </w:pPr>
            <w:r>
              <w:rPr>
                <w:b/>
                <w:color w:val="242424"/>
              </w:rPr>
              <w:t>OEM</w:t>
            </w:r>
          </w:p>
        </w:tc>
        <w:tc>
          <w:tcPr>
            <w:tcW w:w="60" w:type="dxa"/>
            <w:tcBorders/>
            <w:shd w:fill="CCEEFF" w:val="clear"/>
            <w:vAlign w:val="center"/>
          </w:tcPr>
          <w:p>
            <w:pPr>
              <w:pStyle w:val="TableContents"/>
              <w:bidi w:val="0"/>
              <w:spacing w:before="0" w:after="283"/>
              <w:jc w:val="left"/>
              <w:rPr>
                <w:color w:val="242424"/>
              </w:rPr>
            </w:pPr>
            <w:r>
              <w:rPr>
                <w:color w:val="242424"/>
              </w:rPr>
              <w:t> </w:t>
            </w:r>
          </w:p>
        </w:tc>
        <w:tc>
          <w:tcPr>
            <w:tcW w:w="320" w:type="dxa"/>
            <w:tcBorders/>
            <w:shd w:fill="CCEEFF" w:val="clear"/>
            <w:vAlign w:val="center"/>
          </w:tcPr>
          <w:p>
            <w:pPr>
              <w:pStyle w:val="TableContents"/>
              <w:bidi w:val="0"/>
              <w:spacing w:before="0" w:after="283"/>
              <w:jc w:val="left"/>
              <w:rPr>
                <w:color w:val="242424"/>
              </w:rPr>
            </w:pPr>
            <w:r>
              <w:rPr>
                <w:color w:val="242424"/>
              </w:rPr>
              <w:t>$</w:t>
            </w:r>
          </w:p>
        </w:tc>
        <w:tc>
          <w:tcPr>
            <w:tcW w:w="1289" w:type="dxa"/>
            <w:tcBorders/>
            <w:shd w:fill="CCEEFF" w:val="clear"/>
            <w:vAlign w:val="center"/>
          </w:tcPr>
          <w:p>
            <w:pPr>
              <w:pStyle w:val="TableContents"/>
              <w:bidi w:val="0"/>
              <w:spacing w:before="0" w:after="283"/>
              <w:jc w:val="right"/>
              <w:rPr>
                <w:color w:val="242424"/>
              </w:rPr>
            </w:pPr>
            <w:r>
              <w:rPr>
                <w:color w:val="242424"/>
              </w:rPr>
              <w:t>5,752</w:t>
            </w:r>
          </w:p>
        </w:tc>
        <w:tc>
          <w:tcPr>
            <w:tcW w:w="81" w:type="dxa"/>
            <w:tcBorders/>
            <w:shd w:fill="CCEEFF" w:val="clear"/>
            <w:vAlign w:val="center"/>
          </w:tcPr>
          <w:p>
            <w:pPr>
              <w:pStyle w:val="TableContents"/>
              <w:bidi w:val="0"/>
              <w:spacing w:before="0" w:after="283"/>
              <w:jc w:val="left"/>
              <w:rPr>
                <w:color w:val="242424"/>
              </w:rPr>
            </w:pPr>
            <w:r>
              <w:rPr>
                <w:color w:val="242424"/>
              </w:rPr>
              <w:t> </w:t>
            </w:r>
          </w:p>
        </w:tc>
        <w:tc>
          <w:tcPr>
            <w:tcW w:w="81" w:type="dxa"/>
            <w:tcBorders/>
            <w:shd w:fill="CCEEFF" w:val="clear"/>
            <w:vAlign w:val="center"/>
          </w:tcPr>
          <w:p>
            <w:pPr>
              <w:pStyle w:val="TableContents"/>
              <w:bidi w:val="0"/>
              <w:spacing w:before="0" w:after="283"/>
              <w:jc w:val="left"/>
              <w:rPr>
                <w:color w:val="242424"/>
              </w:rPr>
            </w:pPr>
            <w:r>
              <w:rPr>
                <w:color w:val="242424"/>
              </w:rPr>
              <w:t> </w:t>
            </w:r>
          </w:p>
        </w:tc>
        <w:tc>
          <w:tcPr>
            <w:tcW w:w="273" w:type="dxa"/>
            <w:tcBorders/>
            <w:shd w:fill="CCEEFF" w:val="clear"/>
            <w:vAlign w:val="center"/>
          </w:tcPr>
          <w:p>
            <w:pPr>
              <w:pStyle w:val="TableContents"/>
              <w:bidi w:val="0"/>
              <w:spacing w:before="0" w:after="283"/>
              <w:jc w:val="left"/>
              <w:rPr>
                <w:color w:val="242424"/>
              </w:rPr>
            </w:pPr>
            <w:r>
              <w:rPr>
                <w:color w:val="242424"/>
              </w:rPr>
              <w:t>$</w:t>
            </w:r>
          </w:p>
        </w:tc>
        <w:tc>
          <w:tcPr>
            <w:tcW w:w="1336" w:type="dxa"/>
            <w:tcBorders/>
            <w:shd w:fill="CCEEFF" w:val="clear"/>
            <w:vAlign w:val="center"/>
          </w:tcPr>
          <w:p>
            <w:pPr>
              <w:pStyle w:val="TableContents"/>
              <w:bidi w:val="0"/>
              <w:spacing w:before="0" w:after="283"/>
              <w:jc w:val="right"/>
              <w:rPr>
                <w:color w:val="242424"/>
              </w:rPr>
            </w:pPr>
            <w:r>
              <w:rPr>
                <w:color w:val="242424"/>
              </w:rPr>
              <w:t>8,091</w:t>
            </w:r>
          </w:p>
        </w:tc>
        <w:tc>
          <w:tcPr>
            <w:tcW w:w="60" w:type="dxa"/>
            <w:tcBorders/>
            <w:shd w:fill="CCEEFF" w:val="clear"/>
            <w:vAlign w:val="center"/>
          </w:tcPr>
          <w:p>
            <w:pPr>
              <w:pStyle w:val="TableContents"/>
              <w:bidi w:val="0"/>
              <w:spacing w:before="0" w:after="283"/>
              <w:jc w:val="left"/>
              <w:rPr>
                <w:color w:val="242424"/>
              </w:rPr>
            </w:pPr>
            <w:r>
              <w:rPr>
                <w:color w:val="242424"/>
              </w:rPr>
              <w:t> </w:t>
            </w:r>
          </w:p>
        </w:tc>
        <w:tc>
          <w:tcPr>
            <w:tcW w:w="60" w:type="dxa"/>
            <w:tcBorders/>
            <w:shd w:fill="CCEEFF" w:val="clear"/>
            <w:vAlign w:val="center"/>
          </w:tcPr>
          <w:p>
            <w:pPr>
              <w:pStyle w:val="TableContents"/>
              <w:bidi w:val="0"/>
              <w:spacing w:before="0" w:after="283"/>
              <w:jc w:val="left"/>
              <w:rPr>
                <w:color w:val="242424"/>
              </w:rPr>
            </w:pPr>
            <w:r>
              <w:rPr>
                <w:color w:val="242424"/>
              </w:rPr>
              <w:t> </w:t>
            </w:r>
          </w:p>
        </w:tc>
        <w:tc>
          <w:tcPr>
            <w:tcW w:w="156" w:type="dxa"/>
            <w:tcBorders/>
            <w:shd w:fill="CCEEFF" w:val="clear"/>
            <w:vAlign w:val="center"/>
          </w:tcPr>
          <w:p>
            <w:pPr>
              <w:pStyle w:val="TableContents"/>
              <w:bidi w:val="0"/>
              <w:spacing w:before="0" w:after="283"/>
              <w:jc w:val="left"/>
              <w:rPr>
                <w:color w:val="242424"/>
              </w:rPr>
            </w:pPr>
            <w:r>
              <w:rPr>
                <w:color w:val="242424"/>
              </w:rPr>
              <w:t> </w:t>
            </w:r>
          </w:p>
        </w:tc>
        <w:tc>
          <w:tcPr>
            <w:tcW w:w="1348" w:type="dxa"/>
            <w:tcBorders/>
            <w:shd w:fill="CCEEFF" w:val="clear"/>
            <w:vAlign w:val="center"/>
          </w:tcPr>
          <w:p>
            <w:pPr>
              <w:pStyle w:val="TableContents"/>
              <w:bidi w:val="0"/>
              <w:spacing w:before="0" w:after="283"/>
              <w:jc w:val="right"/>
              <w:rPr>
                <w:color w:val="242424"/>
              </w:rPr>
            </w:pPr>
            <w:r>
              <w:rPr>
                <w:color w:val="242424"/>
              </w:rPr>
              <w:t>-28.9</w:t>
            </w:r>
          </w:p>
        </w:tc>
        <w:tc>
          <w:tcPr>
            <w:tcW w:w="230" w:type="dxa"/>
            <w:tcBorders/>
            <w:shd w:fill="CCEEFF" w:val="clear"/>
            <w:vAlign w:val="center"/>
          </w:tcPr>
          <w:p>
            <w:pPr>
              <w:pStyle w:val="TableContents"/>
              <w:bidi w:val="0"/>
              <w:spacing w:before="0" w:after="283"/>
              <w:jc w:val="left"/>
              <w:rPr>
                <w:color w:val="242424"/>
              </w:rPr>
            </w:pPr>
            <w:r>
              <w:rPr>
                <w:color w:val="242424"/>
              </w:rPr>
              <w:t>%</w:t>
            </w:r>
          </w:p>
        </w:tc>
      </w:tr>
      <w:tr>
        <w:trPr/>
        <w:tc>
          <w:tcPr>
            <w:tcW w:w="1430" w:type="dxa"/>
            <w:tcBorders/>
            <w:shd w:fill="FFFFFF" w:val="clear"/>
            <w:vAlign w:val="center"/>
          </w:tcPr>
          <w:p>
            <w:pPr>
              <w:pStyle w:val="TableContents"/>
              <w:bidi w:val="0"/>
              <w:spacing w:before="0" w:after="283"/>
              <w:jc w:val="left"/>
              <w:rPr>
                <w:b/>
                <w:color w:val="242424"/>
              </w:rPr>
            </w:pPr>
            <w:r>
              <w:rPr>
                <w:b/>
                <w:color w:val="242424"/>
              </w:rPr>
              <w:t>DTC</w:t>
            </w:r>
          </w:p>
        </w:tc>
        <w:tc>
          <w:tcPr>
            <w:tcW w:w="60" w:type="dxa"/>
            <w:tcBorders/>
            <w:shd w:fill="FFFFFF" w:val="clear"/>
            <w:vAlign w:val="center"/>
          </w:tcPr>
          <w:p>
            <w:pPr>
              <w:pStyle w:val="TableContents"/>
              <w:bidi w:val="0"/>
              <w:spacing w:before="0" w:after="283"/>
              <w:jc w:val="left"/>
              <w:rPr>
                <w:color w:val="242424"/>
              </w:rPr>
            </w:pPr>
            <w:r>
              <w:rPr>
                <w:color w:val="242424"/>
              </w:rPr>
              <w:t> </w:t>
            </w:r>
          </w:p>
        </w:tc>
        <w:tc>
          <w:tcPr>
            <w:tcW w:w="320" w:type="dxa"/>
            <w:tcBorders/>
            <w:shd w:fill="FFFFFF" w:val="clear"/>
            <w:vAlign w:val="center"/>
          </w:tcPr>
          <w:p>
            <w:pPr>
              <w:pStyle w:val="TableContents"/>
              <w:bidi w:val="0"/>
              <w:spacing w:before="0" w:after="283"/>
              <w:jc w:val="left"/>
              <w:rPr>
                <w:color w:val="242424"/>
              </w:rPr>
            </w:pPr>
            <w:r>
              <w:rPr>
                <w:color w:val="242424"/>
              </w:rPr>
              <w:t>$</w:t>
            </w:r>
          </w:p>
        </w:tc>
        <w:tc>
          <w:tcPr>
            <w:tcW w:w="1289" w:type="dxa"/>
            <w:tcBorders/>
            <w:shd w:fill="FFFFFF" w:val="clear"/>
            <w:vAlign w:val="center"/>
          </w:tcPr>
          <w:p>
            <w:pPr>
              <w:pStyle w:val="TableContents"/>
              <w:bidi w:val="0"/>
              <w:spacing w:before="0" w:after="283"/>
              <w:jc w:val="right"/>
              <w:rPr>
                <w:color w:val="242424"/>
              </w:rPr>
            </w:pPr>
            <w:r>
              <w:rPr>
                <w:color w:val="242424"/>
              </w:rPr>
              <w:t>3,702</w:t>
            </w:r>
          </w:p>
        </w:tc>
        <w:tc>
          <w:tcPr>
            <w:tcW w:w="81" w:type="dxa"/>
            <w:tcBorders/>
            <w:shd w:fill="FFFFFF" w:val="clear"/>
            <w:vAlign w:val="center"/>
          </w:tcPr>
          <w:p>
            <w:pPr>
              <w:pStyle w:val="TableContents"/>
              <w:bidi w:val="0"/>
              <w:spacing w:before="0" w:after="283"/>
              <w:jc w:val="left"/>
              <w:rPr>
                <w:color w:val="242424"/>
              </w:rPr>
            </w:pPr>
            <w:r>
              <w:rPr>
                <w:color w:val="242424"/>
              </w:rPr>
              <w:t> </w:t>
            </w:r>
          </w:p>
        </w:tc>
        <w:tc>
          <w:tcPr>
            <w:tcW w:w="81" w:type="dxa"/>
            <w:tcBorders/>
            <w:shd w:fill="FFFFFF" w:val="clear"/>
            <w:vAlign w:val="center"/>
          </w:tcPr>
          <w:p>
            <w:pPr>
              <w:pStyle w:val="TableContents"/>
              <w:bidi w:val="0"/>
              <w:spacing w:before="0" w:after="283"/>
              <w:jc w:val="left"/>
              <w:rPr>
                <w:color w:val="242424"/>
              </w:rPr>
            </w:pPr>
            <w:r>
              <w:rPr>
                <w:color w:val="242424"/>
              </w:rPr>
              <w:t> </w:t>
            </w:r>
          </w:p>
        </w:tc>
        <w:tc>
          <w:tcPr>
            <w:tcW w:w="273" w:type="dxa"/>
            <w:tcBorders/>
            <w:shd w:fill="FFFFFF" w:val="clear"/>
            <w:vAlign w:val="center"/>
          </w:tcPr>
          <w:p>
            <w:pPr>
              <w:pStyle w:val="TableContents"/>
              <w:bidi w:val="0"/>
              <w:spacing w:before="0" w:after="283"/>
              <w:jc w:val="left"/>
              <w:rPr>
                <w:color w:val="242424"/>
              </w:rPr>
            </w:pPr>
            <w:r>
              <w:rPr>
                <w:color w:val="242424"/>
              </w:rPr>
              <w:t>$</w:t>
            </w:r>
          </w:p>
        </w:tc>
        <w:tc>
          <w:tcPr>
            <w:tcW w:w="1336" w:type="dxa"/>
            <w:tcBorders/>
            <w:shd w:fill="FFFFFF" w:val="clear"/>
            <w:vAlign w:val="center"/>
          </w:tcPr>
          <w:p>
            <w:pPr>
              <w:pStyle w:val="TableContents"/>
              <w:bidi w:val="0"/>
              <w:spacing w:before="0" w:after="283"/>
              <w:jc w:val="right"/>
              <w:rPr>
                <w:color w:val="242424"/>
              </w:rPr>
            </w:pPr>
            <w:r>
              <w:rPr>
                <w:color w:val="242424"/>
              </w:rPr>
              <w:t>5,015</w:t>
            </w:r>
          </w:p>
        </w:tc>
        <w:tc>
          <w:tcPr>
            <w:tcW w:w="60" w:type="dxa"/>
            <w:tcBorders/>
            <w:shd w:fill="FFFFFF" w:val="clear"/>
            <w:vAlign w:val="center"/>
          </w:tcPr>
          <w:p>
            <w:pPr>
              <w:pStyle w:val="TableContents"/>
              <w:bidi w:val="0"/>
              <w:spacing w:before="0" w:after="283"/>
              <w:jc w:val="left"/>
              <w:rPr>
                <w:color w:val="242424"/>
              </w:rPr>
            </w:pPr>
            <w:r>
              <w:rPr>
                <w:color w:val="242424"/>
              </w:rPr>
              <w:t> </w:t>
            </w:r>
          </w:p>
        </w:tc>
        <w:tc>
          <w:tcPr>
            <w:tcW w:w="60" w:type="dxa"/>
            <w:tcBorders/>
            <w:shd w:fill="FFFFFF" w:val="clear"/>
            <w:vAlign w:val="center"/>
          </w:tcPr>
          <w:p>
            <w:pPr>
              <w:pStyle w:val="TableContents"/>
              <w:bidi w:val="0"/>
              <w:spacing w:before="0" w:after="283"/>
              <w:jc w:val="left"/>
              <w:rPr>
                <w:color w:val="242424"/>
              </w:rPr>
            </w:pPr>
            <w:r>
              <w:rPr>
                <w:color w:val="242424"/>
              </w:rPr>
              <w:t> </w:t>
            </w:r>
          </w:p>
        </w:tc>
        <w:tc>
          <w:tcPr>
            <w:tcW w:w="156" w:type="dxa"/>
            <w:tcBorders/>
            <w:shd w:fill="FFFFFF" w:val="clear"/>
            <w:vAlign w:val="center"/>
          </w:tcPr>
          <w:p>
            <w:pPr>
              <w:pStyle w:val="TableContents"/>
              <w:bidi w:val="0"/>
              <w:spacing w:before="0" w:after="283"/>
              <w:jc w:val="left"/>
              <w:rPr>
                <w:color w:val="242424"/>
              </w:rPr>
            </w:pPr>
            <w:r>
              <w:rPr>
                <w:color w:val="242424"/>
              </w:rPr>
              <w:t> </w:t>
            </w:r>
          </w:p>
        </w:tc>
        <w:tc>
          <w:tcPr>
            <w:tcW w:w="1348" w:type="dxa"/>
            <w:tcBorders/>
            <w:shd w:fill="FFFFFF" w:val="clear"/>
            <w:vAlign w:val="center"/>
          </w:tcPr>
          <w:p>
            <w:pPr>
              <w:pStyle w:val="TableContents"/>
              <w:bidi w:val="0"/>
              <w:spacing w:before="0" w:after="283"/>
              <w:jc w:val="right"/>
              <w:rPr>
                <w:color w:val="242424"/>
              </w:rPr>
            </w:pPr>
            <w:r>
              <w:rPr>
                <w:color w:val="242424"/>
              </w:rPr>
              <w:t>-26.2</w:t>
            </w:r>
          </w:p>
        </w:tc>
        <w:tc>
          <w:tcPr>
            <w:tcW w:w="230" w:type="dxa"/>
            <w:tcBorders/>
            <w:shd w:fill="FFFFFF" w:val="clear"/>
            <w:vAlign w:val="center"/>
          </w:tcPr>
          <w:p>
            <w:pPr>
              <w:pStyle w:val="TableContents"/>
              <w:bidi w:val="0"/>
              <w:spacing w:before="0" w:after="283"/>
              <w:jc w:val="left"/>
              <w:rPr>
                <w:color w:val="242424"/>
              </w:rPr>
            </w:pPr>
            <w:r>
              <w:rPr>
                <w:color w:val="242424"/>
              </w:rPr>
              <w:t>%</w:t>
            </w:r>
          </w:p>
        </w:tc>
      </w:tr>
      <w:tr>
        <w:trPr/>
        <w:tc>
          <w:tcPr>
            <w:tcW w:w="1430" w:type="dxa"/>
            <w:tcBorders/>
            <w:shd w:fill="CCEEFF" w:val="clear"/>
            <w:vAlign w:val="center"/>
          </w:tcPr>
          <w:p>
            <w:pPr>
              <w:pStyle w:val="TableContents"/>
              <w:bidi w:val="0"/>
              <w:spacing w:before="0" w:after="283"/>
              <w:jc w:val="left"/>
              <w:rPr>
                <w:b/>
                <w:color w:val="242424"/>
              </w:rPr>
            </w:pPr>
            <w:r>
              <w:rPr>
                <w:b/>
                <w:color w:val="242424"/>
              </w:rPr>
              <w:t>Licensing Fee</w:t>
            </w:r>
          </w:p>
        </w:tc>
        <w:tc>
          <w:tcPr>
            <w:tcW w:w="60" w:type="dxa"/>
            <w:tcBorders/>
            <w:shd w:fill="CCEEFF" w:val="clear"/>
            <w:vAlign w:val="center"/>
          </w:tcPr>
          <w:p>
            <w:pPr>
              <w:pStyle w:val="TableContents"/>
              <w:bidi w:val="0"/>
              <w:spacing w:before="0" w:after="283"/>
              <w:jc w:val="left"/>
              <w:rPr>
                <w:color w:val="242424"/>
              </w:rPr>
            </w:pPr>
            <w:r>
              <w:rPr>
                <w:color w:val="242424"/>
              </w:rPr>
              <w:t> </w:t>
            </w:r>
          </w:p>
        </w:tc>
        <w:tc>
          <w:tcPr>
            <w:tcW w:w="320" w:type="dxa"/>
            <w:tcBorders>
              <w:bottom w:val="single" w:sz="8" w:space="0" w:color="000000"/>
            </w:tcBorders>
            <w:shd w:fill="CCEEFF" w:val="clear"/>
            <w:tcMar>
              <w:bottom w:w="28" w:type="dxa"/>
            </w:tcMar>
            <w:vAlign w:val="center"/>
          </w:tcPr>
          <w:p>
            <w:pPr>
              <w:pStyle w:val="TableContents"/>
              <w:bidi w:val="0"/>
              <w:spacing w:before="0" w:after="283"/>
              <w:jc w:val="left"/>
              <w:rPr>
                <w:color w:val="242424"/>
              </w:rPr>
            </w:pPr>
            <w:r>
              <w:rPr>
                <w:color w:val="242424"/>
              </w:rPr>
              <w:t>$</w:t>
            </w:r>
          </w:p>
        </w:tc>
        <w:tc>
          <w:tcPr>
            <w:tcW w:w="1289" w:type="dxa"/>
            <w:tcBorders>
              <w:bottom w:val="single" w:sz="8" w:space="0" w:color="000000"/>
            </w:tcBorders>
            <w:shd w:fill="CCEEFF" w:val="clear"/>
            <w:tcMar>
              <w:bottom w:w="28" w:type="dxa"/>
            </w:tcMar>
            <w:vAlign w:val="center"/>
          </w:tcPr>
          <w:p>
            <w:pPr>
              <w:pStyle w:val="TableContents"/>
              <w:bidi w:val="0"/>
              <w:spacing w:before="0" w:after="283"/>
              <w:jc w:val="right"/>
              <w:rPr>
                <w:color w:val="242424"/>
              </w:rPr>
            </w:pPr>
            <w:r>
              <w:rPr>
                <w:color w:val="242424"/>
              </w:rPr>
              <w:t>250</w:t>
            </w:r>
          </w:p>
        </w:tc>
        <w:tc>
          <w:tcPr>
            <w:tcW w:w="81" w:type="dxa"/>
            <w:tcBorders/>
            <w:shd w:fill="CCEEFF" w:val="clear"/>
            <w:vAlign w:val="center"/>
          </w:tcPr>
          <w:p>
            <w:pPr>
              <w:pStyle w:val="TableContents"/>
              <w:bidi w:val="0"/>
              <w:spacing w:before="0" w:after="283"/>
              <w:jc w:val="left"/>
              <w:rPr>
                <w:color w:val="242424"/>
              </w:rPr>
            </w:pPr>
            <w:r>
              <w:rPr>
                <w:color w:val="242424"/>
              </w:rPr>
              <w:t> </w:t>
            </w:r>
          </w:p>
        </w:tc>
        <w:tc>
          <w:tcPr>
            <w:tcW w:w="81" w:type="dxa"/>
            <w:tcBorders/>
            <w:shd w:fill="CCEEFF" w:val="clear"/>
            <w:vAlign w:val="center"/>
          </w:tcPr>
          <w:p>
            <w:pPr>
              <w:pStyle w:val="TableContents"/>
              <w:bidi w:val="0"/>
              <w:spacing w:before="0" w:after="283"/>
              <w:jc w:val="left"/>
              <w:rPr>
                <w:color w:val="242424"/>
              </w:rPr>
            </w:pPr>
            <w:r>
              <w:rPr>
                <w:color w:val="242424"/>
              </w:rPr>
              <w:t> </w:t>
            </w:r>
          </w:p>
        </w:tc>
        <w:tc>
          <w:tcPr>
            <w:tcW w:w="273" w:type="dxa"/>
            <w:tcBorders>
              <w:bottom w:val="single" w:sz="8" w:space="0" w:color="000000"/>
            </w:tcBorders>
            <w:shd w:fill="CCEEFF" w:val="clear"/>
            <w:tcMar>
              <w:bottom w:w="28" w:type="dxa"/>
            </w:tcMar>
            <w:vAlign w:val="center"/>
          </w:tcPr>
          <w:p>
            <w:pPr>
              <w:pStyle w:val="TableContents"/>
              <w:bidi w:val="0"/>
              <w:spacing w:before="0" w:after="283"/>
              <w:jc w:val="left"/>
              <w:rPr>
                <w:color w:val="242424"/>
              </w:rPr>
            </w:pPr>
            <w:r>
              <w:rPr>
                <w:color w:val="242424"/>
              </w:rPr>
              <w:t>$</w:t>
            </w:r>
          </w:p>
        </w:tc>
        <w:tc>
          <w:tcPr>
            <w:tcW w:w="1336" w:type="dxa"/>
            <w:tcBorders>
              <w:bottom w:val="single" w:sz="8" w:space="0" w:color="000000"/>
            </w:tcBorders>
            <w:shd w:fill="CCEEFF" w:val="clear"/>
            <w:tcMar>
              <w:bottom w:w="28" w:type="dxa"/>
            </w:tcMar>
            <w:vAlign w:val="center"/>
          </w:tcPr>
          <w:p>
            <w:pPr>
              <w:pStyle w:val="TableContents"/>
              <w:bidi w:val="0"/>
              <w:spacing w:before="0" w:after="283"/>
              <w:jc w:val="right"/>
              <w:rPr>
                <w:color w:val="242424"/>
              </w:rPr>
            </w:pPr>
            <w:r>
              <w:rPr>
                <w:color w:val="242424"/>
              </w:rPr>
              <w:t>250</w:t>
            </w:r>
          </w:p>
        </w:tc>
        <w:tc>
          <w:tcPr>
            <w:tcW w:w="60" w:type="dxa"/>
            <w:tcBorders/>
            <w:shd w:fill="CCEEFF" w:val="clear"/>
            <w:vAlign w:val="center"/>
          </w:tcPr>
          <w:p>
            <w:pPr>
              <w:pStyle w:val="TableContents"/>
              <w:bidi w:val="0"/>
              <w:spacing w:before="0" w:after="283"/>
              <w:jc w:val="left"/>
              <w:rPr>
                <w:color w:val="242424"/>
              </w:rPr>
            </w:pPr>
            <w:r>
              <w:rPr>
                <w:color w:val="242424"/>
              </w:rPr>
              <w:t> </w:t>
            </w:r>
          </w:p>
        </w:tc>
        <w:tc>
          <w:tcPr>
            <w:tcW w:w="60" w:type="dxa"/>
            <w:tcBorders/>
            <w:shd w:fill="CCEEFF" w:val="clear"/>
            <w:vAlign w:val="center"/>
          </w:tcPr>
          <w:p>
            <w:pPr>
              <w:pStyle w:val="TableContents"/>
              <w:bidi w:val="0"/>
              <w:spacing w:before="0" w:after="283"/>
              <w:jc w:val="left"/>
              <w:rPr>
                <w:color w:val="242424"/>
              </w:rPr>
            </w:pPr>
            <w:r>
              <w:rPr>
                <w:color w:val="242424"/>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color w:val="242424"/>
              </w:rPr>
            </w:pPr>
            <w:r>
              <w:rPr>
                <w:color w:val="242424"/>
              </w:rPr>
              <w:t> </w:t>
            </w:r>
          </w:p>
        </w:tc>
        <w:tc>
          <w:tcPr>
            <w:tcW w:w="1348" w:type="dxa"/>
            <w:tcBorders>
              <w:bottom w:val="single" w:sz="8" w:space="0" w:color="000000"/>
            </w:tcBorders>
            <w:shd w:fill="CCEEFF" w:val="clear"/>
            <w:tcMar>
              <w:bottom w:w="28" w:type="dxa"/>
            </w:tcMar>
            <w:vAlign w:val="center"/>
          </w:tcPr>
          <w:p>
            <w:pPr>
              <w:pStyle w:val="TableContents"/>
              <w:bidi w:val="0"/>
              <w:spacing w:before="0" w:after="283"/>
              <w:jc w:val="right"/>
              <w:rPr>
                <w:color w:val="242424"/>
              </w:rPr>
            </w:pPr>
            <w:r>
              <w:rPr>
                <w:color w:val="242424"/>
              </w:rPr>
              <w:t>0</w:t>
            </w:r>
          </w:p>
        </w:tc>
        <w:tc>
          <w:tcPr>
            <w:tcW w:w="230" w:type="dxa"/>
            <w:tcBorders/>
            <w:shd w:fill="CCEEFF" w:val="clear"/>
            <w:vAlign w:val="center"/>
          </w:tcPr>
          <w:p>
            <w:pPr>
              <w:pStyle w:val="TableContents"/>
              <w:bidi w:val="0"/>
              <w:spacing w:before="0" w:after="283"/>
              <w:jc w:val="left"/>
              <w:rPr>
                <w:color w:val="242424"/>
              </w:rPr>
            </w:pPr>
            <w:r>
              <w:rPr>
                <w:color w:val="242424"/>
              </w:rPr>
              <w:t>%</w:t>
            </w:r>
          </w:p>
        </w:tc>
      </w:tr>
      <w:tr>
        <w:trPr/>
        <w:tc>
          <w:tcPr>
            <w:tcW w:w="1430" w:type="dxa"/>
            <w:tcBorders/>
            <w:shd w:fill="FFFFFF" w:val="clear"/>
            <w:vAlign w:val="center"/>
          </w:tcPr>
          <w:p>
            <w:pPr>
              <w:pStyle w:val="TableContents"/>
              <w:bidi w:val="0"/>
              <w:spacing w:before="0" w:after="283"/>
              <w:jc w:val="left"/>
              <w:rPr>
                <w:b/>
                <w:color w:val="242424"/>
              </w:rPr>
            </w:pPr>
            <w:r>
              <w:rPr>
                <w:b/>
                <w:color w:val="242424"/>
              </w:rPr>
              <w:t>Net Sales</w:t>
            </w:r>
          </w:p>
        </w:tc>
        <w:tc>
          <w:tcPr>
            <w:tcW w:w="60" w:type="dxa"/>
            <w:tcBorders/>
            <w:shd w:fill="FFFFFF" w:val="clear"/>
            <w:vAlign w:val="center"/>
          </w:tcPr>
          <w:p>
            <w:pPr>
              <w:pStyle w:val="TableContents"/>
              <w:bidi w:val="0"/>
              <w:spacing w:before="0" w:after="283"/>
              <w:jc w:val="left"/>
              <w:rPr>
                <w:color w:val="242424"/>
              </w:rPr>
            </w:pPr>
            <w:r>
              <w:rPr>
                <w:color w:val="242424"/>
              </w:rPr>
              <w:t> </w:t>
            </w:r>
          </w:p>
        </w:tc>
        <w:tc>
          <w:tcPr>
            <w:tcW w:w="320" w:type="dxa"/>
            <w:tcBorders/>
            <w:shd w:fill="FFFFFF" w:val="clear"/>
            <w:vAlign w:val="center"/>
          </w:tcPr>
          <w:p>
            <w:pPr>
              <w:pStyle w:val="TableContents"/>
              <w:bidi w:val="0"/>
              <w:spacing w:before="0" w:after="283"/>
              <w:jc w:val="left"/>
              <w:rPr>
                <w:color w:val="242424"/>
              </w:rPr>
            </w:pPr>
            <w:r>
              <w:rPr>
                <w:color w:val="242424"/>
              </w:rPr>
              <w:t>$</w:t>
            </w:r>
          </w:p>
        </w:tc>
        <w:tc>
          <w:tcPr>
            <w:tcW w:w="1289" w:type="dxa"/>
            <w:tcBorders/>
            <w:shd w:fill="FFFFFF" w:val="clear"/>
            <w:vAlign w:val="center"/>
          </w:tcPr>
          <w:p>
            <w:pPr>
              <w:pStyle w:val="TableContents"/>
              <w:bidi w:val="0"/>
              <w:spacing w:before="0" w:after="283"/>
              <w:jc w:val="right"/>
              <w:rPr>
                <w:color w:val="242424"/>
              </w:rPr>
            </w:pPr>
            <w:r>
              <w:rPr>
                <w:color w:val="242424"/>
              </w:rPr>
              <w:t>9,704</w:t>
            </w:r>
          </w:p>
        </w:tc>
        <w:tc>
          <w:tcPr>
            <w:tcW w:w="81" w:type="dxa"/>
            <w:tcBorders/>
            <w:shd w:fill="FFFFFF" w:val="clear"/>
            <w:vAlign w:val="center"/>
          </w:tcPr>
          <w:p>
            <w:pPr>
              <w:pStyle w:val="TableContents"/>
              <w:bidi w:val="0"/>
              <w:spacing w:before="0" w:after="283"/>
              <w:jc w:val="left"/>
              <w:rPr>
                <w:color w:val="242424"/>
              </w:rPr>
            </w:pPr>
            <w:r>
              <w:rPr>
                <w:color w:val="242424"/>
              </w:rPr>
              <w:t> </w:t>
            </w:r>
          </w:p>
        </w:tc>
        <w:tc>
          <w:tcPr>
            <w:tcW w:w="81" w:type="dxa"/>
            <w:tcBorders/>
            <w:shd w:fill="FFFFFF" w:val="clear"/>
            <w:vAlign w:val="center"/>
          </w:tcPr>
          <w:p>
            <w:pPr>
              <w:pStyle w:val="TableContents"/>
              <w:bidi w:val="0"/>
              <w:spacing w:before="0" w:after="283"/>
              <w:jc w:val="left"/>
              <w:rPr>
                <w:color w:val="242424"/>
              </w:rPr>
            </w:pPr>
            <w:r>
              <w:rPr>
                <w:color w:val="242424"/>
              </w:rPr>
              <w:t> </w:t>
            </w:r>
          </w:p>
        </w:tc>
        <w:tc>
          <w:tcPr>
            <w:tcW w:w="273" w:type="dxa"/>
            <w:tcBorders/>
            <w:shd w:fill="FFFFFF" w:val="clear"/>
            <w:vAlign w:val="center"/>
          </w:tcPr>
          <w:p>
            <w:pPr>
              <w:pStyle w:val="TableContents"/>
              <w:bidi w:val="0"/>
              <w:spacing w:before="0" w:after="283"/>
              <w:jc w:val="left"/>
              <w:rPr>
                <w:color w:val="242424"/>
              </w:rPr>
            </w:pPr>
            <w:r>
              <w:rPr>
                <w:color w:val="242424"/>
              </w:rPr>
              <w:t>$</w:t>
            </w:r>
          </w:p>
        </w:tc>
        <w:tc>
          <w:tcPr>
            <w:tcW w:w="1336" w:type="dxa"/>
            <w:tcBorders/>
            <w:shd w:fill="FFFFFF" w:val="clear"/>
            <w:vAlign w:val="center"/>
          </w:tcPr>
          <w:p>
            <w:pPr>
              <w:pStyle w:val="TableContents"/>
              <w:bidi w:val="0"/>
              <w:spacing w:before="0" w:after="283"/>
              <w:jc w:val="right"/>
              <w:rPr>
                <w:color w:val="242424"/>
              </w:rPr>
            </w:pPr>
            <w:r>
              <w:rPr>
                <w:color w:val="242424"/>
              </w:rPr>
              <w:t>13,356</w:t>
            </w:r>
          </w:p>
        </w:tc>
        <w:tc>
          <w:tcPr>
            <w:tcW w:w="60" w:type="dxa"/>
            <w:tcBorders/>
            <w:shd w:fill="FFFFFF" w:val="clear"/>
            <w:vAlign w:val="center"/>
          </w:tcPr>
          <w:p>
            <w:pPr>
              <w:pStyle w:val="TableContents"/>
              <w:bidi w:val="0"/>
              <w:spacing w:before="0" w:after="283"/>
              <w:jc w:val="left"/>
              <w:rPr>
                <w:color w:val="242424"/>
              </w:rPr>
            </w:pPr>
            <w:r>
              <w:rPr>
                <w:color w:val="242424"/>
              </w:rPr>
              <w:t> </w:t>
            </w:r>
          </w:p>
        </w:tc>
        <w:tc>
          <w:tcPr>
            <w:tcW w:w="60" w:type="dxa"/>
            <w:tcBorders/>
            <w:shd w:fill="FFFFFF" w:val="clear"/>
            <w:vAlign w:val="center"/>
          </w:tcPr>
          <w:p>
            <w:pPr>
              <w:pStyle w:val="TableContents"/>
              <w:bidi w:val="0"/>
              <w:spacing w:before="0" w:after="283"/>
              <w:jc w:val="left"/>
              <w:rPr>
                <w:color w:val="242424"/>
              </w:rPr>
            </w:pPr>
            <w:r>
              <w:rPr>
                <w:color w:val="242424"/>
              </w:rPr>
              <w:t> </w:t>
            </w:r>
          </w:p>
        </w:tc>
        <w:tc>
          <w:tcPr>
            <w:tcW w:w="156" w:type="dxa"/>
            <w:tcBorders/>
            <w:shd w:fill="FFFFFF" w:val="clear"/>
            <w:vAlign w:val="center"/>
          </w:tcPr>
          <w:p>
            <w:pPr>
              <w:pStyle w:val="TableContents"/>
              <w:bidi w:val="0"/>
              <w:spacing w:before="0" w:after="283"/>
              <w:jc w:val="left"/>
              <w:rPr>
                <w:color w:val="242424"/>
              </w:rPr>
            </w:pPr>
            <w:r>
              <w:rPr>
                <w:color w:val="242424"/>
              </w:rPr>
              <w:t> </w:t>
            </w:r>
          </w:p>
        </w:tc>
        <w:tc>
          <w:tcPr>
            <w:tcW w:w="1348" w:type="dxa"/>
            <w:tcBorders/>
            <w:shd w:fill="FFFFFF" w:val="clear"/>
            <w:vAlign w:val="center"/>
          </w:tcPr>
          <w:p>
            <w:pPr>
              <w:pStyle w:val="TableContents"/>
              <w:bidi w:val="0"/>
              <w:spacing w:before="0" w:after="283"/>
              <w:jc w:val="right"/>
              <w:rPr>
                <w:color w:val="242424"/>
              </w:rPr>
            </w:pPr>
            <w:r>
              <w:rPr>
                <w:color w:val="242424"/>
              </w:rPr>
              <w:t>-27.3</w:t>
            </w:r>
          </w:p>
        </w:tc>
        <w:tc>
          <w:tcPr>
            <w:tcW w:w="230" w:type="dxa"/>
            <w:tcBorders/>
            <w:shd w:fill="FFFFFF" w:val="clear"/>
            <w:vAlign w:val="center"/>
          </w:tcPr>
          <w:p>
            <w:pPr>
              <w:pStyle w:val="TableContents"/>
              <w:bidi w:val="0"/>
              <w:spacing w:before="0" w:after="283"/>
              <w:jc w:val="left"/>
              <w:rPr>
                <w:color w:val="242424"/>
              </w:rPr>
            </w:pPr>
            <w:r>
              <w:rPr>
                <w:color w:val="242424"/>
              </w:rPr>
              <w:t>%</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were $9.7 million, including $5.8 million in OEM net sales and $3.7 million in DTC net sales, reflecting softer demand in the RV market, particularly in the Company’s core RV-related channels, as well as the Company’s ongoing focus on higher-value OEM and commercial opportunities.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was $1.7 million, with a gross margin of 17.6%, compared to gross profit of $3.9 million and gross margin of 29.4%. First quarter gross margin was impacted by lower unit volume of batteries and accessory sale</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Operating Expenses totaled $7.4 million, compared to $9.8 million, primarily driven by the Company’s targeted cost reduction measures.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reported a Net Loss of $(6.6) million and a Net Loss Attributable to Common Shareholders of $(7.7) million, or $(</w:t>
      </w:r>
      <w:r>
        <w:rPr>
          <w:rFonts w:ascii="Times New Roman;Times;Serif" w:hAnsi="Times New Roman;Times;Serif"/>
          <w:b/>
          <w:i w:val="false"/>
          <w:caps w:val="false"/>
          <w:smallCaps w:val="false"/>
          <w:sz w:val="20"/>
        </w:rPr>
        <w:t>0.64</w:t>
      </w:r>
      <w:r>
        <w:rPr>
          <w:rFonts w:ascii="Times New Roman;Times;Serif" w:hAnsi="Times New Roman;Times;Serif"/>
          <w:b w:val="false"/>
          <w:i w:val="false"/>
          <w:caps w:val="false"/>
          <w:smallCaps w:val="false"/>
          <w:sz w:val="20"/>
        </w:rPr>
        <w:t>) per diluted share. Adjusted EBITDA excluding stock-based compensation, changes in the fair market value of our warrants, and other one-time expenses, was $(4.6) million.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and Outlook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Looking ahead, we remain focused on expanding OEM relationships, improving operational efficiency, and maintaining disciplined execution as we drive toward growth and profitability. We also continue to advance our long-term technology roadmap, supported by our recent selection for more than $500,000 in additional non-dilutive Nevada Tech Hub funding to expand our in-house battery development, testing, and validation capabilities.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second quarter, we anticipate revenue of $13.2 million and adjusted EBITDA loss of $1.9 million. With commercial trucking momentum building and continued healthy adoption trends within our RV OEM partnerships, including expanded model integration and increased energy storage content within select existing platforms, we anticipate a sequential revenue increase of approximately 36% in the second quarter. We are also encouraged to see our cost savings initiatives starting to take effect, which we expect to drive a $2.7 million sequential improvement in Adjusted EBITDA loss, as we continue to advance toward out target of Adjusted EBITDA profitability at an annualized net sales run rate of $70 million,” concluded Dr. Phares.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 2026 Guidance</w:t>
      </w:r>
    </w:p>
    <w:p>
      <w:pPr>
        <w:pStyle w:val="TextBody"/>
        <w:bidi w:val="0"/>
        <w:spacing w:before="0" w:after="0"/>
        <w:ind w:left="0" w:right="0" w:hanging="0"/>
        <w:jc w:val="both"/>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75"/>
        <w:gridCol w:w="170"/>
        <w:gridCol w:w="42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of approximately $13.2 million.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of approximately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1.9) million*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Company cannot reconcile its expected adjusted operating EBITDA under “Q2 2026 Guidance” without unreasonable effort because certain items that impact net (loss) income and other reconciling metrics are out of the Company’s control and/or cannot be reasonably predicted at this time. Actual results may vary from the guidance and the variations may be material.</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Use of Non-GAAP Financial Measures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is a non-GAAP measure and should be considered only as supplemental to, and not as superior to, financial measures prepared in accordance with United States generally accepted accounting principles (“GAAP”). Please refer to the reconciliation of Adjusted EBITDA to its nearest GAAP measure in this release.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non-GAAP financial measures including EBITDA and Adjusted EBITDA as a supplement to GAAP financial information to enhance the overall understanding of the Company’s financial performance and to assist investors in evaluating the Company’s results of operations, period over period. Adjusted non-GAAP measures exclude significant unusual items. Investors should consider these non-GAAP measures as a supplement to, and not a substitute for financial information prepared on a GAAP basis.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is defined as earnings before interest and other income (expenses), income taxes, and depreciation and amortization. Adjusted EBITDA is calculated as EBITDA adjusted for stock-based compensation, change in fair market value of warrant liabilities, non-recurring costs associated with strategic financing, reverse stock split, litigation and loss on settlement. Adjusted EBITDA is a performance measure that the Company believes is useful to investors and analysts because it illustrates the underlying financial and business trends relating to the Company’s core, recurring results of operations and enhances comparability between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has limitations as an analytical tool, and it should not be considered in isolation or as a substitute for analysis of net loss or other results as reported under GAAP. Some of these limitations are:</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the Company’s cash expenditures, future requirements for capital expenditures, or contractual commitments;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changes in, or cash requirements for, the Company’s working capital needs;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the Company’s tax expense or the cash requirements to pay taxes;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amortization and depreciation are non-cash charges, the assets being amortized and depreciated will often have to be replaced in the future and Adjusted EBITDA does not reflect any cash requirements for such replacements;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should not be construed as an inference that the Company’s future results will be unaffected by unusual or non-recurring items for which the Company may adjust in historical periods;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companies in the industry may calculate Adjusted EBITDA differently than the Company does, limiting its usefulness as a comparative measure.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Webcast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Dragonfly Energy management team will host a conference call to discuss its first quarter 2026 financial and operational results this afternoon, May 14, 2026 at 4:30 PM Eastern Time. The call can be accessed live via webcast by clicking </w:t>
      </w:r>
      <w:r>
        <w:rPr>
          <w:rFonts w:ascii="Times New Roman;Times;Serif" w:hAnsi="Times New Roman;Times;Serif"/>
          <w:b w:val="false"/>
          <w:i w:val="false"/>
          <w:caps w:val="false"/>
          <w:smallCaps w:val="false"/>
          <w:sz w:val="20"/>
          <w:u w:val="single"/>
        </w:rPr>
        <w:t>here</w:t>
      </w:r>
      <w:r>
        <w:rPr>
          <w:rFonts w:ascii="Times New Roman;Times;Serif" w:hAnsi="Times New Roman;Times;Serif"/>
          <w:b w:val="false"/>
          <w:i w:val="false"/>
          <w:caps w:val="false"/>
          <w:smallCaps w:val="false"/>
          <w:sz w:val="20"/>
        </w:rPr>
        <w:t xml:space="preserve">, or through the Events and Presentations page within the Investor Relations section of Dragonfly Energy’s website at </w:t>
      </w:r>
      <w:r>
        <w:rPr>
          <w:rFonts w:ascii="Times New Roman;Times;Serif" w:hAnsi="Times New Roman;Times;Serif"/>
          <w:b w:val="false"/>
          <w:i w:val="false"/>
          <w:caps w:val="false"/>
          <w:smallCaps w:val="false"/>
          <w:sz w:val="20"/>
          <w:u w:val="single"/>
        </w:rPr>
        <w:t>https://investors.dragonflyenergy.com/events-and-presentations/default.aspx</w:t>
      </w:r>
      <w:r>
        <w:rPr>
          <w:rFonts w:ascii="Times New Roman;Times;Serif" w:hAnsi="Times New Roman;Times;Serif"/>
          <w:b w:val="false"/>
          <w:i w:val="false"/>
          <w:caps w:val="false"/>
          <w:smallCaps w:val="false"/>
          <w:sz w:val="20"/>
        </w:rPr>
        <w:t>. The call can also be accessed by dialing (833) 461-5787 (North America toll-free) or +1 (585) 542-9983 (International toll-free) and referencing conference ID: 797733227. Please log in to the webcast or dial in to the call at least 10 minutes prior to the start of the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archive of the webcast will be available for a period of time shortly after the call on the Events and Presentations page on the Investor Relations section of Dragonfly Energy’s website, along with the earnings press release.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Dragonfly Energy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 (Nasdaq: DFLI) is a comprehensive lithium battery technology company, specializing in cell manufacturing, battery pack assembly, and full system integration. Through its renowned Battle Born Batteries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brand, Dragonfly Energy has established itself as a frontrunner in the lithium battery industry, with hundreds of thousands of reliable battery packs deployed in the field through top-tier OEMs and a diverse retail customer base. At the forefront of domestic lithium battery cell production, Dragonfly Energy’s patented dry electrode manufacturing process can deliver chemistry-agnostic power solutions for a broad spectrum of applications, including energy storage systems, electric vehicles, and consumer electronics. The Company’s overarching mission is the future deployment of its proprietary, nonflammable, all-solid-state battery cells.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learn more about Dragonfly Energy and its commitment to clean energy advancements, visit </w:t>
      </w:r>
      <w:r>
        <w:rPr>
          <w:rFonts w:ascii="Times New Roman;Times;Serif" w:hAnsi="Times New Roman;Times;Serif"/>
          <w:b w:val="false"/>
          <w:i w:val="false"/>
          <w:caps w:val="false"/>
          <w:smallCaps w:val="false"/>
          <w:sz w:val="20"/>
          <w:u w:val="single"/>
        </w:rPr>
        <w:t>https://investors.dragonflyenergy.com/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United States Private Securities Litigation Reform Act of 1995. Forward-looking statements include all statements that are not historical statements of fact and statements regarding the Company’s intent, belief or expectations, including, but not limited to, statements regarding the Company’s guidance for the second quarter of 2026, results of operations and financial position, planned products and services, business strategy and plans, market size and growth opportunities, competitive position and technological and market trends.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forward-looking statements are subject to risks, uncertainties, and other factors (some of which are beyond the Company’s control) which could cause actual results to differ materially from those expressed or implied by such forward-looking statements. Factors that may impact such forward-looking statements include, but are not limited to: improved recovery in the Company’s core markets, including the RV market; the Company’s ability to successfully increase market penetration into target markets; the Company’s ability to penetrate the heavy-duty trucking and other new markets; the growth of the addressable markets that the Company intends to target; the Company’s ability to retain members of its senior management team and other key personnel; the Company’s ability to maintain relationships with key suppliers including suppliers in China; the Company’s ability to maintain relationships with key customers; the Company’s ability to protect its patents and other intellectual property; the Company’s ability to successfully utilize its patented dry electrode battery manufacturing process and optimize solid state cells as well as to produce commercially viable solid state cells in a timely manner or at all, and to scale to mass production; the Company’s ability to timely achieve the anticipated benefits of its licensing arrangement with Stryten Energy LLC; the Company’s ability to achieve the anticipated benefits of its customer arrangements with Stevens Transport; the Company’s ability to maintain the listing of its common stock and public warrants on the Nasdaq Capital Market; the impact of geopolitical conflicts; the Company’s ability to generate revenue from future product sales and its ability to achieve and maintain profitability; and the Company’s ability to compete with other manufacturers in the industry and its ability to engage target customers and successfully convert these customers into meaningful orders in the future. These and other risks and uncertainties are described more fully in the sections entitled “Risk Factors” and “Cautionary Note Regarding Forward-Looking Statements” in the Company’s Annual Report on Form 10-K for the year ended December 31, 2025 filed with the SEC and in the Company’s subsequent filings with the SEC available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these risks materialize or any of the Company’s assumptions prove incorrect, actual results could differ materially from the results implied by these forward-looking statements. There may be additional risks that the Company presently does not know or that it currently believes are immaterial that could also cause actual results to differ from those contained in the forward-looking statements. All forward-looking statements contained in this press release speak only as of the date they were made. Except to the extent required by law, the Company undertakes no obligation to update such statements to reflect events that occur or circumstances that exist after the date on which they were made.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Tables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35"/>
        <w:gridCol w:w="60"/>
        <w:gridCol w:w="171"/>
        <w:gridCol w:w="1071"/>
        <w:gridCol w:w="95"/>
        <w:gridCol w:w="60"/>
        <w:gridCol w:w="192"/>
        <w:gridCol w:w="1208"/>
        <w:gridCol w:w="113"/>
      </w:tblGrid>
      <w:tr>
        <w:trPr/>
        <w:tc>
          <w:tcPr>
            <w:tcW w:w="7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w:t>
            </w:r>
          </w:p>
        </w:tc>
        <w:tc>
          <w:tcPr>
            <w:tcW w:w="113" w:type="dxa"/>
            <w:tcBorders/>
            <w:vAlign w:val="center"/>
          </w:tcPr>
          <w:p>
            <w:pPr>
              <w:pStyle w:val="TableContents"/>
              <w:bidi w:val="0"/>
              <w:spacing w:before="0" w:after="283"/>
              <w:jc w:val="left"/>
              <w:rPr/>
            </w:pPr>
            <w:r>
              <w:rPr/>
              <w:t> </w:t>
            </w:r>
          </w:p>
        </w:tc>
      </w:tr>
      <w:tr>
        <w:trPr/>
        <w:tc>
          <w:tcPr>
            <w:tcW w:w="72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3" w:type="dxa"/>
            <w:tcBorders/>
            <w:vAlign w:val="center"/>
          </w:tcPr>
          <w:p>
            <w:pPr>
              <w:pStyle w:val="TableContents"/>
              <w:bidi w:val="0"/>
              <w:spacing w:before="0" w:after="283"/>
              <w:jc w:val="center"/>
              <w:rPr/>
            </w:pPr>
            <w:r>
              <w:rPr/>
              <w:t> </w:t>
            </w:r>
          </w:p>
        </w:tc>
      </w:tr>
      <w:tr>
        <w:trPr/>
        <w:tc>
          <w:tcPr>
            <w:tcW w:w="7235" w:type="dxa"/>
            <w:tcBorders/>
            <w:shd w:fill="CCEEFF" w:val="clear"/>
            <w:vAlign w:val="center"/>
          </w:tcPr>
          <w:p>
            <w:pPr>
              <w:pStyle w:val="TableContents"/>
              <w:bidi w:val="0"/>
              <w:spacing w:before="0" w:after="283"/>
              <w:jc w:val="left"/>
              <w:rPr>
                <w:b/>
              </w:rPr>
            </w:pPr>
            <w:r>
              <w:rPr>
                <w:b/>
              </w:rPr>
              <w:t>Current Assets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235"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w:t>
            </w:r>
          </w:p>
        </w:tc>
        <w:tc>
          <w:tcPr>
            <w:tcW w:w="1071" w:type="dxa"/>
            <w:tcBorders/>
            <w:shd w:fill="FFFFFF" w:val="clear"/>
            <w:vAlign w:val="center"/>
          </w:tcPr>
          <w:p>
            <w:pPr>
              <w:pStyle w:val="TableContents"/>
              <w:bidi w:val="0"/>
              <w:spacing w:before="0" w:after="283"/>
              <w:jc w:val="right"/>
              <w:rPr/>
            </w:pPr>
            <w:r>
              <w:rPr/>
              <w:t>8,637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w:t>
            </w:r>
          </w:p>
        </w:tc>
        <w:tc>
          <w:tcPr>
            <w:tcW w:w="1208" w:type="dxa"/>
            <w:tcBorders/>
            <w:shd w:fill="FFFFFF" w:val="clear"/>
            <w:vAlign w:val="center"/>
          </w:tcPr>
          <w:p>
            <w:pPr>
              <w:pStyle w:val="TableContents"/>
              <w:bidi w:val="0"/>
              <w:spacing w:before="0" w:after="283"/>
              <w:jc w:val="right"/>
              <w:rPr/>
            </w:pPr>
            <w:r>
              <w:rPr/>
              <w:t>18,270</w:t>
            </w:r>
          </w:p>
        </w:tc>
        <w:tc>
          <w:tcPr>
            <w:tcW w:w="113" w:type="dxa"/>
            <w:tcBorders/>
            <w:shd w:fill="FFFFFF" w:val="clear"/>
            <w:vAlign w:val="center"/>
          </w:tcPr>
          <w:p>
            <w:pPr>
              <w:pStyle w:val="TableContents"/>
              <w:bidi w:val="0"/>
              <w:spacing w:before="0" w:after="283"/>
              <w:jc w:val="left"/>
              <w:rPr/>
            </w:pPr>
            <w:r>
              <w:rPr/>
              <w:t> </w:t>
            </w:r>
          </w:p>
        </w:tc>
      </w:tr>
      <w:tr>
        <w:trPr/>
        <w:tc>
          <w:tcPr>
            <w:tcW w:w="7235" w:type="dxa"/>
            <w:tcBorders/>
            <w:shd w:fill="CCEEFF" w:val="clear"/>
            <w:vAlign w:val="center"/>
          </w:tcPr>
          <w:p>
            <w:pPr>
              <w:pStyle w:val="TableContents"/>
              <w:bidi w:val="0"/>
              <w:spacing w:before="0" w:after="283"/>
              <w:jc w:val="left"/>
              <w:rPr/>
            </w:pPr>
            <w:r>
              <w:rPr/>
              <w:t>Accounts receivable, net of allowance for credit losses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2,979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4,215</w:t>
            </w:r>
          </w:p>
        </w:tc>
        <w:tc>
          <w:tcPr>
            <w:tcW w:w="113" w:type="dxa"/>
            <w:tcBorders/>
            <w:shd w:fill="CCEEFF" w:val="clear"/>
            <w:vAlign w:val="center"/>
          </w:tcPr>
          <w:p>
            <w:pPr>
              <w:pStyle w:val="TableContents"/>
              <w:bidi w:val="0"/>
              <w:spacing w:before="0" w:after="283"/>
              <w:jc w:val="left"/>
              <w:rPr/>
            </w:pPr>
            <w:r>
              <w:rPr/>
              <w:t> </w:t>
            </w:r>
          </w:p>
        </w:tc>
      </w:tr>
      <w:tr>
        <w:trPr/>
        <w:tc>
          <w:tcPr>
            <w:tcW w:w="7235"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24,299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right"/>
              <w:rPr/>
            </w:pPr>
            <w:r>
              <w:rPr/>
              <w:t>24,234</w:t>
            </w:r>
          </w:p>
        </w:tc>
        <w:tc>
          <w:tcPr>
            <w:tcW w:w="113" w:type="dxa"/>
            <w:tcBorders/>
            <w:shd w:fill="FFFFFF" w:val="clear"/>
            <w:vAlign w:val="center"/>
          </w:tcPr>
          <w:p>
            <w:pPr>
              <w:pStyle w:val="TableContents"/>
              <w:bidi w:val="0"/>
              <w:spacing w:before="0" w:after="283"/>
              <w:jc w:val="left"/>
              <w:rPr/>
            </w:pPr>
            <w:r>
              <w:rPr/>
              <w:t> </w:t>
            </w:r>
          </w:p>
        </w:tc>
      </w:tr>
      <w:tr>
        <w:trPr/>
        <w:tc>
          <w:tcPr>
            <w:tcW w:w="7235"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1,115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1,088</w:t>
            </w:r>
          </w:p>
        </w:tc>
        <w:tc>
          <w:tcPr>
            <w:tcW w:w="113" w:type="dxa"/>
            <w:tcBorders/>
            <w:shd w:fill="CCEEFF" w:val="clear"/>
            <w:vAlign w:val="center"/>
          </w:tcPr>
          <w:p>
            <w:pPr>
              <w:pStyle w:val="TableContents"/>
              <w:bidi w:val="0"/>
              <w:spacing w:before="0" w:after="283"/>
              <w:jc w:val="left"/>
              <w:rPr/>
            </w:pPr>
            <w:r>
              <w:rPr/>
              <w:t> </w:t>
            </w:r>
          </w:p>
        </w:tc>
      </w:tr>
      <w:tr>
        <w:trPr/>
        <w:tc>
          <w:tcPr>
            <w:tcW w:w="7235" w:type="dxa"/>
            <w:tcBorders/>
            <w:shd w:fill="FFFFFF" w:val="clear"/>
            <w:vAlign w:val="center"/>
          </w:tcPr>
          <w:p>
            <w:pPr>
              <w:pStyle w:val="TableContents"/>
              <w:bidi w:val="0"/>
              <w:spacing w:before="0" w:after="283"/>
              <w:jc w:val="left"/>
              <w:rPr/>
            </w:pPr>
            <w:r>
              <w:rPr/>
              <w:t>Prepaid inventory</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811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right"/>
              <w:rPr/>
            </w:pPr>
            <w:r>
              <w:rPr/>
              <w:t>937</w:t>
            </w:r>
          </w:p>
        </w:tc>
        <w:tc>
          <w:tcPr>
            <w:tcW w:w="113" w:type="dxa"/>
            <w:tcBorders/>
            <w:shd w:fill="FFFFFF" w:val="clear"/>
            <w:vAlign w:val="center"/>
          </w:tcPr>
          <w:p>
            <w:pPr>
              <w:pStyle w:val="TableContents"/>
              <w:bidi w:val="0"/>
              <w:spacing w:before="0" w:after="283"/>
              <w:jc w:val="left"/>
              <w:rPr/>
            </w:pPr>
            <w:r>
              <w:rPr/>
              <w:t> </w:t>
            </w:r>
          </w:p>
        </w:tc>
      </w:tr>
      <w:tr>
        <w:trPr/>
        <w:tc>
          <w:tcPr>
            <w:tcW w:w="7235" w:type="dxa"/>
            <w:tcBorders/>
            <w:shd w:fill="CCEEFF" w:val="clear"/>
            <w:vAlign w:val="center"/>
          </w:tcPr>
          <w:p>
            <w:pPr>
              <w:pStyle w:val="TableContents"/>
              <w:bidi w:val="0"/>
              <w:spacing w:before="0" w:after="283"/>
              <w:jc w:val="left"/>
              <w:rPr/>
            </w:pPr>
            <w:r>
              <w:rPr/>
              <w:t>Prepaid income tax</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359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353</w:t>
            </w:r>
          </w:p>
        </w:tc>
        <w:tc>
          <w:tcPr>
            <w:tcW w:w="113" w:type="dxa"/>
            <w:tcBorders/>
            <w:shd w:fill="CCEEFF" w:val="clear"/>
            <w:vAlign w:val="center"/>
          </w:tcPr>
          <w:p>
            <w:pPr>
              <w:pStyle w:val="TableContents"/>
              <w:bidi w:val="0"/>
              <w:spacing w:before="0" w:after="283"/>
              <w:jc w:val="left"/>
              <w:rPr/>
            </w:pPr>
            <w:r>
              <w:rPr/>
              <w:t> </w:t>
            </w:r>
          </w:p>
        </w:tc>
      </w:tr>
      <w:tr>
        <w:trPr/>
        <w:tc>
          <w:tcPr>
            <w:tcW w:w="7235"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1" w:type="dxa"/>
            <w:tcBorders>
              <w:bottom w:val="single" w:sz="8" w:space="0" w:color="000000"/>
            </w:tcBorders>
            <w:shd w:fill="FFFFFF" w:val="clear"/>
            <w:tcMar>
              <w:bottom w:w="28" w:type="dxa"/>
            </w:tcMar>
            <w:vAlign w:val="center"/>
          </w:tcPr>
          <w:p>
            <w:pPr>
              <w:pStyle w:val="TableContents"/>
              <w:bidi w:val="0"/>
              <w:spacing w:before="0" w:after="283"/>
              <w:jc w:val="right"/>
              <w:rPr/>
            </w:pPr>
            <w:r>
              <w:rPr/>
              <w:t>1,758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8" w:type="dxa"/>
            <w:tcBorders>
              <w:bottom w:val="single" w:sz="8" w:space="0" w:color="000000"/>
            </w:tcBorders>
            <w:shd w:fill="FFFFFF" w:val="clear"/>
            <w:tcMar>
              <w:bottom w:w="28" w:type="dxa"/>
            </w:tcMar>
            <w:vAlign w:val="center"/>
          </w:tcPr>
          <w:p>
            <w:pPr>
              <w:pStyle w:val="TableContents"/>
              <w:bidi w:val="0"/>
              <w:spacing w:before="0" w:after="283"/>
              <w:jc w:val="right"/>
              <w:rPr/>
            </w:pPr>
            <w:r>
              <w:rPr/>
              <w:t>1,083</w:t>
            </w:r>
          </w:p>
        </w:tc>
        <w:tc>
          <w:tcPr>
            <w:tcW w:w="113" w:type="dxa"/>
            <w:tcBorders/>
            <w:shd w:fill="FFFFFF" w:val="clear"/>
            <w:vAlign w:val="center"/>
          </w:tcPr>
          <w:p>
            <w:pPr>
              <w:pStyle w:val="TableContents"/>
              <w:bidi w:val="0"/>
              <w:spacing w:before="0" w:after="283"/>
              <w:jc w:val="left"/>
              <w:rPr/>
            </w:pPr>
            <w:r>
              <w:rPr/>
              <w:t> </w:t>
            </w:r>
          </w:p>
        </w:tc>
      </w:tr>
      <w:tr>
        <w:trPr/>
        <w:tc>
          <w:tcPr>
            <w:tcW w:w="7235"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1" w:type="dxa"/>
            <w:tcBorders>
              <w:bottom w:val="single" w:sz="8" w:space="0" w:color="000000"/>
            </w:tcBorders>
            <w:shd w:fill="CCEEFF" w:val="clear"/>
            <w:tcMar>
              <w:bottom w:w="28" w:type="dxa"/>
            </w:tcMar>
            <w:vAlign w:val="center"/>
          </w:tcPr>
          <w:p>
            <w:pPr>
              <w:pStyle w:val="TableContents"/>
              <w:bidi w:val="0"/>
              <w:spacing w:before="0" w:after="283"/>
              <w:jc w:val="right"/>
              <w:rPr/>
            </w:pPr>
            <w:r>
              <w:rPr/>
              <w:t>39,958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8" w:type="dxa"/>
            <w:tcBorders>
              <w:bottom w:val="single" w:sz="8" w:space="0" w:color="000000"/>
            </w:tcBorders>
            <w:shd w:fill="CCEEFF" w:val="clear"/>
            <w:tcMar>
              <w:bottom w:w="28" w:type="dxa"/>
            </w:tcMar>
            <w:vAlign w:val="center"/>
          </w:tcPr>
          <w:p>
            <w:pPr>
              <w:pStyle w:val="TableContents"/>
              <w:bidi w:val="0"/>
              <w:spacing w:before="0" w:after="283"/>
              <w:jc w:val="right"/>
              <w:rPr/>
            </w:pPr>
            <w:r>
              <w:rPr/>
              <w:t>50,180</w:t>
            </w:r>
          </w:p>
        </w:tc>
        <w:tc>
          <w:tcPr>
            <w:tcW w:w="113" w:type="dxa"/>
            <w:tcBorders/>
            <w:shd w:fill="CCEEFF" w:val="clear"/>
            <w:vAlign w:val="center"/>
          </w:tcPr>
          <w:p>
            <w:pPr>
              <w:pStyle w:val="TableContents"/>
              <w:bidi w:val="0"/>
              <w:spacing w:before="0" w:after="283"/>
              <w:jc w:val="left"/>
              <w:rPr/>
            </w:pPr>
            <w:r>
              <w:rPr/>
              <w:t> </w:t>
            </w:r>
          </w:p>
        </w:tc>
      </w:tr>
      <w:tr>
        <w:trPr/>
        <w:tc>
          <w:tcPr>
            <w:tcW w:w="7235" w:type="dxa"/>
            <w:tcBorders/>
            <w:shd w:fill="FFFFFF" w:val="clear"/>
            <w:vAlign w:val="center"/>
          </w:tcPr>
          <w:p>
            <w:pPr>
              <w:pStyle w:val="TableContents"/>
              <w:bidi w:val="0"/>
              <w:spacing w:before="0" w:after="283"/>
              <w:jc w:val="left"/>
              <w:rPr>
                <w:b/>
              </w:rPr>
            </w:pPr>
            <w:r>
              <w:rPr>
                <w:b/>
              </w:rPr>
              <w:t>Property and Equipment</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235"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20,407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20,741</w:t>
            </w:r>
          </w:p>
        </w:tc>
        <w:tc>
          <w:tcPr>
            <w:tcW w:w="113" w:type="dxa"/>
            <w:tcBorders/>
            <w:shd w:fill="CCEEFF" w:val="clear"/>
            <w:vAlign w:val="center"/>
          </w:tcPr>
          <w:p>
            <w:pPr>
              <w:pStyle w:val="TableContents"/>
              <w:bidi w:val="0"/>
              <w:spacing w:before="0" w:after="283"/>
              <w:jc w:val="left"/>
              <w:rPr/>
            </w:pPr>
            <w:r>
              <w:rPr/>
              <w:t> </w:t>
            </w:r>
          </w:p>
        </w:tc>
      </w:tr>
      <w:tr>
        <w:trPr/>
        <w:tc>
          <w:tcPr>
            <w:tcW w:w="7235" w:type="dxa"/>
            <w:tcBorders/>
            <w:shd w:fill="FFFFFF" w:val="clear"/>
            <w:vAlign w:val="center"/>
          </w:tcPr>
          <w:p>
            <w:pPr>
              <w:pStyle w:val="TableContents"/>
              <w:bidi w:val="0"/>
              <w:spacing w:before="0" w:after="283"/>
              <w:jc w:val="left"/>
              <w:rPr/>
            </w:pPr>
            <w:r>
              <w:rPr/>
              <w:t>Operating lease right of use asset, net</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14,951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right"/>
              <w:rPr/>
            </w:pPr>
            <w:r>
              <w:rPr/>
              <w:t>15,240</w:t>
            </w:r>
          </w:p>
        </w:tc>
        <w:tc>
          <w:tcPr>
            <w:tcW w:w="113" w:type="dxa"/>
            <w:tcBorders/>
            <w:shd w:fill="FFFFFF" w:val="clear"/>
            <w:vAlign w:val="center"/>
          </w:tcPr>
          <w:p>
            <w:pPr>
              <w:pStyle w:val="TableContents"/>
              <w:bidi w:val="0"/>
              <w:spacing w:before="0" w:after="283"/>
              <w:jc w:val="left"/>
              <w:rPr/>
            </w:pPr>
            <w:r>
              <w:rPr/>
              <w:t> </w:t>
            </w:r>
          </w:p>
        </w:tc>
      </w:tr>
      <w:tr>
        <w:trPr/>
        <w:tc>
          <w:tcPr>
            <w:tcW w:w="7235"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1" w:type="dxa"/>
            <w:tcBorders>
              <w:bottom w:val="single" w:sz="8" w:space="0" w:color="000000"/>
            </w:tcBorders>
            <w:shd w:fill="CCEEFF" w:val="clear"/>
            <w:tcMar>
              <w:bottom w:w="28" w:type="dxa"/>
            </w:tcMar>
            <w:vAlign w:val="center"/>
          </w:tcPr>
          <w:p>
            <w:pPr>
              <w:pStyle w:val="TableContents"/>
              <w:bidi w:val="0"/>
              <w:spacing w:before="0" w:after="283"/>
              <w:jc w:val="right"/>
              <w:rPr/>
            </w:pPr>
            <w:r>
              <w:rPr/>
              <w:t>379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8" w:type="dxa"/>
            <w:tcBorders>
              <w:bottom w:val="single" w:sz="8" w:space="0" w:color="000000"/>
            </w:tcBorders>
            <w:shd w:fill="CCEEFF" w:val="clear"/>
            <w:tcMar>
              <w:bottom w:w="28" w:type="dxa"/>
            </w:tcMar>
            <w:vAlign w:val="center"/>
          </w:tcPr>
          <w:p>
            <w:pPr>
              <w:pStyle w:val="TableContents"/>
              <w:bidi w:val="0"/>
              <w:spacing w:before="0" w:after="283"/>
              <w:jc w:val="right"/>
              <w:rPr/>
            </w:pPr>
            <w:r>
              <w:rPr/>
              <w:t>388</w:t>
            </w:r>
          </w:p>
        </w:tc>
        <w:tc>
          <w:tcPr>
            <w:tcW w:w="113" w:type="dxa"/>
            <w:tcBorders/>
            <w:shd w:fill="CCEEFF" w:val="clear"/>
            <w:vAlign w:val="center"/>
          </w:tcPr>
          <w:p>
            <w:pPr>
              <w:pStyle w:val="TableContents"/>
              <w:bidi w:val="0"/>
              <w:spacing w:before="0" w:after="283"/>
              <w:jc w:val="left"/>
              <w:rPr/>
            </w:pPr>
            <w:r>
              <w:rPr/>
              <w:t> </w:t>
            </w:r>
          </w:p>
        </w:tc>
      </w:tr>
      <w:tr>
        <w:trPr/>
        <w:tc>
          <w:tcPr>
            <w:tcW w:w="7235"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7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75,695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0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86,549</w:t>
            </w:r>
          </w:p>
        </w:tc>
        <w:tc>
          <w:tcPr>
            <w:tcW w:w="113" w:type="dxa"/>
            <w:tcBorders/>
            <w:shd w:fill="FFFFFF" w:val="clear"/>
            <w:vAlign w:val="center"/>
          </w:tcPr>
          <w:p>
            <w:pPr>
              <w:pStyle w:val="TableContents"/>
              <w:bidi w:val="0"/>
              <w:spacing w:before="0" w:after="283"/>
              <w:jc w:val="left"/>
              <w:rPr/>
            </w:pPr>
            <w:r>
              <w:rPr/>
              <w:t> </w:t>
            </w:r>
          </w:p>
        </w:tc>
      </w:tr>
      <w:tr>
        <w:trPr/>
        <w:tc>
          <w:tcPr>
            <w:tcW w:w="7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235"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23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1071" w:type="dxa"/>
            <w:tcBorders/>
            <w:shd w:fill="CCEEFF" w:val="clear"/>
            <w:vAlign w:val="center"/>
          </w:tcPr>
          <w:p>
            <w:pPr>
              <w:pStyle w:val="TableContents"/>
              <w:bidi w:val="0"/>
              <w:spacing w:before="0" w:after="283"/>
              <w:jc w:val="right"/>
              <w:rPr/>
            </w:pPr>
            <w:r>
              <w:rPr/>
              <w:t>9,139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1208" w:type="dxa"/>
            <w:tcBorders/>
            <w:shd w:fill="CCEEFF" w:val="clear"/>
            <w:vAlign w:val="center"/>
          </w:tcPr>
          <w:p>
            <w:pPr>
              <w:pStyle w:val="TableContents"/>
              <w:bidi w:val="0"/>
              <w:spacing w:before="0" w:after="283"/>
              <w:jc w:val="right"/>
              <w:rPr/>
            </w:pPr>
            <w:r>
              <w:rPr/>
              <w:t>10,322</w:t>
            </w:r>
          </w:p>
        </w:tc>
        <w:tc>
          <w:tcPr>
            <w:tcW w:w="113" w:type="dxa"/>
            <w:tcBorders/>
            <w:shd w:fill="CCEEFF" w:val="clear"/>
            <w:vAlign w:val="center"/>
          </w:tcPr>
          <w:p>
            <w:pPr>
              <w:pStyle w:val="TableContents"/>
              <w:bidi w:val="0"/>
              <w:spacing w:before="0" w:after="283"/>
              <w:jc w:val="left"/>
              <w:rPr/>
            </w:pPr>
            <w:r>
              <w:rPr/>
              <w:t> </w:t>
            </w:r>
          </w:p>
        </w:tc>
      </w:tr>
      <w:tr>
        <w:trPr/>
        <w:tc>
          <w:tcPr>
            <w:tcW w:w="7235" w:type="dxa"/>
            <w:tcBorders/>
            <w:shd w:fill="FFFFFF" w:val="clear"/>
            <w:vAlign w:val="center"/>
          </w:tcPr>
          <w:p>
            <w:pPr>
              <w:pStyle w:val="TableContents"/>
              <w:bidi w:val="0"/>
              <w:spacing w:before="0" w:after="283"/>
              <w:jc w:val="left"/>
              <w:rPr/>
            </w:pPr>
            <w:r>
              <w:rPr/>
              <w:t>Accrued payroll and other liabilities</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2,518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right"/>
              <w:rPr/>
            </w:pPr>
            <w:r>
              <w:rPr/>
              <w:t>4,053</w:t>
            </w:r>
          </w:p>
        </w:tc>
        <w:tc>
          <w:tcPr>
            <w:tcW w:w="113" w:type="dxa"/>
            <w:tcBorders/>
            <w:shd w:fill="FFFFFF" w:val="clear"/>
            <w:vAlign w:val="center"/>
          </w:tcPr>
          <w:p>
            <w:pPr>
              <w:pStyle w:val="TableContents"/>
              <w:bidi w:val="0"/>
              <w:spacing w:before="0" w:after="283"/>
              <w:jc w:val="left"/>
              <w:rPr/>
            </w:pPr>
            <w:r>
              <w:rPr/>
              <w:t> </w:t>
            </w:r>
          </w:p>
        </w:tc>
      </w:tr>
      <w:tr>
        <w:trPr/>
        <w:tc>
          <w:tcPr>
            <w:tcW w:w="7235" w:type="dxa"/>
            <w:tcBorders/>
            <w:shd w:fill="CCEEFF" w:val="clear"/>
            <w:vAlign w:val="center"/>
          </w:tcPr>
          <w:p>
            <w:pPr>
              <w:pStyle w:val="TableContents"/>
              <w:bidi w:val="0"/>
              <w:spacing w:before="0" w:after="283"/>
              <w:jc w:val="left"/>
              <w:rPr/>
            </w:pPr>
            <w:r>
              <w:rPr/>
              <w:t>Accrued tariffs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341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943</w:t>
            </w:r>
          </w:p>
        </w:tc>
        <w:tc>
          <w:tcPr>
            <w:tcW w:w="113" w:type="dxa"/>
            <w:tcBorders/>
            <w:shd w:fill="CCEEFF" w:val="clear"/>
            <w:vAlign w:val="center"/>
          </w:tcPr>
          <w:p>
            <w:pPr>
              <w:pStyle w:val="TableContents"/>
              <w:bidi w:val="0"/>
              <w:spacing w:before="0" w:after="283"/>
              <w:jc w:val="left"/>
              <w:rPr/>
            </w:pPr>
            <w:r>
              <w:rPr/>
              <w:t> </w:t>
            </w:r>
          </w:p>
        </w:tc>
      </w:tr>
      <w:tr>
        <w:trPr/>
        <w:tc>
          <w:tcPr>
            <w:tcW w:w="7235" w:type="dxa"/>
            <w:tcBorders/>
            <w:shd w:fill="FFFFFF" w:val="clear"/>
            <w:vAlign w:val="center"/>
          </w:tcPr>
          <w:p>
            <w:pPr>
              <w:pStyle w:val="TableContents"/>
              <w:bidi w:val="0"/>
              <w:spacing w:before="0" w:after="283"/>
              <w:jc w:val="left"/>
              <w:rPr/>
            </w:pPr>
            <w:r>
              <w:rPr/>
              <w:t>Customer deposits</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118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right"/>
              <w:rPr/>
            </w:pPr>
            <w:r>
              <w:rPr/>
              <w:t>121</w:t>
            </w:r>
          </w:p>
        </w:tc>
        <w:tc>
          <w:tcPr>
            <w:tcW w:w="113" w:type="dxa"/>
            <w:tcBorders/>
            <w:shd w:fill="FFFFFF" w:val="clear"/>
            <w:vAlign w:val="center"/>
          </w:tcPr>
          <w:p>
            <w:pPr>
              <w:pStyle w:val="TableContents"/>
              <w:bidi w:val="0"/>
              <w:spacing w:before="0" w:after="283"/>
              <w:jc w:val="left"/>
              <w:rPr/>
            </w:pPr>
            <w:r>
              <w:rPr/>
              <w:t> </w:t>
            </w:r>
          </w:p>
        </w:tc>
      </w:tr>
      <w:tr>
        <w:trPr/>
        <w:tc>
          <w:tcPr>
            <w:tcW w:w="7235" w:type="dxa"/>
            <w:tcBorders/>
            <w:shd w:fill="CCEEFF" w:val="clear"/>
            <w:vAlign w:val="center"/>
          </w:tcPr>
          <w:p>
            <w:pPr>
              <w:pStyle w:val="TableContents"/>
              <w:bidi w:val="0"/>
              <w:spacing w:before="0" w:after="283"/>
              <w:jc w:val="left"/>
              <w:rPr/>
            </w:pPr>
            <w:r>
              <w:rPr/>
              <w:t>Deferred revenue, current portion</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1,000</w:t>
            </w:r>
          </w:p>
        </w:tc>
        <w:tc>
          <w:tcPr>
            <w:tcW w:w="113" w:type="dxa"/>
            <w:tcBorders/>
            <w:shd w:fill="CCEEFF" w:val="clear"/>
            <w:vAlign w:val="center"/>
          </w:tcPr>
          <w:p>
            <w:pPr>
              <w:pStyle w:val="TableContents"/>
              <w:bidi w:val="0"/>
              <w:spacing w:before="0" w:after="283"/>
              <w:jc w:val="left"/>
              <w:rPr/>
            </w:pPr>
            <w:r>
              <w:rPr/>
              <w:t> </w:t>
            </w:r>
          </w:p>
        </w:tc>
      </w:tr>
      <w:tr>
        <w:trPr/>
        <w:tc>
          <w:tcPr>
            <w:tcW w:w="7235" w:type="dxa"/>
            <w:tcBorders/>
            <w:shd w:fill="FFFFFF" w:val="clear"/>
            <w:vAlign w:val="center"/>
          </w:tcPr>
          <w:p>
            <w:pPr>
              <w:pStyle w:val="TableContents"/>
              <w:bidi w:val="0"/>
              <w:spacing w:before="0" w:after="283"/>
              <w:jc w:val="left"/>
              <w:rPr/>
            </w:pPr>
            <w:r>
              <w:rPr/>
              <w:t>Dividends Payable</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502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right"/>
              <w:rPr/>
            </w:pPr>
            <w:r>
              <w:rPr/>
              <w:t>317</w:t>
            </w:r>
          </w:p>
        </w:tc>
        <w:tc>
          <w:tcPr>
            <w:tcW w:w="113" w:type="dxa"/>
            <w:tcBorders/>
            <w:shd w:fill="FFFFFF" w:val="clear"/>
            <w:vAlign w:val="center"/>
          </w:tcPr>
          <w:p>
            <w:pPr>
              <w:pStyle w:val="TableContents"/>
              <w:bidi w:val="0"/>
              <w:spacing w:before="0" w:after="283"/>
              <w:jc w:val="left"/>
              <w:rPr/>
            </w:pPr>
            <w:r>
              <w:rPr/>
              <w:t> </w:t>
            </w:r>
          </w:p>
        </w:tc>
      </w:tr>
      <w:tr>
        <w:trPr/>
        <w:tc>
          <w:tcPr>
            <w:tcW w:w="7235" w:type="dxa"/>
            <w:tcBorders/>
            <w:shd w:fill="CCEEFF" w:val="clear"/>
            <w:vAlign w:val="center"/>
          </w:tcPr>
          <w:p>
            <w:pPr>
              <w:pStyle w:val="TableContents"/>
              <w:bidi w:val="0"/>
              <w:spacing w:before="0" w:after="283"/>
              <w:jc w:val="left"/>
              <w:rPr/>
            </w:pPr>
            <w:r>
              <w:rPr/>
              <w:t>Notes payable, current portion, net of debt issuance costs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466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433</w:t>
            </w:r>
          </w:p>
        </w:tc>
        <w:tc>
          <w:tcPr>
            <w:tcW w:w="113" w:type="dxa"/>
            <w:tcBorders/>
            <w:shd w:fill="CCEEFF" w:val="clear"/>
            <w:vAlign w:val="center"/>
          </w:tcPr>
          <w:p>
            <w:pPr>
              <w:pStyle w:val="TableContents"/>
              <w:bidi w:val="0"/>
              <w:spacing w:before="0" w:after="283"/>
              <w:jc w:val="left"/>
              <w:rPr/>
            </w:pPr>
            <w:r>
              <w:rPr/>
              <w:t> </w:t>
            </w:r>
          </w:p>
        </w:tc>
      </w:tr>
      <w:tr>
        <w:trPr/>
        <w:tc>
          <w:tcPr>
            <w:tcW w:w="7235" w:type="dxa"/>
            <w:tcBorders/>
            <w:shd w:fill="FFFFFF" w:val="clear"/>
            <w:vAlign w:val="center"/>
          </w:tcPr>
          <w:p>
            <w:pPr>
              <w:pStyle w:val="TableContents"/>
              <w:bidi w:val="0"/>
              <w:spacing w:before="0" w:after="283"/>
              <w:jc w:val="left"/>
              <w:rPr/>
            </w:pPr>
            <w:r>
              <w:rPr/>
              <w:t>Operating lease liability, current portion</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2,447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right"/>
              <w:rPr/>
            </w:pPr>
            <w:r>
              <w:rPr/>
              <w:t>2,533</w:t>
            </w:r>
          </w:p>
        </w:tc>
        <w:tc>
          <w:tcPr>
            <w:tcW w:w="113" w:type="dxa"/>
            <w:tcBorders/>
            <w:shd w:fill="FFFFFF" w:val="clear"/>
            <w:vAlign w:val="center"/>
          </w:tcPr>
          <w:p>
            <w:pPr>
              <w:pStyle w:val="TableContents"/>
              <w:bidi w:val="0"/>
              <w:spacing w:before="0" w:after="283"/>
              <w:jc w:val="left"/>
              <w:rPr/>
            </w:pPr>
            <w:r>
              <w:rPr/>
              <w:t> </w:t>
            </w:r>
          </w:p>
        </w:tc>
      </w:tr>
      <w:tr>
        <w:trPr/>
        <w:tc>
          <w:tcPr>
            <w:tcW w:w="7235" w:type="dxa"/>
            <w:tcBorders/>
            <w:shd w:fill="CCEEFF" w:val="clear"/>
            <w:vAlign w:val="center"/>
          </w:tcPr>
          <w:p>
            <w:pPr>
              <w:pStyle w:val="TableContents"/>
              <w:bidi w:val="0"/>
              <w:spacing w:before="0" w:after="283"/>
              <w:jc w:val="left"/>
              <w:rPr/>
            </w:pPr>
            <w:r>
              <w:rPr/>
              <w:t>Financing lease liability, current portion</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1" w:type="dxa"/>
            <w:tcBorders>
              <w:bottom w:val="single" w:sz="8" w:space="0" w:color="000000"/>
            </w:tcBorders>
            <w:shd w:fill="CCEEFF" w:val="clear"/>
            <w:tcMar>
              <w:bottom w:w="28" w:type="dxa"/>
            </w:tcMar>
            <w:vAlign w:val="center"/>
          </w:tcPr>
          <w:p>
            <w:pPr>
              <w:pStyle w:val="TableContents"/>
              <w:bidi w:val="0"/>
              <w:spacing w:before="0" w:after="283"/>
              <w:jc w:val="right"/>
              <w:rPr/>
            </w:pPr>
            <w:r>
              <w:rPr/>
              <w:t>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8" w:type="dxa"/>
            <w:tcBorders>
              <w:bottom w:val="single" w:sz="8" w:space="0" w:color="000000"/>
            </w:tcBorders>
            <w:shd w:fill="CCEEFF" w:val="clear"/>
            <w:tcMar>
              <w:bottom w:w="28" w:type="dxa"/>
            </w:tcMar>
            <w:vAlign w:val="center"/>
          </w:tcPr>
          <w:p>
            <w:pPr>
              <w:pStyle w:val="TableContents"/>
              <w:bidi w:val="0"/>
              <w:spacing w:before="0" w:after="283"/>
              <w:jc w:val="right"/>
              <w:rPr/>
            </w:pPr>
            <w:r>
              <w:rPr/>
              <w:t>35</w:t>
            </w:r>
          </w:p>
        </w:tc>
        <w:tc>
          <w:tcPr>
            <w:tcW w:w="113" w:type="dxa"/>
            <w:tcBorders/>
            <w:shd w:fill="CCEEFF" w:val="clear"/>
            <w:vAlign w:val="center"/>
          </w:tcPr>
          <w:p>
            <w:pPr>
              <w:pStyle w:val="TableContents"/>
              <w:bidi w:val="0"/>
              <w:spacing w:before="0" w:after="283"/>
              <w:jc w:val="left"/>
              <w:rPr/>
            </w:pPr>
            <w:r>
              <w:rPr/>
              <w:t> </w:t>
            </w:r>
          </w:p>
        </w:tc>
      </w:tr>
      <w:tr>
        <w:trPr/>
        <w:tc>
          <w:tcPr>
            <w:tcW w:w="7235"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1" w:type="dxa"/>
            <w:tcBorders>
              <w:bottom w:val="single" w:sz="8" w:space="0" w:color="000000"/>
            </w:tcBorders>
            <w:shd w:fill="FFFFFF" w:val="clear"/>
            <w:tcMar>
              <w:bottom w:w="28" w:type="dxa"/>
            </w:tcMar>
            <w:vAlign w:val="center"/>
          </w:tcPr>
          <w:p>
            <w:pPr>
              <w:pStyle w:val="TableContents"/>
              <w:bidi w:val="0"/>
              <w:spacing w:before="0" w:after="283"/>
              <w:jc w:val="right"/>
              <w:rPr/>
            </w:pPr>
            <w:r>
              <w:rPr/>
              <w:t>16,559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8" w:type="dxa"/>
            <w:tcBorders>
              <w:bottom w:val="single" w:sz="8" w:space="0" w:color="000000"/>
            </w:tcBorders>
            <w:shd w:fill="FFFFFF" w:val="clear"/>
            <w:tcMar>
              <w:bottom w:w="28" w:type="dxa"/>
            </w:tcMar>
            <w:vAlign w:val="center"/>
          </w:tcPr>
          <w:p>
            <w:pPr>
              <w:pStyle w:val="TableContents"/>
              <w:bidi w:val="0"/>
              <w:spacing w:before="0" w:after="283"/>
              <w:jc w:val="right"/>
              <w:rPr/>
            </w:pPr>
            <w:r>
              <w:rPr/>
              <w:t>19,757</w:t>
            </w:r>
          </w:p>
        </w:tc>
        <w:tc>
          <w:tcPr>
            <w:tcW w:w="113" w:type="dxa"/>
            <w:tcBorders/>
            <w:shd w:fill="FFFFFF" w:val="clear"/>
            <w:vAlign w:val="center"/>
          </w:tcPr>
          <w:p>
            <w:pPr>
              <w:pStyle w:val="TableContents"/>
              <w:bidi w:val="0"/>
              <w:spacing w:before="0" w:after="283"/>
              <w:jc w:val="left"/>
              <w:rPr/>
            </w:pPr>
            <w:r>
              <w:rPr/>
              <w:t> </w:t>
            </w:r>
          </w:p>
        </w:tc>
      </w:tr>
      <w:tr>
        <w:trPr/>
        <w:tc>
          <w:tcPr>
            <w:tcW w:w="7235" w:type="dxa"/>
            <w:tcBorders/>
            <w:shd w:fill="CCEEFF" w:val="clear"/>
            <w:vAlign w:val="center"/>
          </w:tcPr>
          <w:p>
            <w:pPr>
              <w:pStyle w:val="TableContents"/>
              <w:bidi w:val="0"/>
              <w:spacing w:before="0" w:after="283"/>
              <w:jc w:val="left"/>
              <w:rPr>
                <w:b/>
              </w:rPr>
            </w:pPr>
            <w:r>
              <w:rPr>
                <w:b/>
              </w:rPr>
              <w:t>Long-Term Liabilities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235" w:type="dxa"/>
            <w:tcBorders/>
            <w:shd w:fill="FFFFFF" w:val="clear"/>
            <w:vAlign w:val="center"/>
          </w:tcPr>
          <w:p>
            <w:pPr>
              <w:pStyle w:val="TableContents"/>
              <w:bidi w:val="0"/>
              <w:spacing w:before="0" w:after="283"/>
              <w:jc w:val="left"/>
              <w:rPr/>
            </w:pPr>
            <w:r>
              <w:rPr/>
              <w:t>Deferred revenue, net of current portion</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2,333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right"/>
              <w:rPr/>
            </w:pPr>
            <w:r>
              <w:rPr/>
              <w:t>2,583</w:t>
            </w:r>
          </w:p>
        </w:tc>
        <w:tc>
          <w:tcPr>
            <w:tcW w:w="113" w:type="dxa"/>
            <w:tcBorders/>
            <w:shd w:fill="FFFFFF" w:val="clear"/>
            <w:vAlign w:val="center"/>
          </w:tcPr>
          <w:p>
            <w:pPr>
              <w:pStyle w:val="TableContents"/>
              <w:bidi w:val="0"/>
              <w:spacing w:before="0" w:after="283"/>
              <w:jc w:val="left"/>
              <w:rPr/>
            </w:pPr>
            <w:r>
              <w:rPr/>
              <w:t> </w:t>
            </w:r>
          </w:p>
        </w:tc>
      </w:tr>
      <w:tr>
        <w:trPr/>
        <w:tc>
          <w:tcPr>
            <w:tcW w:w="7235" w:type="dxa"/>
            <w:tcBorders/>
            <w:shd w:fill="CCEEFF" w:val="clear"/>
            <w:vAlign w:val="center"/>
          </w:tcPr>
          <w:p>
            <w:pPr>
              <w:pStyle w:val="TableContents"/>
              <w:bidi w:val="0"/>
              <w:spacing w:before="0" w:after="283"/>
              <w:jc w:val="left"/>
              <w:rPr/>
            </w:pPr>
            <w:r>
              <w:rPr/>
              <w:t>Warrant liabilities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207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713</w:t>
            </w:r>
          </w:p>
        </w:tc>
        <w:tc>
          <w:tcPr>
            <w:tcW w:w="113" w:type="dxa"/>
            <w:tcBorders/>
            <w:shd w:fill="CCEEFF" w:val="clear"/>
            <w:vAlign w:val="center"/>
          </w:tcPr>
          <w:p>
            <w:pPr>
              <w:pStyle w:val="TableContents"/>
              <w:bidi w:val="0"/>
              <w:spacing w:before="0" w:after="283"/>
              <w:jc w:val="left"/>
              <w:rPr/>
            </w:pPr>
            <w:r>
              <w:rPr/>
              <w:t> </w:t>
            </w:r>
          </w:p>
        </w:tc>
      </w:tr>
      <w:tr>
        <w:trPr/>
        <w:tc>
          <w:tcPr>
            <w:tcW w:w="7235" w:type="dxa"/>
            <w:tcBorders/>
            <w:shd w:fill="FFFFFF" w:val="clear"/>
            <w:vAlign w:val="center"/>
          </w:tcPr>
          <w:p>
            <w:pPr>
              <w:pStyle w:val="TableContents"/>
              <w:bidi w:val="0"/>
              <w:spacing w:before="0" w:after="283"/>
              <w:jc w:val="left"/>
              <w:rPr/>
            </w:pPr>
            <w:r>
              <w:rPr/>
              <w:t>Notes payable, non current portion, net of debt issuance costs</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9,859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right"/>
              <w:rPr/>
            </w:pPr>
            <w:r>
              <w:rPr/>
              <w:t>9,212</w:t>
            </w:r>
          </w:p>
        </w:tc>
        <w:tc>
          <w:tcPr>
            <w:tcW w:w="113" w:type="dxa"/>
            <w:tcBorders/>
            <w:shd w:fill="FFFFFF" w:val="clear"/>
            <w:vAlign w:val="center"/>
          </w:tcPr>
          <w:p>
            <w:pPr>
              <w:pStyle w:val="TableContents"/>
              <w:bidi w:val="0"/>
              <w:spacing w:before="0" w:after="283"/>
              <w:jc w:val="left"/>
              <w:rPr/>
            </w:pPr>
            <w:r>
              <w:rPr/>
              <w:t> </w:t>
            </w:r>
          </w:p>
        </w:tc>
      </w:tr>
      <w:tr>
        <w:trPr/>
        <w:tc>
          <w:tcPr>
            <w:tcW w:w="7235" w:type="dxa"/>
            <w:tcBorders/>
            <w:shd w:fill="CCEEFF" w:val="clear"/>
            <w:vAlign w:val="center"/>
          </w:tcPr>
          <w:p>
            <w:pPr>
              <w:pStyle w:val="TableContents"/>
              <w:bidi w:val="0"/>
              <w:spacing w:before="0" w:after="283"/>
              <w:jc w:val="left"/>
              <w:rPr/>
            </w:pPr>
            <w:r>
              <w:rPr/>
              <w:t>Operating lease liability, net of current portion</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19,955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20,470</w:t>
            </w:r>
          </w:p>
        </w:tc>
        <w:tc>
          <w:tcPr>
            <w:tcW w:w="113" w:type="dxa"/>
            <w:tcBorders/>
            <w:shd w:fill="CCEEFF" w:val="clear"/>
            <w:vAlign w:val="center"/>
          </w:tcPr>
          <w:p>
            <w:pPr>
              <w:pStyle w:val="TableContents"/>
              <w:bidi w:val="0"/>
              <w:spacing w:before="0" w:after="283"/>
              <w:jc w:val="left"/>
              <w:rPr/>
            </w:pPr>
            <w:r>
              <w:rPr/>
              <w:t> </w:t>
            </w:r>
          </w:p>
        </w:tc>
      </w:tr>
      <w:tr>
        <w:trPr/>
        <w:tc>
          <w:tcPr>
            <w:tcW w:w="7235" w:type="dxa"/>
            <w:tcBorders/>
            <w:shd w:fill="FFFFFF" w:val="clear"/>
            <w:vAlign w:val="center"/>
          </w:tcPr>
          <w:p>
            <w:pPr>
              <w:pStyle w:val="TableContents"/>
              <w:bidi w:val="0"/>
              <w:spacing w:before="0" w:after="283"/>
              <w:jc w:val="left"/>
              <w:rPr/>
            </w:pPr>
            <w:r>
              <w:rPr/>
              <w:t>Financing lease liability, net of current portion</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1" w:type="dxa"/>
            <w:tcBorders>
              <w:bottom w:val="single" w:sz="8" w:space="0" w:color="000000"/>
            </w:tcBorders>
            <w:shd w:fill="FFFFFF" w:val="clear"/>
            <w:tcMar>
              <w:bottom w:w="28" w:type="dxa"/>
            </w:tcMar>
            <w:vAlign w:val="center"/>
          </w:tcPr>
          <w:p>
            <w:pPr>
              <w:pStyle w:val="TableContents"/>
              <w:bidi w:val="0"/>
              <w:spacing w:before="0" w:after="283"/>
              <w:jc w:val="right"/>
              <w:rPr/>
            </w:pPr>
            <w:r>
              <w:rPr/>
              <w:t>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8" w:type="dxa"/>
            <w:tcBorders>
              <w:bottom w:val="single" w:sz="8" w:space="0" w:color="000000"/>
            </w:tcBorders>
            <w:shd w:fill="FFFFFF" w:val="clear"/>
            <w:tcMar>
              <w:bottom w:w="28" w:type="dxa"/>
            </w:tcMar>
            <w:vAlign w:val="center"/>
          </w:tcPr>
          <w:p>
            <w:pPr>
              <w:pStyle w:val="TableContents"/>
              <w:bidi w:val="0"/>
              <w:spacing w:before="0" w:after="283"/>
              <w:jc w:val="right"/>
              <w:rPr/>
            </w:pPr>
            <w:r>
              <w:rPr/>
              <w:t>28</w:t>
            </w:r>
          </w:p>
        </w:tc>
        <w:tc>
          <w:tcPr>
            <w:tcW w:w="113" w:type="dxa"/>
            <w:tcBorders/>
            <w:shd w:fill="FFFFFF" w:val="clear"/>
            <w:vAlign w:val="center"/>
          </w:tcPr>
          <w:p>
            <w:pPr>
              <w:pStyle w:val="TableContents"/>
              <w:bidi w:val="0"/>
              <w:spacing w:before="0" w:after="283"/>
              <w:jc w:val="left"/>
              <w:rPr/>
            </w:pPr>
            <w:r>
              <w:rPr/>
              <w:t> </w:t>
            </w:r>
          </w:p>
        </w:tc>
      </w:tr>
      <w:tr>
        <w:trPr/>
        <w:tc>
          <w:tcPr>
            <w:tcW w:w="7235" w:type="dxa"/>
            <w:tcBorders/>
            <w:shd w:fill="CCEEFF" w:val="clear"/>
            <w:vAlign w:val="center"/>
          </w:tcPr>
          <w:p>
            <w:pPr>
              <w:pStyle w:val="TableContents"/>
              <w:bidi w:val="0"/>
              <w:spacing w:before="0" w:after="283"/>
              <w:jc w:val="left"/>
              <w:rPr/>
            </w:pPr>
            <w:r>
              <w:rPr/>
              <w:t>Total Long-Term Liabilities</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1" w:type="dxa"/>
            <w:tcBorders>
              <w:bottom w:val="single" w:sz="8" w:space="0" w:color="000000"/>
            </w:tcBorders>
            <w:shd w:fill="CCEEFF" w:val="clear"/>
            <w:tcMar>
              <w:bottom w:w="28" w:type="dxa"/>
            </w:tcMar>
            <w:vAlign w:val="center"/>
          </w:tcPr>
          <w:p>
            <w:pPr>
              <w:pStyle w:val="TableContents"/>
              <w:bidi w:val="0"/>
              <w:spacing w:before="0" w:after="283"/>
              <w:jc w:val="right"/>
              <w:rPr/>
            </w:pPr>
            <w:r>
              <w:rPr/>
              <w:t>32,377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8" w:type="dxa"/>
            <w:tcBorders>
              <w:bottom w:val="single" w:sz="8" w:space="0" w:color="000000"/>
            </w:tcBorders>
            <w:shd w:fill="CCEEFF" w:val="clear"/>
            <w:tcMar>
              <w:bottom w:w="28" w:type="dxa"/>
            </w:tcMar>
            <w:vAlign w:val="center"/>
          </w:tcPr>
          <w:p>
            <w:pPr>
              <w:pStyle w:val="TableContents"/>
              <w:bidi w:val="0"/>
              <w:spacing w:before="0" w:after="283"/>
              <w:jc w:val="right"/>
              <w:rPr/>
            </w:pPr>
            <w:r>
              <w:rPr/>
              <w:t>33,006</w:t>
            </w:r>
          </w:p>
        </w:tc>
        <w:tc>
          <w:tcPr>
            <w:tcW w:w="113" w:type="dxa"/>
            <w:tcBorders/>
            <w:shd w:fill="CCEEFF" w:val="clear"/>
            <w:vAlign w:val="center"/>
          </w:tcPr>
          <w:p>
            <w:pPr>
              <w:pStyle w:val="TableContents"/>
              <w:bidi w:val="0"/>
              <w:spacing w:before="0" w:after="283"/>
              <w:jc w:val="left"/>
              <w:rPr/>
            </w:pPr>
            <w:r>
              <w:rPr/>
              <w:t> </w:t>
            </w:r>
          </w:p>
        </w:tc>
      </w:tr>
      <w:tr>
        <w:trPr/>
        <w:tc>
          <w:tcPr>
            <w:tcW w:w="7235"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48,936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52,763</w:t>
            </w:r>
          </w:p>
        </w:tc>
        <w:tc>
          <w:tcPr>
            <w:tcW w:w="113" w:type="dxa"/>
            <w:tcBorders/>
            <w:shd w:fill="FFFFFF" w:val="clear"/>
            <w:vAlign w:val="center"/>
          </w:tcPr>
          <w:p>
            <w:pPr>
              <w:pStyle w:val="TableContents"/>
              <w:bidi w:val="0"/>
              <w:spacing w:before="0" w:after="283"/>
              <w:jc w:val="left"/>
              <w:rPr/>
            </w:pPr>
            <w:r>
              <w:rPr/>
              <w:t> </w:t>
            </w:r>
          </w:p>
        </w:tc>
      </w:tr>
      <w:tr>
        <w:trPr/>
        <w:tc>
          <w:tcPr>
            <w:tcW w:w="7235" w:type="dxa"/>
            <w:tcBorders/>
            <w:shd w:fill="CCEEFF" w:val="clear"/>
            <w:vAlign w:val="center"/>
          </w:tcPr>
          <w:p>
            <w:pPr>
              <w:pStyle w:val="TableContents"/>
              <w:bidi w:val="0"/>
              <w:spacing w:before="0" w:after="283"/>
              <w:jc w:val="left"/>
              <w:rPr>
                <w:b/>
              </w:rPr>
            </w:pPr>
            <w:r>
              <w:rPr>
                <w:b/>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235" w:type="dxa"/>
            <w:tcBorders/>
            <w:shd w:fill="FFFFFF" w:val="clear"/>
            <w:vAlign w:val="center"/>
          </w:tcPr>
          <w:p>
            <w:pPr>
              <w:pStyle w:val="TableContents"/>
              <w:bidi w:val="0"/>
              <w:spacing w:before="0" w:after="283"/>
              <w:jc w:val="left"/>
              <w:rPr>
                <w:b/>
              </w:rPr>
            </w:pPr>
            <w:r>
              <w:rPr>
                <w:b/>
              </w:rPr>
              <w:t>Redeemable Preferred Stock</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235" w:type="dxa"/>
            <w:tcBorders/>
            <w:shd w:fill="CCEEFF" w:val="clear"/>
            <w:vAlign w:val="center"/>
          </w:tcPr>
          <w:p>
            <w:pPr>
              <w:pStyle w:val="TableContents"/>
              <w:bidi w:val="0"/>
              <w:spacing w:before="0" w:after="283"/>
              <w:jc w:val="left"/>
              <w:rPr/>
            </w:pPr>
            <w:r>
              <w:rPr/>
              <w:t>Preferred stock - Series A 5,000 shares at $0.0001 par value, authorized, no shares issued and outstanding as of December 31, 2025 and 2024, respectively</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235" w:type="dxa"/>
            <w:tcBorders/>
            <w:shd w:fill="FFFFFF" w:val="clear"/>
            <w:vAlign w:val="center"/>
          </w:tcPr>
          <w:p>
            <w:pPr>
              <w:pStyle w:val="TableContents"/>
              <w:bidi w:val="0"/>
              <w:spacing w:before="0" w:after="283"/>
              <w:jc w:val="left"/>
              <w:rPr/>
            </w:pPr>
            <w:r>
              <w:rPr/>
              <w:t>Preferred stock - Series B, 25,000 shares at $0.0001 par value, authorized, and no shares issued and outstanding as of December 31, 2025 and 2024, respectively</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22,849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right"/>
              <w:rPr/>
            </w:pPr>
            <w:r>
              <w:rPr/>
              <w:t>22,256</w:t>
            </w:r>
          </w:p>
        </w:tc>
        <w:tc>
          <w:tcPr>
            <w:tcW w:w="113" w:type="dxa"/>
            <w:tcBorders/>
            <w:shd w:fill="FFFFFF" w:val="clear"/>
            <w:vAlign w:val="center"/>
          </w:tcPr>
          <w:p>
            <w:pPr>
              <w:pStyle w:val="TableContents"/>
              <w:bidi w:val="0"/>
              <w:spacing w:before="0" w:after="283"/>
              <w:jc w:val="left"/>
              <w:rPr/>
            </w:pPr>
            <w:r>
              <w:rPr/>
              <w:t> </w:t>
            </w:r>
          </w:p>
        </w:tc>
      </w:tr>
      <w:tr>
        <w:trPr/>
        <w:tc>
          <w:tcPr>
            <w:tcW w:w="7235" w:type="dxa"/>
            <w:tcBorders/>
            <w:shd w:fill="CCEEFF" w:val="clear"/>
            <w:vAlign w:val="center"/>
          </w:tcPr>
          <w:p>
            <w:pPr>
              <w:pStyle w:val="TableContents"/>
              <w:bidi w:val="0"/>
              <w:spacing w:before="0" w:after="283"/>
              <w:jc w:val="left"/>
              <w:rPr>
                <w:b/>
              </w:rPr>
            </w:pPr>
            <w:r>
              <w:rPr>
                <w:b/>
              </w:rPr>
              <w:t>Stockholders’ Equity</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235" w:type="dxa"/>
            <w:tcBorders/>
            <w:shd w:fill="FFFFFF" w:val="clear"/>
            <w:vAlign w:val="center"/>
          </w:tcPr>
          <w:p>
            <w:pPr>
              <w:pStyle w:val="TableContents"/>
              <w:bidi w:val="0"/>
              <w:spacing w:before="0" w:after="283"/>
              <w:jc w:val="left"/>
              <w:rPr/>
            </w:pPr>
            <w:r>
              <w:rPr/>
              <w:t>Preferred stock, 4,995,000 shares at $0.0001 par value, authorized, no shares issued and outstanding as of December 31, 2025 and December 31, 2024, respectively</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235" w:type="dxa"/>
            <w:tcBorders/>
            <w:shd w:fill="CCEEFF" w:val="clear"/>
            <w:vAlign w:val="center"/>
          </w:tcPr>
          <w:p>
            <w:pPr>
              <w:pStyle w:val="TableContents"/>
              <w:bidi w:val="0"/>
              <w:spacing w:before="0" w:after="283"/>
              <w:jc w:val="left"/>
              <w:rPr/>
            </w:pPr>
            <w:r>
              <w:rPr/>
              <w:t>Common stock, 400,000,000 shares at $0.0001 par value, authorized, 12,078,713 and 723,265 shares issued and outstanding as of December 31, 2025 and 2024, respectively</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1</w:t>
            </w:r>
          </w:p>
        </w:tc>
        <w:tc>
          <w:tcPr>
            <w:tcW w:w="113" w:type="dxa"/>
            <w:tcBorders/>
            <w:shd w:fill="CCEEFF" w:val="clear"/>
            <w:vAlign w:val="center"/>
          </w:tcPr>
          <w:p>
            <w:pPr>
              <w:pStyle w:val="TableContents"/>
              <w:bidi w:val="0"/>
              <w:spacing w:before="0" w:after="283"/>
              <w:jc w:val="left"/>
              <w:rPr/>
            </w:pPr>
            <w:r>
              <w:rPr/>
              <w:t> </w:t>
            </w:r>
          </w:p>
        </w:tc>
      </w:tr>
      <w:tr>
        <w:trPr/>
        <w:tc>
          <w:tcPr>
            <w:tcW w:w="7235" w:type="dxa"/>
            <w:tcBorders/>
            <w:shd w:fill="FFFFFF" w:val="clear"/>
            <w:vAlign w:val="center"/>
          </w:tcPr>
          <w:p>
            <w:pPr>
              <w:pStyle w:val="TableContents"/>
              <w:bidi w:val="0"/>
              <w:spacing w:before="0" w:after="283"/>
              <w:jc w:val="left"/>
              <w:rPr/>
            </w:pPr>
            <w:r>
              <w:rPr/>
              <w:t>Additional paid in capital</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162,627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right"/>
              <w:rPr/>
            </w:pPr>
            <w:r>
              <w:rPr/>
              <w:t>163,622</w:t>
            </w:r>
          </w:p>
        </w:tc>
        <w:tc>
          <w:tcPr>
            <w:tcW w:w="113" w:type="dxa"/>
            <w:tcBorders/>
            <w:shd w:fill="FFFFFF" w:val="clear"/>
            <w:vAlign w:val="center"/>
          </w:tcPr>
          <w:p>
            <w:pPr>
              <w:pStyle w:val="TableContents"/>
              <w:bidi w:val="0"/>
              <w:spacing w:before="0" w:after="283"/>
              <w:jc w:val="left"/>
              <w:rPr/>
            </w:pPr>
            <w:r>
              <w:rPr/>
              <w:t> </w:t>
            </w:r>
          </w:p>
        </w:tc>
      </w:tr>
      <w:tr>
        <w:trPr/>
        <w:tc>
          <w:tcPr>
            <w:tcW w:w="7235"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1" w:type="dxa"/>
            <w:tcBorders>
              <w:bottom w:val="single" w:sz="8" w:space="0" w:color="000000"/>
            </w:tcBorders>
            <w:shd w:fill="CCEEFF" w:val="clear"/>
            <w:tcMar>
              <w:bottom w:w="28" w:type="dxa"/>
            </w:tcMar>
            <w:vAlign w:val="center"/>
          </w:tcPr>
          <w:p>
            <w:pPr>
              <w:pStyle w:val="TableContents"/>
              <w:bidi w:val="0"/>
              <w:spacing w:before="0" w:after="283"/>
              <w:jc w:val="right"/>
              <w:rPr/>
            </w:pPr>
            <w:r>
              <w:rPr/>
              <w:t>(158,718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8" w:type="dxa"/>
            <w:tcBorders>
              <w:bottom w:val="single" w:sz="8" w:space="0" w:color="000000"/>
            </w:tcBorders>
            <w:shd w:fill="CCEEFF" w:val="clear"/>
            <w:tcMar>
              <w:bottom w:w="28" w:type="dxa"/>
            </w:tcMar>
            <w:vAlign w:val="center"/>
          </w:tcPr>
          <w:p>
            <w:pPr>
              <w:pStyle w:val="TableContents"/>
              <w:bidi w:val="0"/>
              <w:spacing w:before="0" w:after="283"/>
              <w:jc w:val="right"/>
              <w:rPr/>
            </w:pPr>
            <w:r>
              <w:rPr/>
              <w:t>(152,093</w:t>
            </w:r>
          </w:p>
        </w:tc>
        <w:tc>
          <w:tcPr>
            <w:tcW w:w="113" w:type="dxa"/>
            <w:tcBorders/>
            <w:shd w:fill="CCEEFF" w:val="clear"/>
            <w:vAlign w:val="center"/>
          </w:tcPr>
          <w:p>
            <w:pPr>
              <w:pStyle w:val="TableContents"/>
              <w:bidi w:val="0"/>
              <w:spacing w:before="0" w:after="283"/>
              <w:jc w:val="left"/>
              <w:rPr/>
            </w:pPr>
            <w:r>
              <w:rPr/>
              <w:t>)</w:t>
            </w:r>
          </w:p>
        </w:tc>
      </w:tr>
      <w:tr>
        <w:trPr/>
        <w:tc>
          <w:tcPr>
            <w:tcW w:w="7235" w:type="dxa"/>
            <w:tcBorders/>
            <w:shd w:fill="FFFFFF" w:val="clear"/>
            <w:vAlign w:val="center"/>
          </w:tcPr>
          <w:p>
            <w:pPr>
              <w:pStyle w:val="TableContents"/>
              <w:bidi w:val="0"/>
              <w:spacing w:before="0" w:after="283"/>
              <w:jc w:val="left"/>
              <w:rPr>
                <w:b/>
              </w:rPr>
            </w:pPr>
            <w:r>
              <w:rPr>
                <w:b/>
              </w:rPr>
              <w:t>Stockholders’ Equity</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3,910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11,530</w:t>
            </w:r>
          </w:p>
        </w:tc>
        <w:tc>
          <w:tcPr>
            <w:tcW w:w="113" w:type="dxa"/>
            <w:tcBorders/>
            <w:shd w:fill="FFFFFF" w:val="clear"/>
            <w:vAlign w:val="center"/>
          </w:tcPr>
          <w:p>
            <w:pPr>
              <w:pStyle w:val="TableContents"/>
              <w:bidi w:val="0"/>
              <w:spacing w:before="0" w:after="283"/>
              <w:jc w:val="left"/>
              <w:rPr/>
            </w:pPr>
            <w:r>
              <w:rPr/>
              <w:t> </w:t>
            </w:r>
          </w:p>
        </w:tc>
      </w:tr>
      <w:tr>
        <w:trPr/>
        <w:tc>
          <w:tcPr>
            <w:tcW w:w="7235" w:type="dxa"/>
            <w:tcBorders/>
            <w:shd w:fill="CCEEFF" w:val="clear"/>
            <w:vAlign w:val="center"/>
          </w:tcPr>
          <w:p>
            <w:pPr>
              <w:pStyle w:val="TableContents"/>
              <w:bidi w:val="0"/>
              <w:spacing w:before="0" w:after="283"/>
              <w:jc w:val="left"/>
              <w:rPr>
                <w:b/>
              </w:rPr>
            </w:pPr>
            <w:r>
              <w:rPr>
                <w:b/>
              </w:rPr>
              <w:t>Total Liabilities, Redeemable Preferred Stock and Stockholders’ Equity</w:t>
            </w:r>
          </w:p>
        </w:tc>
        <w:tc>
          <w:tcPr>
            <w:tcW w:w="60" w:type="dxa"/>
            <w:tcBorders/>
            <w:shd w:fill="CCEEFF" w:val="clear"/>
            <w:vAlign w:val="center"/>
          </w:tcPr>
          <w:p>
            <w:pPr>
              <w:pStyle w:val="TableContents"/>
              <w:bidi w:val="0"/>
              <w:spacing w:before="0" w:after="283"/>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7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75,695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0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86,549</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Interim Consolidated Statement of Operations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 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7904" w:type="dxa"/>
        <w:jc w:val="left"/>
        <w:tblInd w:w="0" w:type="dxa"/>
        <w:tblLayout w:type="fixed"/>
        <w:tblCellMar>
          <w:top w:w="0" w:type="dxa"/>
          <w:left w:w="0" w:type="dxa"/>
          <w:bottom w:w="0" w:type="dxa"/>
          <w:right w:w="0" w:type="dxa"/>
        </w:tblCellMar>
      </w:tblPr>
      <w:tblGrid>
        <w:gridCol w:w="5270"/>
        <w:gridCol w:w="60"/>
        <w:gridCol w:w="140"/>
        <w:gridCol w:w="1100"/>
        <w:gridCol w:w="95"/>
        <w:gridCol w:w="60"/>
        <w:gridCol w:w="159"/>
        <w:gridCol w:w="910"/>
        <w:gridCol w:w="110"/>
      </w:tblGrid>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March 31,</w:t>
            </w:r>
          </w:p>
        </w:tc>
        <w:tc>
          <w:tcPr>
            <w:tcW w:w="110"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b/>
              </w:rPr>
            </w:pPr>
            <w:r>
              <w:rPr>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9,704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10" w:type="dxa"/>
            <w:tcBorders>
              <w:bottom w:val="single" w:sz="8" w:space="0" w:color="000000"/>
            </w:tcBorders>
            <w:shd w:fill="CCEEFF" w:val="clear"/>
            <w:tcMar>
              <w:bottom w:w="28" w:type="dxa"/>
            </w:tcMar>
            <w:vAlign w:val="center"/>
          </w:tcPr>
          <w:p>
            <w:pPr>
              <w:pStyle w:val="TableContents"/>
              <w:bidi w:val="0"/>
              <w:spacing w:before="0" w:after="283"/>
              <w:jc w:val="right"/>
              <w:rPr/>
            </w:pPr>
            <w:r>
              <w:rPr/>
              <w:t>13,356</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b/>
              </w:rPr>
            </w:pPr>
            <w:r>
              <w:rPr>
                <w:b/>
              </w:rPr>
              <w:t>Cost of Goods Sold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7,994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9,428</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3,928</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1,000</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4,482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6,357</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Selling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1,975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0" w:type="dxa"/>
            <w:tcBorders>
              <w:bottom w:val="single" w:sz="8" w:space="0" w:color="000000"/>
            </w:tcBorders>
            <w:shd w:fill="FFFFFF" w:val="clear"/>
            <w:tcMar>
              <w:bottom w:w="28" w:type="dxa"/>
            </w:tcMar>
            <w:vAlign w:val="center"/>
          </w:tcPr>
          <w:p>
            <w:pPr>
              <w:pStyle w:val="TableContents"/>
              <w:bidi w:val="0"/>
              <w:spacing w:before="0" w:after="283"/>
              <w:jc w:val="right"/>
              <w:rPr/>
            </w:pPr>
            <w:r>
              <w:rPr/>
              <w:t>2,485</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7,437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0" w:type="dxa"/>
            <w:tcBorders>
              <w:bottom w:val="single" w:sz="8" w:space="0" w:color="000000"/>
            </w:tcBorders>
            <w:shd w:fill="FFFFFF" w:val="clear"/>
            <w:tcMar>
              <w:bottom w:w="28" w:type="dxa"/>
            </w:tcMar>
            <w:vAlign w:val="center"/>
          </w:tcPr>
          <w:p>
            <w:pPr>
              <w:pStyle w:val="TableContents"/>
              <w:bidi w:val="0"/>
              <w:spacing w:before="0" w:after="283"/>
              <w:jc w:val="right"/>
              <w:rPr/>
            </w:pPr>
            <w:r>
              <w:rPr/>
              <w:t>9,842</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(5,727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(5,914</w:t>
            </w:r>
          </w:p>
        </w:tc>
        <w:tc>
          <w:tcPr>
            <w:tcW w:w="110" w:type="dxa"/>
            <w:tcBorders/>
            <w:shd w:fill="FFFFFF" w:val="clear"/>
            <w:vAlign w:val="center"/>
          </w:tcPr>
          <w:p>
            <w:pPr>
              <w:pStyle w:val="TableContents"/>
              <w:bidi w:val="0"/>
              <w:spacing w:before="0" w:after="283"/>
              <w:jc w:val="left"/>
              <w:rPr/>
            </w:pPr>
            <w:r>
              <w:rPr/>
              <w:t>)</w:t>
            </w:r>
          </w:p>
        </w:tc>
      </w:tr>
      <w:tr>
        <w:trPr/>
        <w:tc>
          <w:tcPr>
            <w:tcW w:w="5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b/>
              </w:rPr>
            </w:pPr>
            <w:r>
              <w:rPr>
                <w:b/>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(4,701</w:t>
            </w:r>
          </w:p>
        </w:tc>
        <w:tc>
          <w:tcPr>
            <w:tcW w:w="110" w:type="dxa"/>
            <w:tcBorders/>
            <w:shd w:fill="CCEEFF" w:val="clear"/>
            <w:vAlign w:val="center"/>
          </w:tcPr>
          <w:p>
            <w:pPr>
              <w:pStyle w:val="TableContents"/>
              <w:bidi w:val="0"/>
              <w:spacing w:before="0" w:after="283"/>
              <w:jc w:val="left"/>
              <w:rPr/>
            </w:pPr>
            <w:r>
              <w:rPr/>
              <w:t>)</w:t>
            </w:r>
          </w:p>
        </w:tc>
      </w:tr>
      <w:tr>
        <w:trPr/>
        <w:tc>
          <w:tcPr>
            <w:tcW w:w="5270"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Change in fair market value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506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0" w:type="dxa"/>
            <w:tcBorders>
              <w:bottom w:val="single" w:sz="8" w:space="0" w:color="000000"/>
            </w:tcBorders>
            <w:shd w:fill="CCEEFF" w:val="clear"/>
            <w:tcMar>
              <w:bottom w:w="28" w:type="dxa"/>
            </w:tcMar>
            <w:vAlign w:val="center"/>
          </w:tcPr>
          <w:p>
            <w:pPr>
              <w:pStyle w:val="TableContents"/>
              <w:bidi w:val="0"/>
              <w:spacing w:before="0" w:after="283"/>
              <w:jc w:val="right"/>
              <w:rPr/>
            </w:pPr>
            <w:r>
              <w:rPr/>
              <w:t>3,818</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b/>
              </w:rPr>
            </w:pPr>
            <w:r>
              <w:rPr>
                <w:b/>
              </w:rPr>
              <w:t>Total Other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(898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0" w:type="dxa"/>
            <w:tcBorders>
              <w:bottom w:val="single" w:sz="8" w:space="0" w:color="000000"/>
            </w:tcBorders>
            <w:shd w:fill="FFFFFF" w:val="clear"/>
            <w:tcMar>
              <w:bottom w:w="28" w:type="dxa"/>
            </w:tcMar>
            <w:vAlign w:val="center"/>
          </w:tcPr>
          <w:p>
            <w:pPr>
              <w:pStyle w:val="TableContents"/>
              <w:bidi w:val="0"/>
              <w:spacing w:before="0" w:after="283"/>
              <w:jc w:val="right"/>
              <w:rPr/>
            </w:pPr>
            <w:r>
              <w:rPr/>
              <w:t>(883</w:t>
            </w:r>
          </w:p>
        </w:tc>
        <w:tc>
          <w:tcPr>
            <w:tcW w:w="110" w:type="dxa"/>
            <w:tcBorders/>
            <w:shd w:fill="FFFFFF" w:val="clear"/>
            <w:vAlign w:val="center"/>
          </w:tcPr>
          <w:p>
            <w:pPr>
              <w:pStyle w:val="TableContents"/>
              <w:bidi w:val="0"/>
              <w:spacing w:before="0" w:after="283"/>
              <w:jc w:val="left"/>
              <w:rPr/>
            </w:pPr>
            <w:r>
              <w:rPr/>
              <w:t>)</w:t>
            </w:r>
          </w:p>
        </w:tc>
      </w:tr>
      <w:tr>
        <w:trPr/>
        <w:tc>
          <w:tcPr>
            <w:tcW w:w="5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b/>
              </w:rPr>
            </w:pPr>
            <w:r>
              <w:rPr>
                <w:b/>
              </w:rPr>
              <w:t>Net Loss Before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(6,625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0" w:type="dxa"/>
            <w:tcBorders>
              <w:bottom w:val="single" w:sz="8" w:space="0" w:color="000000"/>
            </w:tcBorders>
            <w:shd w:fill="FFFFFF" w:val="clear"/>
            <w:tcMar>
              <w:bottom w:w="28" w:type="dxa"/>
            </w:tcMar>
            <w:vAlign w:val="center"/>
          </w:tcPr>
          <w:p>
            <w:pPr>
              <w:pStyle w:val="TableContents"/>
              <w:bidi w:val="0"/>
              <w:spacing w:before="0" w:after="283"/>
              <w:jc w:val="right"/>
              <w:rPr/>
            </w:pPr>
            <w:r>
              <w:rPr/>
              <w:t>(6,797</w:t>
            </w:r>
          </w:p>
        </w:tc>
        <w:tc>
          <w:tcPr>
            <w:tcW w:w="110" w:type="dxa"/>
            <w:tcBorders/>
            <w:shd w:fill="FFFFFF" w:val="clear"/>
            <w:vAlign w:val="center"/>
          </w:tcPr>
          <w:p>
            <w:pPr>
              <w:pStyle w:val="TableContents"/>
              <w:bidi w:val="0"/>
              <w:spacing w:before="0" w:after="283"/>
              <w:jc w:val="left"/>
              <w:rPr/>
            </w:pPr>
            <w:r>
              <w:rPr/>
              <w:t>)</w:t>
            </w:r>
          </w:p>
        </w:tc>
      </w:tr>
      <w:tr>
        <w:trPr/>
        <w:tc>
          <w:tcPr>
            <w:tcW w:w="5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b/>
              </w:rPr>
            </w:pPr>
            <w:r>
              <w:rPr>
                <w:b/>
              </w:rPr>
              <w:t>Income Tax (Benefit)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(6,625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10" w:type="dxa"/>
            <w:tcBorders>
              <w:bottom w:val="single" w:sz="8" w:space="0" w:color="000000"/>
            </w:tcBorders>
            <w:shd w:fill="FFFFFF" w:val="clear"/>
            <w:tcMar>
              <w:bottom w:w="28" w:type="dxa"/>
            </w:tcMar>
            <w:vAlign w:val="center"/>
          </w:tcPr>
          <w:p>
            <w:pPr>
              <w:pStyle w:val="TableContents"/>
              <w:bidi w:val="0"/>
              <w:spacing w:before="0" w:after="283"/>
              <w:jc w:val="right"/>
              <w:rPr/>
            </w:pPr>
            <w:r>
              <w:rPr/>
              <w:t>(6,797</w:t>
            </w:r>
          </w:p>
        </w:tc>
        <w:tc>
          <w:tcPr>
            <w:tcW w:w="110" w:type="dxa"/>
            <w:tcBorders/>
            <w:shd w:fill="FFFFFF" w:val="clear"/>
            <w:vAlign w:val="center"/>
          </w:tcPr>
          <w:p>
            <w:pPr>
              <w:pStyle w:val="TableContents"/>
              <w:bidi w:val="0"/>
              <w:spacing w:before="0" w:after="283"/>
              <w:jc w:val="left"/>
              <w:rPr/>
            </w:pPr>
            <w:r>
              <w:rPr/>
              <w:t>)</w:t>
            </w:r>
          </w:p>
        </w:tc>
      </w:tr>
      <w:tr>
        <w:trPr/>
        <w:tc>
          <w:tcPr>
            <w:tcW w:w="5270" w:type="dxa"/>
            <w:tcBorders/>
            <w:shd w:fill="CCEEFF" w:val="clear"/>
            <w:vAlign w:val="center"/>
          </w:tcPr>
          <w:p>
            <w:pPr>
              <w:pStyle w:val="TableContents"/>
              <w:bidi w:val="0"/>
              <w:spacing w:before="0" w:after="283"/>
              <w:jc w:val="left"/>
              <w:rPr/>
            </w:pPr>
            <w:r>
              <w:rPr/>
              <w:t>Less: Preferred Stock Dividends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(1,095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b/>
              </w:rPr>
            </w:pPr>
            <w:r>
              <w:rPr>
                <w:b/>
              </w:rPr>
              <w:t>Net Loss Attributable to Common Shareholders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(7,720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10" w:type="dxa"/>
            <w:tcBorders>
              <w:bottom w:val="double" w:sz="6" w:space="0" w:color="000000"/>
            </w:tcBorders>
            <w:shd w:fill="FFFFFF" w:val="clear"/>
            <w:tcMar>
              <w:bottom w:w="28" w:type="dxa"/>
            </w:tcMar>
            <w:vAlign w:val="center"/>
          </w:tcPr>
          <w:p>
            <w:pPr>
              <w:pStyle w:val="TableContents"/>
              <w:bidi w:val="0"/>
              <w:spacing w:before="0" w:after="283"/>
              <w:jc w:val="right"/>
              <w:rPr/>
            </w:pPr>
            <w:r>
              <w:rPr/>
              <w:t>(6,797</w:t>
            </w:r>
          </w:p>
        </w:tc>
        <w:tc>
          <w:tcPr>
            <w:tcW w:w="110" w:type="dxa"/>
            <w:tcBorders/>
            <w:shd w:fill="FFFFFF" w:val="clear"/>
            <w:vAlign w:val="center"/>
          </w:tcPr>
          <w:p>
            <w:pPr>
              <w:pStyle w:val="TableContents"/>
              <w:bidi w:val="0"/>
              <w:spacing w:before="0" w:after="283"/>
              <w:jc w:val="left"/>
              <w:rPr/>
            </w:pPr>
            <w:r>
              <w:rPr/>
              <w:t>)</w:t>
            </w:r>
          </w:p>
        </w:tc>
      </w:tr>
      <w:tr>
        <w:trPr/>
        <w:tc>
          <w:tcPr>
            <w:tcW w:w="5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Net (Loss) Gain Per Share- Basic &amp;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10" w:type="dxa"/>
            <w:tcBorders>
              <w:bottom w:val="double" w:sz="6" w:space="0" w:color="000000"/>
            </w:tcBorders>
            <w:shd w:fill="FFFFFF" w:val="clear"/>
            <w:tcMar>
              <w:bottom w:w="28" w:type="dxa"/>
            </w:tcMar>
            <w:vAlign w:val="center"/>
          </w:tcPr>
          <w:p>
            <w:pPr>
              <w:pStyle w:val="TableContents"/>
              <w:bidi w:val="0"/>
              <w:spacing w:before="0" w:after="283"/>
              <w:jc w:val="right"/>
              <w:rPr/>
            </w:pPr>
            <w:r>
              <w:rPr/>
              <w:t>(9.28</w:t>
            </w:r>
          </w:p>
        </w:tc>
        <w:tc>
          <w:tcPr>
            <w:tcW w:w="110" w:type="dxa"/>
            <w:tcBorders/>
            <w:shd w:fill="FFFFFF" w:val="clear"/>
            <w:vAlign w:val="center"/>
          </w:tcPr>
          <w:p>
            <w:pPr>
              <w:pStyle w:val="TableContents"/>
              <w:bidi w:val="0"/>
              <w:spacing w:before="0" w:after="283"/>
              <w:jc w:val="left"/>
              <w:rPr/>
            </w:pPr>
            <w:r>
              <w:rPr/>
              <w:t>)</w:t>
            </w:r>
          </w:p>
        </w:tc>
      </w:tr>
      <w:tr>
        <w:trPr/>
        <w:tc>
          <w:tcPr>
            <w:tcW w:w="5270" w:type="dxa"/>
            <w:tcBorders/>
            <w:shd w:fill="CCEEFF" w:val="clear"/>
            <w:vAlign w:val="center"/>
          </w:tcPr>
          <w:p>
            <w:pPr>
              <w:pStyle w:val="TableContents"/>
              <w:bidi w:val="0"/>
              <w:spacing w:before="0" w:after="283"/>
              <w:jc w:val="left"/>
              <w:rPr/>
            </w:pPr>
            <w:r>
              <w:rPr/>
              <w:t>Weighted Average Number of Shares- Basic &amp;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12,083,461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10" w:type="dxa"/>
            <w:tcBorders>
              <w:bottom w:val="double" w:sz="6" w:space="0" w:color="000000"/>
            </w:tcBorders>
            <w:shd w:fill="CCEEFF" w:val="clear"/>
            <w:tcMar>
              <w:bottom w:w="28" w:type="dxa"/>
            </w:tcMar>
            <w:vAlign w:val="center"/>
          </w:tcPr>
          <w:p>
            <w:pPr>
              <w:pStyle w:val="TableContents"/>
              <w:bidi w:val="0"/>
              <w:spacing w:before="0" w:after="283"/>
              <w:jc w:val="right"/>
              <w:rPr/>
            </w:pPr>
            <w:r>
              <w:rPr/>
              <w:t>732,762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GAAP to Non-GAAP Measures (Unaudited)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w:t>
      </w:r>
    </w:p>
    <w:p>
      <w:pPr>
        <w:pStyle w:val="TextBody"/>
        <w:bidi w:val="0"/>
        <w:spacing w:before="0" w:after="0"/>
        <w:jc w:val="center"/>
        <w:rPr>
          <w:caps w:val="false"/>
          <w:smallCaps w:val="false"/>
        </w:rPr>
      </w:pPr>
      <w:r>
        <w:rPr>
          <w:caps w:val="false"/>
          <w:smallCaps w:val="false"/>
        </w:rPr>
        <w:t> </w:t>
      </w:r>
    </w:p>
    <w:tbl>
      <w:tblPr>
        <w:tblW w:w="7058" w:type="dxa"/>
        <w:jc w:val="left"/>
        <w:tblInd w:w="0" w:type="dxa"/>
        <w:tblLayout w:type="fixed"/>
        <w:tblCellMar>
          <w:top w:w="0" w:type="dxa"/>
          <w:left w:w="0" w:type="dxa"/>
          <w:bottom w:w="0" w:type="dxa"/>
          <w:right w:w="0" w:type="dxa"/>
        </w:tblCellMar>
      </w:tblPr>
      <w:tblGrid>
        <w:gridCol w:w="4550"/>
        <w:gridCol w:w="60"/>
        <w:gridCol w:w="192"/>
        <w:gridCol w:w="877"/>
        <w:gridCol w:w="123"/>
        <w:gridCol w:w="77"/>
        <w:gridCol w:w="192"/>
        <w:gridCol w:w="877"/>
        <w:gridCol w:w="110"/>
      </w:tblGrid>
      <w:tr>
        <w:trPr/>
        <w:tc>
          <w:tcPr>
            <w:tcW w:w="4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March 31,</w:t>
            </w:r>
          </w:p>
        </w:tc>
        <w:tc>
          <w:tcPr>
            <w:tcW w:w="12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March 31,</w:t>
            </w:r>
          </w:p>
        </w:tc>
        <w:tc>
          <w:tcPr>
            <w:tcW w:w="110"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EBITDA Calculation</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Net Loss Attributable to Common Shareholders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w:t>
            </w:r>
          </w:p>
        </w:tc>
        <w:tc>
          <w:tcPr>
            <w:tcW w:w="877" w:type="dxa"/>
            <w:tcBorders/>
            <w:shd w:fill="FFFFFF" w:val="clear"/>
            <w:vAlign w:val="center"/>
          </w:tcPr>
          <w:p>
            <w:pPr>
              <w:pStyle w:val="TableContents"/>
              <w:bidi w:val="0"/>
              <w:spacing w:before="0" w:after="283"/>
              <w:jc w:val="right"/>
              <w:rPr/>
            </w:pPr>
            <w:r>
              <w:rPr/>
              <w:t>(7,720</w:t>
            </w:r>
          </w:p>
        </w:tc>
        <w:tc>
          <w:tcPr>
            <w:tcW w:w="123"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w:t>
            </w:r>
          </w:p>
        </w:tc>
        <w:tc>
          <w:tcPr>
            <w:tcW w:w="877" w:type="dxa"/>
            <w:tcBorders/>
            <w:shd w:fill="FFFFFF" w:val="clear"/>
            <w:vAlign w:val="center"/>
          </w:tcPr>
          <w:p>
            <w:pPr>
              <w:pStyle w:val="TableContents"/>
              <w:bidi w:val="0"/>
              <w:spacing w:before="0" w:after="283"/>
              <w:jc w:val="right"/>
              <w:rPr/>
            </w:pPr>
            <w:r>
              <w:rPr/>
              <w:t>(6,797</w:t>
            </w:r>
          </w:p>
        </w:tc>
        <w:tc>
          <w:tcPr>
            <w:tcW w:w="110" w:type="dxa"/>
            <w:tcBorders/>
            <w:shd w:fill="FFFFFF" w:val="clear"/>
            <w:vAlign w:val="center"/>
          </w:tcPr>
          <w:p>
            <w:pPr>
              <w:pStyle w:val="TableContents"/>
              <w:bidi w:val="0"/>
              <w:spacing w:before="0" w:after="283"/>
              <w:jc w:val="left"/>
              <w:rPr/>
            </w:pPr>
            <w:r>
              <w:rPr/>
              <w:t>)</w:t>
            </w:r>
          </w:p>
        </w:tc>
      </w:tr>
      <w:tr>
        <w:trPr/>
        <w:tc>
          <w:tcPr>
            <w:tcW w:w="455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1,465</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4,701</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Taxes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CCEEFF" w:val="clear"/>
            <w:tcMar>
              <w:bottom w:w="28" w:type="dxa"/>
            </w:tcMar>
            <w:vAlign w:val="center"/>
          </w:tcPr>
          <w:p>
            <w:pPr>
              <w:pStyle w:val="TableContents"/>
              <w:bidi w:val="0"/>
              <w:spacing w:before="0" w:after="283"/>
              <w:jc w:val="right"/>
              <w:rPr/>
            </w:pPr>
            <w:r>
              <w:rPr/>
              <w:t>794</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CCEEFF" w:val="clear"/>
            <w:tcMar>
              <w:bottom w:w="28" w:type="dxa"/>
            </w:tcMar>
            <w:vAlign w:val="center"/>
          </w:tcPr>
          <w:p>
            <w:pPr>
              <w:pStyle w:val="TableContents"/>
              <w:bidi w:val="0"/>
              <w:spacing w:before="0" w:after="283"/>
              <w:jc w:val="right"/>
              <w:rPr/>
            </w:pPr>
            <w:r>
              <w:rPr/>
              <w:t>859</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EBITDA</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w:t>
            </w:r>
          </w:p>
        </w:tc>
        <w:tc>
          <w:tcPr>
            <w:tcW w:w="877" w:type="dxa"/>
            <w:tcBorders/>
            <w:shd w:fill="FFFFFF" w:val="clear"/>
            <w:vAlign w:val="center"/>
          </w:tcPr>
          <w:p>
            <w:pPr>
              <w:pStyle w:val="TableContents"/>
              <w:bidi w:val="0"/>
              <w:spacing w:before="0" w:after="283"/>
              <w:jc w:val="right"/>
              <w:rPr/>
            </w:pPr>
            <w:r>
              <w:rPr/>
              <w:t>(5,461</w:t>
            </w:r>
          </w:p>
        </w:tc>
        <w:tc>
          <w:tcPr>
            <w:tcW w:w="123"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w:t>
            </w:r>
          </w:p>
        </w:tc>
        <w:tc>
          <w:tcPr>
            <w:tcW w:w="877" w:type="dxa"/>
            <w:tcBorders/>
            <w:shd w:fill="FFFFFF" w:val="clear"/>
            <w:vAlign w:val="center"/>
          </w:tcPr>
          <w:p>
            <w:pPr>
              <w:pStyle w:val="TableContents"/>
              <w:bidi w:val="0"/>
              <w:spacing w:before="0" w:after="283"/>
              <w:jc w:val="right"/>
              <w:rPr/>
            </w:pPr>
            <w:r>
              <w:rPr/>
              <w:t>(1,237</w:t>
            </w:r>
          </w:p>
        </w:tc>
        <w:tc>
          <w:tcPr>
            <w:tcW w:w="110" w:type="dxa"/>
            <w:tcBorders/>
            <w:shd w:fill="FFFFFF" w:val="clear"/>
            <w:vAlign w:val="center"/>
          </w:tcPr>
          <w:p>
            <w:pPr>
              <w:pStyle w:val="TableContents"/>
              <w:bidi w:val="0"/>
              <w:spacing w:before="0" w:after="283"/>
              <w:jc w:val="left"/>
              <w:rPr/>
            </w:pPr>
            <w:r>
              <w:rPr/>
              <w:t>)</w:t>
            </w:r>
          </w:p>
        </w:tc>
      </w:tr>
      <w:tr>
        <w:trPr/>
        <w:tc>
          <w:tcPr>
            <w:tcW w:w="45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Adjustments to EBITDA</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100</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220</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Preferred Stock Financing expenses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631</w:t>
            </w:r>
          </w:p>
        </w:tc>
        <w:tc>
          <w:tcPr>
            <w:tcW w:w="11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Litigation Fees and Loss on Settlement</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39</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543</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Reverse Stock Split</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15</w:t>
            </w:r>
          </w:p>
        </w:tc>
        <w:tc>
          <w:tcPr>
            <w:tcW w:w="11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Loss on impairment of Assets</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6</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At-the-Market (ATM) agreement expenses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139</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Debt modification expenses</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36</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Change in fair market value of warrant liability</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(506</w:t>
            </w:r>
          </w:p>
        </w:tc>
        <w:tc>
          <w:tcPr>
            <w:tcW w:w="123"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(3,818</w:t>
            </w:r>
          </w:p>
        </w:tc>
        <w:tc>
          <w:tcPr>
            <w:tcW w:w="110" w:type="dxa"/>
            <w:tcBorders/>
            <w:shd w:fill="FFFFFF" w:val="clear"/>
            <w:vAlign w:val="center"/>
          </w:tcPr>
          <w:p>
            <w:pPr>
              <w:pStyle w:val="TableContents"/>
              <w:bidi w:val="0"/>
              <w:spacing w:before="0" w:after="283"/>
              <w:jc w:val="left"/>
              <w:rPr/>
            </w:pPr>
            <w:r>
              <w:rPr/>
              <w:t>)</w:t>
            </w:r>
          </w:p>
        </w:tc>
      </w:tr>
      <w:tr>
        <w:trPr/>
        <w:tc>
          <w:tcPr>
            <w:tcW w:w="4550" w:type="dxa"/>
            <w:tcBorders/>
            <w:shd w:fill="CCEEFF" w:val="clear"/>
            <w:vAlign w:val="center"/>
          </w:tcPr>
          <w:p>
            <w:pPr>
              <w:pStyle w:val="TableContents"/>
              <w:bidi w:val="0"/>
              <w:spacing w:before="0" w:after="283"/>
              <w:jc w:val="left"/>
              <w:rPr/>
            </w:pPr>
            <w:r>
              <w:rPr/>
              <w:t>Series B Preferred Stock Dividend</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CCEEFF" w:val="clear"/>
            <w:tcMar>
              <w:bottom w:w="28" w:type="dxa"/>
            </w:tcMar>
            <w:vAlign w:val="center"/>
          </w:tcPr>
          <w:p>
            <w:pPr>
              <w:pStyle w:val="TableContents"/>
              <w:bidi w:val="0"/>
              <w:spacing w:before="0" w:after="283"/>
              <w:jc w:val="right"/>
              <w:rPr/>
            </w:pPr>
            <w:r>
              <w:rPr/>
              <w:t>1,095</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Adjusted EBITDA</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w:t>
            </w:r>
          </w:p>
        </w:tc>
        <w:tc>
          <w:tcPr>
            <w:tcW w:w="877" w:type="dxa"/>
            <w:tcBorders/>
            <w:shd w:fill="FFFFFF" w:val="clear"/>
            <w:vAlign w:val="center"/>
          </w:tcPr>
          <w:p>
            <w:pPr>
              <w:pStyle w:val="TableContents"/>
              <w:bidi w:val="0"/>
              <w:spacing w:before="0" w:after="283"/>
              <w:jc w:val="right"/>
              <w:rPr/>
            </w:pPr>
            <w:r>
              <w:rPr/>
              <w:t>(4,552</w:t>
            </w:r>
          </w:p>
        </w:tc>
        <w:tc>
          <w:tcPr>
            <w:tcW w:w="123"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w:t>
            </w:r>
          </w:p>
        </w:tc>
        <w:tc>
          <w:tcPr>
            <w:tcW w:w="877" w:type="dxa"/>
            <w:tcBorders/>
            <w:shd w:fill="FFFFFF" w:val="clear"/>
            <w:vAlign w:val="center"/>
          </w:tcPr>
          <w:p>
            <w:pPr>
              <w:pStyle w:val="TableContents"/>
              <w:bidi w:val="0"/>
              <w:spacing w:before="0" w:after="283"/>
              <w:jc w:val="right"/>
              <w:rPr/>
            </w:pPr>
            <w:r>
              <w:rPr/>
              <w:t>(3,646</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 in thousands)</w:t>
      </w:r>
    </w:p>
    <w:p>
      <w:pPr>
        <w:pStyle w:val="TextBody"/>
        <w:bidi w:val="0"/>
        <w:spacing w:before="0" w:after="0"/>
        <w:ind w:left="0" w:right="0" w:hanging="0"/>
        <w:jc w:val="left"/>
        <w:rPr>
          <w:caps w:val="false"/>
          <w:smallCaps w:val="false"/>
        </w:rPr>
      </w:pPr>
      <w:r>
        <w:rPr>
          <w:caps w:val="false"/>
          <w:smallCaps w:val="false"/>
        </w:rPr>
        <w:t> </w:t>
      </w:r>
    </w:p>
    <w:tbl>
      <w:tblPr>
        <w:tblW w:w="7793" w:type="dxa"/>
        <w:jc w:val="left"/>
        <w:tblInd w:w="0" w:type="dxa"/>
        <w:tblLayout w:type="fixed"/>
        <w:tblCellMar>
          <w:top w:w="0" w:type="dxa"/>
          <w:left w:w="0" w:type="dxa"/>
          <w:bottom w:w="0" w:type="dxa"/>
          <w:right w:w="0" w:type="dxa"/>
        </w:tblCellMar>
      </w:tblPr>
      <w:tblGrid>
        <w:gridCol w:w="5330"/>
        <w:gridCol w:w="60"/>
        <w:gridCol w:w="182"/>
        <w:gridCol w:w="887"/>
        <w:gridCol w:w="95"/>
        <w:gridCol w:w="60"/>
        <w:gridCol w:w="193"/>
        <w:gridCol w:w="876"/>
        <w:gridCol w:w="110"/>
      </w:tblGrid>
      <w:tr>
        <w:trPr/>
        <w:tc>
          <w:tcPr>
            <w:tcW w:w="5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March 31,</w:t>
            </w:r>
          </w:p>
        </w:tc>
        <w:tc>
          <w:tcPr>
            <w:tcW w:w="11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887" w:type="dxa"/>
            <w:tcBorders>
              <w:bottom w:val="single" w:sz="8" w:space="0" w:color="000000"/>
            </w:tcBorders>
            <w:shd w:fill="FFFFFF" w:val="clear"/>
            <w:tcMar>
              <w:bottom w:w="28" w:type="dxa"/>
            </w:tcMar>
            <w:vAlign w:val="center"/>
          </w:tcPr>
          <w:p>
            <w:pPr>
              <w:pStyle w:val="TableContents"/>
              <w:bidi w:val="0"/>
              <w:spacing w:before="0" w:after="283"/>
              <w:jc w:val="right"/>
              <w:rPr/>
            </w:pPr>
            <w:r>
              <w:rPr/>
              <w:t>(6,625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876" w:type="dxa"/>
            <w:tcBorders>
              <w:bottom w:val="single" w:sz="8" w:space="0" w:color="000000"/>
            </w:tcBorders>
            <w:shd w:fill="FFFFFF" w:val="clear"/>
            <w:tcMar>
              <w:bottom w:w="28" w:type="dxa"/>
            </w:tcMar>
            <w:vAlign w:val="center"/>
          </w:tcPr>
          <w:p>
            <w:pPr>
              <w:pStyle w:val="TableContents"/>
              <w:bidi w:val="0"/>
              <w:spacing w:before="0" w:after="283"/>
              <w:jc w:val="right"/>
              <w:rPr/>
            </w:pPr>
            <w:r>
              <w:rPr/>
              <w:t>(6,797</w:t>
            </w:r>
          </w:p>
        </w:tc>
        <w:tc>
          <w:tcPr>
            <w:tcW w:w="110" w:type="dxa"/>
            <w:tcBorders/>
            <w:shd w:fill="FFFFFF" w:val="clear"/>
            <w:vAlign w:val="center"/>
          </w:tcPr>
          <w:p>
            <w:pPr>
              <w:pStyle w:val="TableContents"/>
              <w:bidi w:val="0"/>
              <w:spacing w:before="0" w:after="283"/>
              <w:jc w:val="left"/>
              <w:rPr/>
            </w:pPr>
            <w:r>
              <w:rPr/>
              <w:t>)</w:t>
            </w:r>
          </w:p>
        </w:tc>
      </w:tr>
      <w:tr>
        <w:trPr/>
        <w:tc>
          <w:tcPr>
            <w:tcW w:w="5330" w:type="dxa"/>
            <w:tcBorders/>
            <w:shd w:fill="CCEEFF" w:val="clear"/>
            <w:vAlign w:val="center"/>
          </w:tcPr>
          <w:p>
            <w:pPr>
              <w:pStyle w:val="TableContents"/>
              <w:bidi w:val="0"/>
              <w:spacing w:before="0" w:after="283"/>
              <w:jc w:val="left"/>
              <w:rPr/>
            </w:pPr>
            <w:r>
              <w:rPr/>
              <w:t>Adjustments to Reconcile Net Loss to Net Cash</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Used in Operating Activities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100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220</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Amortization of debt discount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921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1,095</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Change in fair market value of warrant liability</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(506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(3,818</w:t>
            </w:r>
          </w:p>
        </w:tc>
        <w:tc>
          <w:tcPr>
            <w:tcW w:w="110" w:type="dxa"/>
            <w:tcBorders/>
            <w:shd w:fill="CCEEFF" w:val="clear"/>
            <w:vAlign w:val="center"/>
          </w:tcPr>
          <w:p>
            <w:pPr>
              <w:pStyle w:val="TableContents"/>
              <w:bidi w:val="0"/>
              <w:spacing w:before="0" w:after="283"/>
              <w:jc w:val="left"/>
              <w:rPr/>
            </w:pPr>
            <w:r>
              <w:rPr/>
              <w:t>)</w:t>
            </w:r>
          </w:p>
        </w:tc>
      </w:tr>
      <w:tr>
        <w:trPr/>
        <w:tc>
          <w:tcPr>
            <w:tcW w:w="5330" w:type="dxa"/>
            <w:tcBorders/>
            <w:shd w:fill="FFFFFF" w:val="clear"/>
            <w:vAlign w:val="center"/>
          </w:tcPr>
          <w:p>
            <w:pPr>
              <w:pStyle w:val="TableContents"/>
              <w:bidi w:val="0"/>
              <w:spacing w:before="0" w:after="283"/>
              <w:jc w:val="left"/>
              <w:rPr/>
            </w:pPr>
            <w:r>
              <w:rPr/>
              <w:t>Non-cash interest expense (paid-in-kind)</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3,579</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Provision for credit losses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103</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794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859</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Amortization of right of use assets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289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658</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Changes in Assets and Liabilities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1,230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(1,915</w:t>
            </w:r>
          </w:p>
        </w:tc>
        <w:tc>
          <w:tcPr>
            <w:tcW w:w="110" w:type="dxa"/>
            <w:tcBorders/>
            <w:shd w:fill="CCEEFF" w:val="clear"/>
            <w:vAlign w:val="center"/>
          </w:tcPr>
          <w:p>
            <w:pPr>
              <w:pStyle w:val="TableContents"/>
              <w:bidi w:val="0"/>
              <w:spacing w:before="0" w:after="283"/>
              <w:jc w:val="left"/>
              <w:rPr/>
            </w:pPr>
            <w:r>
              <w:rPr/>
              <w:t>)</w:t>
            </w:r>
          </w:p>
        </w:tc>
      </w:tr>
      <w:tr>
        <w:trPr/>
        <w:tc>
          <w:tcPr>
            <w:tcW w:w="5330"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(12</w:t>
            </w:r>
          </w:p>
        </w:tc>
        <w:tc>
          <w:tcPr>
            <w:tcW w:w="110" w:type="dxa"/>
            <w:tcBorders/>
            <w:shd w:fill="FFFFFF" w:val="clear"/>
            <w:vAlign w:val="center"/>
          </w:tcPr>
          <w:p>
            <w:pPr>
              <w:pStyle w:val="TableContents"/>
              <w:bidi w:val="0"/>
              <w:spacing w:before="0" w:after="283"/>
              <w:jc w:val="left"/>
              <w:rPr/>
            </w:pPr>
            <w:r>
              <w:rPr/>
              <w:t>)</w:t>
            </w:r>
          </w:p>
        </w:tc>
      </w:tr>
      <w:tr>
        <w:trPr/>
        <w:tc>
          <w:tcPr>
            <w:tcW w:w="5330"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(126</w:t>
            </w:r>
          </w:p>
        </w:tc>
        <w:tc>
          <w:tcPr>
            <w:tcW w:w="110" w:type="dxa"/>
            <w:tcBorders/>
            <w:shd w:fill="CCEEFF" w:val="clear"/>
            <w:vAlign w:val="center"/>
          </w:tcPr>
          <w:p>
            <w:pPr>
              <w:pStyle w:val="TableContents"/>
              <w:bidi w:val="0"/>
              <w:spacing w:before="0" w:after="283"/>
              <w:jc w:val="left"/>
              <w:rPr/>
            </w:pPr>
            <w:r>
              <w:rPr/>
              <w:t>)</w:t>
            </w:r>
          </w:p>
        </w:tc>
      </w:tr>
      <w:tr>
        <w:trPr/>
        <w:tc>
          <w:tcPr>
            <w:tcW w:w="5330" w:type="dxa"/>
            <w:tcBorders/>
            <w:shd w:fill="FFFFFF" w:val="clear"/>
            <w:vAlign w:val="center"/>
          </w:tcPr>
          <w:p>
            <w:pPr>
              <w:pStyle w:val="TableContents"/>
              <w:bidi w:val="0"/>
              <w:spacing w:before="0" w:after="283"/>
              <w:jc w:val="left"/>
              <w:rPr/>
            </w:pPr>
            <w:r>
              <w:rPr/>
              <w:t>Prepaid income tax</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Prepaid inventory</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126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(669</w:t>
            </w:r>
          </w:p>
        </w:tc>
        <w:tc>
          <w:tcPr>
            <w:tcW w:w="110" w:type="dxa"/>
            <w:tcBorders/>
            <w:shd w:fill="CCEEFF" w:val="clear"/>
            <w:vAlign w:val="center"/>
          </w:tcPr>
          <w:p>
            <w:pPr>
              <w:pStyle w:val="TableContents"/>
              <w:bidi w:val="0"/>
              <w:spacing w:before="0" w:after="283"/>
              <w:jc w:val="left"/>
              <w:rPr/>
            </w:pPr>
            <w:r>
              <w:rPr/>
              <w:t>)</w:t>
            </w:r>
          </w:p>
        </w:tc>
      </w:tr>
      <w:tr>
        <w:trPr/>
        <w:tc>
          <w:tcPr>
            <w:tcW w:w="5330"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(675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54</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Income taxes payable</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(4</w:t>
            </w:r>
          </w:p>
        </w:tc>
        <w:tc>
          <w:tcPr>
            <w:tcW w:w="110" w:type="dxa"/>
            <w:tcBorders/>
            <w:shd w:fill="FFFFFF" w:val="clear"/>
            <w:vAlign w:val="center"/>
          </w:tcPr>
          <w:p>
            <w:pPr>
              <w:pStyle w:val="TableContents"/>
              <w:bidi w:val="0"/>
              <w:spacing w:before="0" w:after="283"/>
              <w:jc w:val="left"/>
              <w:rPr/>
            </w:pPr>
            <w:r>
              <w:rPr/>
              <w:t>)</w:t>
            </w:r>
          </w:p>
        </w:tc>
      </w:tr>
      <w:tr>
        <w:trPr/>
        <w:tc>
          <w:tcPr>
            <w:tcW w:w="5330" w:type="dxa"/>
            <w:tcBorders/>
            <w:shd w:fill="CCEEFF" w:val="clear"/>
            <w:vAlign w:val="center"/>
          </w:tcPr>
          <w:p>
            <w:pPr>
              <w:pStyle w:val="TableContents"/>
              <w:bidi w:val="0"/>
              <w:spacing w:before="0" w:after="283"/>
              <w:jc w:val="left"/>
              <w:rPr/>
            </w:pPr>
            <w:r>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(2,899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3,379</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(601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(706</w:t>
            </w:r>
          </w:p>
        </w:tc>
        <w:tc>
          <w:tcPr>
            <w:tcW w:w="110" w:type="dxa"/>
            <w:tcBorders/>
            <w:shd w:fill="FFFFFF" w:val="clear"/>
            <w:vAlign w:val="center"/>
          </w:tcPr>
          <w:p>
            <w:pPr>
              <w:pStyle w:val="TableContents"/>
              <w:bidi w:val="0"/>
              <w:spacing w:before="0" w:after="283"/>
              <w:jc w:val="left"/>
              <w:rPr/>
            </w:pPr>
            <w:r>
              <w:rPr/>
              <w:t>)</w:t>
            </w:r>
          </w:p>
        </w:tc>
      </w:tr>
      <w:tr>
        <w:trPr/>
        <w:tc>
          <w:tcPr>
            <w:tcW w:w="5330" w:type="dxa"/>
            <w:tcBorders/>
            <w:shd w:fill="CCEEFF" w:val="clear"/>
            <w:vAlign w:val="center"/>
          </w:tcPr>
          <w:p>
            <w:pPr>
              <w:pStyle w:val="TableContents"/>
              <w:bidi w:val="0"/>
              <w:spacing w:before="0" w:after="283"/>
              <w:jc w:val="left"/>
              <w:rPr/>
            </w:pPr>
            <w:r>
              <w:rPr/>
              <w:t>Accrued tariffs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(602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30</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(250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(250</w:t>
            </w:r>
          </w:p>
        </w:tc>
        <w:tc>
          <w:tcPr>
            <w:tcW w:w="110" w:type="dxa"/>
            <w:tcBorders/>
            <w:shd w:fill="FFFFFF" w:val="clear"/>
            <w:vAlign w:val="center"/>
          </w:tcPr>
          <w:p>
            <w:pPr>
              <w:pStyle w:val="TableContents"/>
              <w:bidi w:val="0"/>
              <w:spacing w:before="0" w:after="283"/>
              <w:jc w:val="left"/>
              <w:rPr/>
            </w:pPr>
            <w:r>
              <w:rPr/>
              <w:t>)</w:t>
            </w:r>
          </w:p>
        </w:tc>
      </w:tr>
      <w:tr>
        <w:trPr/>
        <w:tc>
          <w:tcPr>
            <w:tcW w:w="5330" w:type="dxa"/>
            <w:tcBorders/>
            <w:shd w:fill="CCEEFF" w:val="clear"/>
            <w:vAlign w:val="center"/>
          </w:tcPr>
          <w:p>
            <w:pPr>
              <w:pStyle w:val="TableContents"/>
              <w:bidi w:val="0"/>
              <w:spacing w:before="0" w:after="283"/>
              <w:jc w:val="left"/>
              <w:rPr/>
            </w:pPr>
            <w:r>
              <w:rPr/>
              <w:t>Customer deposits</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8" w:space="0" w:color="000000"/>
            </w:tcBorders>
            <w:shd w:fill="CCEEFF" w:val="clear"/>
            <w:tcMar>
              <w:bottom w:w="28" w:type="dxa"/>
            </w:tcM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6" w:type="dxa"/>
            <w:tcBorders>
              <w:bottom w:val="single" w:sz="8" w:space="0" w:color="000000"/>
            </w:tcBorders>
            <w:shd w:fill="CCEEFF" w:val="clear"/>
            <w:tcMar>
              <w:bottom w:w="28" w:type="dxa"/>
            </w:tcMar>
            <w:vAlign w:val="center"/>
          </w:tcPr>
          <w:p>
            <w:pPr>
              <w:pStyle w:val="TableContents"/>
              <w:bidi w:val="0"/>
              <w:spacing w:before="0" w:after="283"/>
              <w:jc w:val="right"/>
              <w:rPr/>
            </w:pPr>
            <w:r>
              <w:rPr/>
              <w:t>(180</w:t>
            </w:r>
          </w:p>
        </w:tc>
        <w:tc>
          <w:tcPr>
            <w:tcW w:w="110" w:type="dxa"/>
            <w:tcBorders/>
            <w:shd w:fill="CCEEFF" w:val="clear"/>
            <w:vAlign w:val="center"/>
          </w:tcPr>
          <w:p>
            <w:pPr>
              <w:pStyle w:val="TableContents"/>
              <w:bidi w:val="0"/>
              <w:spacing w:before="0" w:after="283"/>
              <w:jc w:val="left"/>
              <w:rPr/>
            </w:pPr>
            <w:r>
              <w:rPr/>
              <w:t>)</w:t>
            </w:r>
          </w:p>
        </w:tc>
      </w:tr>
      <w:tr>
        <w:trPr/>
        <w:tc>
          <w:tcPr>
            <w:tcW w:w="5330" w:type="dxa"/>
            <w:tcBorders/>
            <w:shd w:fill="FFFFFF" w:val="clear"/>
            <w:vAlign w:val="center"/>
          </w:tcPr>
          <w:p>
            <w:pPr>
              <w:pStyle w:val="TableContents"/>
              <w:bidi w:val="0"/>
              <w:spacing w:before="0" w:after="283"/>
              <w:jc w:val="left"/>
              <w:rPr/>
            </w:pPr>
            <w:r>
              <w:rPr/>
              <w:t>Total Adjustments</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8" w:space="0" w:color="000000"/>
            </w:tcBorders>
            <w:shd w:fill="FFFFFF" w:val="clear"/>
            <w:tcMar>
              <w:bottom w:w="28" w:type="dxa"/>
            </w:tcMar>
            <w:vAlign w:val="center"/>
          </w:tcPr>
          <w:p>
            <w:pPr>
              <w:pStyle w:val="TableContents"/>
              <w:bidi w:val="0"/>
              <w:spacing w:before="0" w:after="283"/>
              <w:jc w:val="right"/>
              <w:rPr/>
            </w:pPr>
            <w:r>
              <w:rPr/>
              <w:t>(2,159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single" w:sz="8" w:space="0" w:color="000000"/>
            </w:tcBorders>
            <w:shd w:fill="FFFFFF" w:val="clear"/>
            <w:tcMar>
              <w:bottom w:w="28" w:type="dxa"/>
            </w:tcMar>
            <w:vAlign w:val="center"/>
          </w:tcPr>
          <w:p>
            <w:pPr>
              <w:pStyle w:val="TableContents"/>
              <w:bidi w:val="0"/>
              <w:spacing w:before="0" w:after="283"/>
              <w:jc w:val="right"/>
              <w:rPr/>
            </w:pPr>
            <w:r>
              <w:rPr/>
              <w:t>2,297</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b/>
              </w:rPr>
            </w:pPr>
            <w:r>
              <w:rPr>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(8,784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(4,500</w:t>
            </w:r>
          </w:p>
        </w:tc>
        <w:tc>
          <w:tcPr>
            <w:tcW w:w="110" w:type="dxa"/>
            <w:tcBorders/>
            <w:shd w:fill="CCEEFF" w:val="clear"/>
            <w:vAlign w:val="center"/>
          </w:tcPr>
          <w:p>
            <w:pPr>
              <w:pStyle w:val="TableContents"/>
              <w:bidi w:val="0"/>
              <w:spacing w:before="0" w:after="283"/>
              <w:jc w:val="left"/>
              <w:rPr>
                <w:b/>
              </w:rPr>
            </w:pPr>
            <w:r>
              <w:rPr>
                <w:b/>
              </w:rPr>
              <w:t>)</w:t>
            </w:r>
          </w:p>
        </w:tc>
      </w:tr>
      <w:tr>
        <w:trPr/>
        <w:tc>
          <w:tcPr>
            <w:tcW w:w="53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Proceeds from disposal of property and equipment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8" w:space="0" w:color="000000"/>
            </w:tcBorders>
            <w:shd w:fill="CCEEFF" w:val="clear"/>
            <w:tcMar>
              <w:bottom w:w="28" w:type="dxa"/>
            </w:tcMar>
            <w:vAlign w:val="center"/>
          </w:tcPr>
          <w:p>
            <w:pPr>
              <w:pStyle w:val="TableContents"/>
              <w:bidi w:val="0"/>
              <w:spacing w:before="0" w:after="283"/>
              <w:jc w:val="right"/>
              <w:rPr/>
            </w:pPr>
            <w:r>
              <w:rPr/>
              <w:t>(279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6" w:type="dxa"/>
            <w:tcBorders>
              <w:bottom w:val="single" w:sz="8" w:space="0" w:color="000000"/>
            </w:tcBorders>
            <w:shd w:fill="CCEEFF" w:val="clear"/>
            <w:tcMar>
              <w:bottom w:w="28" w:type="dxa"/>
            </w:tcMar>
            <w:vAlign w:val="center"/>
          </w:tcPr>
          <w:p>
            <w:pPr>
              <w:pStyle w:val="TableContents"/>
              <w:bidi w:val="0"/>
              <w:spacing w:before="0" w:after="283"/>
              <w:jc w:val="right"/>
              <w:rPr/>
            </w:pPr>
            <w:r>
              <w:rPr/>
              <w:t>(778</w:t>
            </w:r>
          </w:p>
        </w:tc>
        <w:tc>
          <w:tcPr>
            <w:tcW w:w="110" w:type="dxa"/>
            <w:tcBorders/>
            <w:shd w:fill="CCEEFF" w:val="clear"/>
            <w:vAlign w:val="center"/>
          </w:tcPr>
          <w:p>
            <w:pPr>
              <w:pStyle w:val="TableContents"/>
              <w:bidi w:val="0"/>
              <w:spacing w:before="0" w:after="283"/>
              <w:jc w:val="left"/>
              <w:rPr/>
            </w:pPr>
            <w:r>
              <w:rPr/>
              <w:t>)</w:t>
            </w:r>
          </w:p>
        </w:tc>
      </w:tr>
      <w:tr>
        <w:trPr/>
        <w:tc>
          <w:tcPr>
            <w:tcW w:w="5330" w:type="dxa"/>
            <w:tcBorders/>
            <w:shd w:fill="FFFFFF" w:val="clear"/>
            <w:vAlign w:val="center"/>
          </w:tcPr>
          <w:p>
            <w:pPr>
              <w:pStyle w:val="TableContents"/>
              <w:bidi w:val="0"/>
              <w:spacing w:before="0" w:after="283"/>
              <w:jc w:val="left"/>
              <w:rPr>
                <w:b/>
              </w:rPr>
            </w:pPr>
            <w:r>
              <w:rPr>
                <w:b/>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(279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(778</w:t>
            </w:r>
          </w:p>
        </w:tc>
        <w:tc>
          <w:tcPr>
            <w:tcW w:w="110" w:type="dxa"/>
            <w:tcBorders/>
            <w:shd w:fill="FFFFFF" w:val="clear"/>
            <w:vAlign w:val="center"/>
          </w:tcPr>
          <w:p>
            <w:pPr>
              <w:pStyle w:val="TableContents"/>
              <w:bidi w:val="0"/>
              <w:spacing w:before="0" w:after="283"/>
              <w:jc w:val="left"/>
              <w:rPr>
                <w:b/>
              </w:rPr>
            </w:pPr>
            <w:r>
              <w:rPr>
                <w:b/>
              </w:rPr>
              <w:t>)</w:t>
            </w:r>
          </w:p>
        </w:tc>
      </w:tr>
      <w:tr>
        <w:trPr/>
        <w:tc>
          <w:tcPr>
            <w:tcW w:w="53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Proceeds from public offering (ATM), net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63</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Proceeds from preferred stock offering, net of fees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3,180</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Repayment of note payable</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(241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Principal payments on finance leases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(11</w:t>
            </w:r>
          </w:p>
        </w:tc>
        <w:tc>
          <w:tcPr>
            <w:tcW w:w="110" w:type="dxa"/>
            <w:tcBorders/>
            <w:shd w:fill="FFFFFF" w:val="clear"/>
            <w:vAlign w:val="center"/>
          </w:tcPr>
          <w:p>
            <w:pPr>
              <w:pStyle w:val="TableContents"/>
              <w:bidi w:val="0"/>
              <w:spacing w:before="0" w:after="283"/>
              <w:jc w:val="left"/>
              <w:rPr/>
            </w:pPr>
            <w:r>
              <w:rPr/>
              <w:t>)</w:t>
            </w:r>
          </w:p>
        </w:tc>
      </w:tr>
      <w:tr>
        <w:trPr/>
        <w:tc>
          <w:tcPr>
            <w:tcW w:w="5330" w:type="dxa"/>
            <w:tcBorders/>
            <w:shd w:fill="CCEEFF" w:val="clear"/>
            <w:vAlign w:val="center"/>
          </w:tcPr>
          <w:p>
            <w:pPr>
              <w:pStyle w:val="TableContents"/>
              <w:bidi w:val="0"/>
              <w:spacing w:before="0" w:after="283"/>
              <w:jc w:val="left"/>
              <w:rPr/>
            </w:pPr>
            <w:r>
              <w:rPr/>
              <w:t>Payment of dividends</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8" w:space="0" w:color="000000"/>
            </w:tcBorders>
            <w:shd w:fill="CCEEFF" w:val="clear"/>
            <w:tcMar>
              <w:bottom w:w="28" w:type="dxa"/>
            </w:tcMar>
            <w:vAlign w:val="center"/>
          </w:tcPr>
          <w:p>
            <w:pPr>
              <w:pStyle w:val="TableContents"/>
              <w:bidi w:val="0"/>
              <w:spacing w:before="0" w:after="283"/>
              <w:jc w:val="right"/>
              <w:rPr/>
            </w:pPr>
            <w:r>
              <w:rPr/>
              <w:t>(317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b/>
              </w:rPr>
            </w:pPr>
            <w:r>
              <w:rPr>
                <w:b/>
              </w:rPr>
              <w:t>Net Cash (Used in) Provided by Financing Activities</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(570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3,232</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Net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(9,633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(2,046</w:t>
            </w:r>
          </w:p>
        </w:tc>
        <w:tc>
          <w:tcPr>
            <w:tcW w:w="110" w:type="dxa"/>
            <w:tcBorders/>
            <w:shd w:fill="FFFFFF" w:val="clear"/>
            <w:vAlign w:val="center"/>
          </w:tcPr>
          <w:p>
            <w:pPr>
              <w:pStyle w:val="TableContents"/>
              <w:bidi w:val="0"/>
              <w:spacing w:before="0" w:after="283"/>
              <w:jc w:val="left"/>
              <w:rPr/>
            </w:pPr>
            <w:r>
              <w:rPr/>
              <w:t>)</w:t>
            </w:r>
          </w:p>
        </w:tc>
      </w:tr>
      <w:tr>
        <w:trPr/>
        <w:tc>
          <w:tcPr>
            <w:tcW w:w="5330" w:type="dxa"/>
            <w:tcBorders/>
            <w:shd w:fill="CCEEFF" w:val="clear"/>
            <w:vAlign w:val="center"/>
          </w:tcPr>
          <w:p>
            <w:pPr>
              <w:pStyle w:val="TableContents"/>
              <w:bidi w:val="0"/>
              <w:spacing w:before="0" w:after="283"/>
              <w:jc w:val="left"/>
              <w:rPr/>
            </w:pPr>
            <w:r>
              <w:rPr/>
              <w:t>Cash and cash equivalents - beginning of period</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8" w:space="0" w:color="000000"/>
            </w:tcBorders>
            <w:shd w:fill="CCEEFF" w:val="clear"/>
            <w:tcMar>
              <w:bottom w:w="28" w:type="dxa"/>
            </w:tcMar>
            <w:vAlign w:val="center"/>
          </w:tcPr>
          <w:p>
            <w:pPr>
              <w:pStyle w:val="TableContents"/>
              <w:bidi w:val="0"/>
              <w:spacing w:before="0" w:after="283"/>
              <w:jc w:val="right"/>
              <w:rPr/>
            </w:pPr>
            <w:r>
              <w:rPr/>
              <w:t>18,270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6" w:type="dxa"/>
            <w:tcBorders>
              <w:bottom w:val="single" w:sz="8" w:space="0" w:color="000000"/>
            </w:tcBorders>
            <w:shd w:fill="CCEEFF" w:val="clear"/>
            <w:tcMar>
              <w:bottom w:w="28" w:type="dxa"/>
            </w:tcMar>
            <w:vAlign w:val="center"/>
          </w:tcPr>
          <w:p>
            <w:pPr>
              <w:pStyle w:val="TableContents"/>
              <w:bidi w:val="0"/>
              <w:spacing w:before="0" w:after="283"/>
              <w:jc w:val="right"/>
              <w:rPr/>
            </w:pPr>
            <w:r>
              <w:rPr/>
              <w:t>4,849</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b/>
              </w:rPr>
            </w:pPr>
            <w:r>
              <w:rPr>
                <w:b/>
              </w:rPr>
              <w:t>Cash and cash equivalents - end of period</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88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8,637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87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2,803</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Supplemental Disclosures of Cash Flow Information:</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Cash paid for income taxes</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8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76" w:type="dxa"/>
            <w:tcBorders>
              <w:bottom w:val="single" w:sz="8" w:space="0" w:color="000000"/>
            </w:tcBorders>
            <w:shd w:fill="CCEEFF" w:val="clear"/>
            <w:tcMar>
              <w:bottom w:w="28" w:type="dxa"/>
            </w:tcMar>
            <w:vAlign w:val="center"/>
          </w:tcPr>
          <w:p>
            <w:pPr>
              <w:pStyle w:val="TableContents"/>
              <w:bidi w:val="0"/>
              <w:spacing w:before="0" w:after="283"/>
              <w:jc w:val="right"/>
              <w:rPr/>
            </w:pPr>
            <w:r>
              <w:rPr/>
              <w:t>2</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Cash paid for interest</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87" w:type="dxa"/>
            <w:tcBorders>
              <w:bottom w:val="double" w:sz="6" w:space="0" w:color="000000"/>
            </w:tcBorders>
            <w:shd w:fill="FFFFFF" w:val="clear"/>
            <w:tcMar>
              <w:bottom w:w="28" w:type="dxa"/>
            </w:tcMar>
            <w:vAlign w:val="center"/>
          </w:tcPr>
          <w:p>
            <w:pPr>
              <w:pStyle w:val="TableContents"/>
              <w:bidi w:val="0"/>
              <w:spacing w:before="0" w:after="283"/>
              <w:jc w:val="right"/>
              <w:rPr/>
            </w:pPr>
            <w:r>
              <w:rPr/>
              <w:t>965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6" w:type="dxa"/>
            <w:tcBorders>
              <w:bottom w:val="double" w:sz="6" w:space="0" w:color="000000"/>
            </w:tcBorders>
            <w:shd w:fill="FFFFFF" w:val="clear"/>
            <w:tcMar>
              <w:bottom w:w="28" w:type="dxa"/>
            </w:tcMar>
            <w:vAlign w:val="center"/>
          </w:tcPr>
          <w:p>
            <w:pPr>
              <w:pStyle w:val="TableContents"/>
              <w:bidi w:val="0"/>
              <w:spacing w:before="0" w:after="283"/>
              <w:jc w:val="right"/>
              <w:rPr/>
            </w:pPr>
            <w:r>
              <w:rPr/>
              <w:t>1</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Supplemental Non-Cash Items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Purchases of property and equipment, not yet paid</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87" w:type="dxa"/>
            <w:tcBorders>
              <w:bottom w:val="double" w:sz="6" w:space="0" w:color="000000"/>
            </w:tcBorders>
            <w:shd w:fill="FFFFFF" w:val="clear"/>
            <w:tcMar>
              <w:bottom w:w="28" w:type="dxa"/>
            </w:tcMar>
            <w:vAlign w:val="center"/>
          </w:tcPr>
          <w:p>
            <w:pPr>
              <w:pStyle w:val="TableContents"/>
              <w:bidi w:val="0"/>
              <w:spacing w:before="0" w:after="283"/>
              <w:jc w:val="right"/>
              <w:rPr/>
            </w:pPr>
            <w:r>
              <w:rPr/>
              <w:t>360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6" w:type="dxa"/>
            <w:tcBorders>
              <w:bottom w:val="double" w:sz="6" w:space="0" w:color="000000"/>
            </w:tcBorders>
            <w:shd w:fill="FFFFFF" w:val="clear"/>
            <w:tcMar>
              <w:bottom w:w="28" w:type="dxa"/>
            </w:tcMar>
            <w:vAlign w:val="center"/>
          </w:tcPr>
          <w:p>
            <w:pPr>
              <w:pStyle w:val="TableContents"/>
              <w:bidi w:val="0"/>
              <w:spacing w:before="0" w:after="283"/>
              <w:jc w:val="right"/>
              <w:rPr/>
            </w:pPr>
            <w:r>
              <w:rPr/>
              <w:t>929</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Conversion of preferred stock to common stock</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87"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6" w:type="dxa"/>
            <w:tcBorders>
              <w:bottom w:val="double" w:sz="6" w:space="0" w:color="000000"/>
            </w:tcBorders>
            <w:shd w:fill="CCEEFF" w:val="clear"/>
            <w:tcMar>
              <w:bottom w:w="28" w:type="dxa"/>
            </w:tcMar>
            <w:vAlign w:val="center"/>
          </w:tcPr>
          <w:p>
            <w:pPr>
              <w:pStyle w:val="TableContents"/>
              <w:bidi w:val="0"/>
              <w:spacing w:before="0" w:after="283"/>
              <w:jc w:val="right"/>
              <w:rPr/>
            </w:pPr>
            <w:r>
              <w:rPr/>
              <w:t>273</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Recognition of warrant liability - Investor Warrants</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87"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6" w:type="dxa"/>
            <w:tcBorders>
              <w:bottom w:val="double" w:sz="6" w:space="0" w:color="000000"/>
            </w:tcBorders>
            <w:shd w:fill="FFFFFF" w:val="clear"/>
            <w:tcMar>
              <w:bottom w:w="28" w:type="dxa"/>
            </w:tcMar>
            <w:vAlign w:val="center"/>
          </w:tcPr>
          <w:p>
            <w:pPr>
              <w:pStyle w:val="TableContents"/>
              <w:bidi w:val="0"/>
              <w:spacing w:before="0" w:after="283"/>
              <w:jc w:val="right"/>
              <w:rPr/>
            </w:pPr>
            <w:r>
              <w:rPr/>
              <w:t>697</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Accrued dividends</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87" w:type="dxa"/>
            <w:tcBorders>
              <w:bottom w:val="double" w:sz="6" w:space="0" w:color="000000"/>
            </w:tcBorders>
            <w:shd w:fill="CCEEFF" w:val="clear"/>
            <w:tcMar>
              <w:bottom w:w="28" w:type="dxa"/>
            </w:tcMar>
            <w:vAlign w:val="center"/>
          </w:tcPr>
          <w:p>
            <w:pPr>
              <w:pStyle w:val="TableContents"/>
              <w:bidi w:val="0"/>
              <w:spacing w:before="0" w:after="283"/>
              <w:jc w:val="right"/>
              <w:rPr/>
            </w:pPr>
            <w:r>
              <w:rPr/>
              <w:t>502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Dividends paid in kind</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87" w:type="dxa"/>
            <w:tcBorders>
              <w:bottom w:val="double" w:sz="6" w:space="0" w:color="000000"/>
            </w:tcBorders>
            <w:shd w:fill="FFFFFF" w:val="clear"/>
            <w:tcMar>
              <w:bottom w:w="28" w:type="dxa"/>
            </w:tcMar>
            <w:vAlign w:val="center"/>
          </w:tcPr>
          <w:p>
            <w:pPr>
              <w:pStyle w:val="TableContents"/>
              <w:bidi w:val="0"/>
              <w:spacing w:before="0" w:after="283"/>
              <w:jc w:val="right"/>
              <w:rPr/>
            </w:pPr>
            <w:r>
              <w:rPr/>
              <w:t>125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Accretion of preferred stock discount</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87" w:type="dxa"/>
            <w:tcBorders>
              <w:bottom w:val="double" w:sz="6" w:space="0" w:color="000000"/>
            </w:tcBorders>
            <w:shd w:fill="CCEEFF" w:val="clear"/>
            <w:tcMar>
              <w:bottom w:w="28" w:type="dxa"/>
            </w:tcMar>
            <w:vAlign w:val="center"/>
          </w:tcPr>
          <w:p>
            <w:pPr>
              <w:pStyle w:val="TableContents"/>
              <w:bidi w:val="0"/>
              <w:spacing w:before="0" w:after="283"/>
              <w:jc w:val="right"/>
              <w:rPr/>
            </w:pPr>
            <w:r>
              <w:rPr/>
              <w:t>468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Eric Prouty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Szymon Serowiecki</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AdvisIRy Partners</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DragonflyIR@advisiry.com</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3747</Words>
  <Characters>20770</Characters>
  <CharactersWithSpaces>24982</CharactersWithSpaces>
  <Paragraphs>1795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