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5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Filed by Chardan NexTech Acquisition 2 Corp. pursuant to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Rule 425 under the Securities Act of 1933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 deemed filed pursuant to Rule 14a-12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under the Securities Exchange Act of 1934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Subject Company: Chardan NexTech Acquisition 2 Corp.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Commission File No.: 001-40730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-520065</wp:posOffset>
            </wp:positionH>
            <wp:positionV relativeFrom="paragraph">
              <wp:posOffset>7620</wp:posOffset>
            </wp:positionV>
            <wp:extent cx="6762115" cy="83007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115" cy="8300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20"/>
          </w:cols>
          <w:pgMar w:left="1440" w:top="224" w:right="339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270510</wp:posOffset>
            </wp:positionH>
            <wp:positionV relativeFrom="page">
              <wp:posOffset>88900</wp:posOffset>
            </wp:positionV>
            <wp:extent cx="6958330" cy="93567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8330" cy="9356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2022-05-17T05:17:55Z</dcterms:created>
  <dcterms:modified xsi:type="dcterms:W3CDTF">2022-05-17T05:17:55Z</dcterms:modified>
</cp:coreProperties>
</file>