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20, 2025, Dragonfly Energy Holdings Corp. (the “Company”) received a letter (the “Letter”) from the Nasdaq Hearings Panel (the “Panel”) of the Nasdaq Stock Market, LLC (“Nasdaq”) stating that because the Company’s common stock, par value $0.0001 (the “Common Stock”), had a closing bid price at or above $1.00 per share for a minimum of 10 consecutive business days, the Company had regained compliance with the minimum bid price requirement of $1.00 per share for continued listing on the Nasdaq Capital Market (the “Minimum Bid Price Requirement”), as set forth in Nasdaq Listing Rule 5550(a)(2). Additionally, the Letter stated that because the Company’s market value of listed securities had been $35 million or greater for a minimum of 10 consecutive business days, the Company had also regained compliance with the minimum market value of listed securities requirement for continued listing on the Nasdaq Capital Market (the “MVLS Requirement”), as set forth in Nasdaq Listing Rule 5550(b)(2). Accordingly, the Company is in full compliance with Nasdaq’s continued listing requirements, and these matters are now closed.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Nasdaq Listing Rule 5815(d)(4)(B), the Company will be subject to a Mandatory Panel Monitor through October 20, 2026. If, within that one-year monitoring period, the Company fails to maintain compliance with the Minimum Bid Price Requirement, the staff of the Nasdaq Listing Qualifications Department (the “Staff”) will issue a Delist Determination Letter, and the Company will have an opportunity to request a new hearing with the initial Panel or a newly convened Panel if the initial Panel is unavailable. Notwithstanding Nasdaq Listing Rule 5810(c)(2), the Company will not be permitted to provide the Staff with a plan of compliance with respect to any deficiency that arises during the one-year monitoring period, and the Staff will not be permitted to grant additional time for the Company to regain compliance with respect to any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21,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2025-10-21T06:42:14Z</dcterms:created>
  <dcterms:modified xsi:type="dcterms:W3CDTF">2025-10-21T06:42:14Z</dcterms:modified>
</cp:coreProperties>
</file>