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333-275559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November 24,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43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48577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(the “Distribution Agreement”) with Canaccord Genuity LLC, acting as representative of the several sales agents (the “Lead Agent”), and Roth Capital Partners, LLC and Yorkville Securities, LLC (collectively with the Lead Agent, the “Agents”), on January 30, 2026, relating to our common stock, par value $0.0001, offered by this prospectus supplement and the accompanying prospectus. Under the Distribution Agreement, we may offer and sell our common stock having an aggregate offering price of up to $50 million from time to time through the Lead Agent, acting as sales agent on behalf of the Agents or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common stock is listed on the Nasdaq Capital Market under the symbol “DFLI” and our public warrants (the “Public Warrants”) are currently listed on the Nasdaq Capital Market under the symbol “DFLIW.” On January 29, 2026, the last reported sales price of our common stock on the Nasdaq Capital Market was $3.41 per share and the last reported sales price of our Public Warrants was $0.07.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may be made at market prices by any method permitted by law that is deemed an “at the market offering” as defined in Rule 415(a)(4) promulgated under the Securities Act of 1933, as amended (the “Securities Act”). The Agents are not required to sell any specific number or dollar amount of our common stock but will act as sales agents using commercially reasonable efforts, consistent with their normal trading and sales practices and applicable state and federal laws, rules and regulations and the rules of The Nasdaq Stock Market. There is no arrangement for funds to be received in any escrow, trust or similar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be entitled to compensation at a commission rate equal to 3.0% of the gross sales price per share sold under the Distribution Agreement. See “Plan of Distribution” beginning on S-11 for additional information regarding the Agents’ compensation. In connection with the sale of our common stock on our behalf, the Agents may be deemed to be “underwriters”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and the Securities Exchange Act of 1934, as amended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share and per share amounts in this prospectus supplement have been adjusted to reflect the one-for-ten reverse stock split effected on December 18,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any decision to invest in our securities, you should carefully consider the information disclosed in this this prospectus supplement and the accompanying base prospectus, including the information under “Risk Factors” beginning on page S-6 of this prospectus supplement, as well as the information, including the risk factors, incorporated by reference into this prospectus supplement and the accompanying prospectus as described under the heading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AND THE ACCOMPANYING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Canaccord Genuity</w:t>
      </w:r>
    </w:p>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285"/>
        <w:gridCol w:w="2000"/>
      </w:tblGrid>
      <w:tr>
        <w:trPr/>
        <w:tc>
          <w:tcPr>
            <w:tcW w:w="2285"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Roth Capital Partners</w:t>
            </w:r>
          </w:p>
        </w:tc>
        <w:tc>
          <w:tcPr>
            <w:tcW w:w="200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Yorkville Securities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date of this prospectus supplement is January 30,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5765"/>
        <w:gridCol w:w="455"/>
      </w:tblGrid>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65"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5765"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5765"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65"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5765" w:type="dxa"/>
            <w:tcBorders/>
            <w:shd w:fill="CCEE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65" w:type="dxa"/>
            <w:tcBorders/>
            <w:shd w:fill="FFFF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65"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65" w:type="dxa"/>
            <w:tcBorders/>
            <w:shd w:fill="FFFFFF" w:val="clear"/>
            <w:vAlign w:val="center"/>
          </w:tcPr>
          <w:p>
            <w:pPr>
              <w:pStyle w:val="TableContents"/>
              <w:bidi w:val="0"/>
              <w:spacing w:before="0" w:after="283"/>
              <w:jc w:val="left"/>
              <w:rPr/>
            </w:pPr>
            <w:hyperlink w:anchor="sa_009">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65" w:type="dxa"/>
            <w:tcBorders/>
            <w:shd w:fill="CCEEFF" w:val="clear"/>
            <w:vAlign w:val="center"/>
          </w:tcPr>
          <w:p>
            <w:pPr>
              <w:pStyle w:val="TableContents"/>
              <w:bidi w:val="0"/>
              <w:spacing w:before="0" w:after="283"/>
              <w:jc w:val="left"/>
              <w:rPr/>
            </w:pPr>
            <w:hyperlink w:anchor="sa_010">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5765" w:type="dxa"/>
            <w:tcBorders/>
            <w:shd w:fill="FFFFFF" w:val="clear"/>
            <w:vAlign w:val="center"/>
          </w:tcPr>
          <w:p>
            <w:pPr>
              <w:pStyle w:val="TableContents"/>
              <w:bidi w:val="0"/>
              <w:spacing w:before="0" w:after="283"/>
              <w:jc w:val="left"/>
              <w:rPr/>
            </w:pPr>
            <w:hyperlink w:anchor="sa_011">
              <w:r>
                <w:rPr>
                  <w:rStyle w:val="InternetLink"/>
                  <w:rFonts w:ascii="Times New Roman;Times;Serif" w:hAnsi="Times New Roman;Times;Serif"/>
                  <w:b w:val="false"/>
                  <w:i w:val="false"/>
                  <w:caps w:val="false"/>
                  <w:smallCaps w:val="false"/>
                  <w:sz w:val="20"/>
                </w:rPr>
                <w:t>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765" w:type="dxa"/>
            <w:tcBorders/>
            <w:shd w:fill="CCEEFF" w:val="clear"/>
            <w:vAlign w:val="center"/>
          </w:tcPr>
          <w:p>
            <w:pPr>
              <w:pStyle w:val="TableContents"/>
              <w:bidi w:val="0"/>
              <w:spacing w:before="0" w:after="283"/>
              <w:jc w:val="left"/>
              <w:rPr/>
            </w:pPr>
            <w:hyperlink w:anchor="sa_012">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bl>
    <w:p>
      <w:pPr>
        <w:pStyle w:val="TextBody"/>
        <w:bidi w:val="0"/>
        <w:spacing w:before="0" w:after="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5630"/>
        <w:gridCol w:w="455"/>
      </w:tblGrid>
      <w:tr>
        <w:trPr/>
        <w:tc>
          <w:tcPr>
            <w:tcW w:w="56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sz w:val="20"/>
                </w:rPr>
                <w:t>ABOUT THIS PROSPECTUS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63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63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63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sz w:val="20"/>
                </w:rPr>
                <w:t>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63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63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sz w:val="20"/>
                </w:rPr>
                <w:t>THE SECURITIES WE MAY OFFER</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63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63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sz w:val="20"/>
                </w:rPr>
                <w:t>DESCRIPTION OF DEBT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63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sz w:val="20"/>
                </w:rPr>
                <w:t>DESCRIPTION OF STOCK WARRANTS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63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sz w:val="20"/>
                </w:rPr>
                <w:t>DESCRIPTION OF SUBSCRIPTION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63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sz w:val="20"/>
                </w:rPr>
                <w:t>DESCRIPTION OF UNITS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63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FORMS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63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63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63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63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sz w:val="20"/>
                </w:rPr>
                <w:t>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63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 w:name="sa_001"/>
      <w:bookmarkEnd w:id="2"/>
      <w:r>
        <w:rPr>
          <w:rFonts w:ascii="Times New Roman;Times;Serif" w:hAnsi="Times New Roman;Times;Serif"/>
          <w:b/>
          <w:i w:val="false"/>
          <w:caps/>
          <w:sz w:val="20"/>
        </w:rPr>
        <w:t>ABOUT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Agents have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Agents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Agents are offering to sell, and seeking offers to buy, shares of our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sa_002"/>
      <w:bookmarkEnd w:id="3"/>
      <w:r>
        <w:rPr>
          <w:rFonts w:ascii="Times New Roman;Times;Serif" w:hAnsi="Times New Roman;Times;Serif"/>
          <w:b/>
          <w:i w:val="false"/>
          <w:caps/>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“Risk Factors” in this prospectus supplement, the accompanying prospectus and the information incorporated herein by reference. These factors include, but are not limited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“Term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B Convertible Stock (the “Series B Preferred Stock”) on the market price of our common stock and our ability to redeem and make dividend payments with respect to our Series B Preferred Stock;</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Public Warrants on the Nasdaq Capital Market;</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licensing arrangement with Stryten Energy LLC;</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the India-Pakistan conflict and Hamas’ attack on Israel, and their effects on our operations.</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4" w:name="sa_003"/>
      <w:bookmarkEnd w:id="4"/>
      <w:r>
        <w:rPr>
          <w:rFonts w:ascii="Times New Roman;Times;Serif" w:hAnsi="Times New Roman;Times;Serif"/>
          <w:b/>
          <w:i w:val="false"/>
          <w:caps/>
          <w:sz w:val="20"/>
        </w:rPr>
        <w:t>SUMMARY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S-6 and in the documents incorporated by reference into this prospectus supplement and the accompanying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RV Company, THOR Industries, Airstream, and REV, and we are in ongoing discussions with a number of additional RV OEMs to further increase adoption of our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In addition, we are currently exploring opportunities within North America as part of our efforts to build a cell manufacturing facility.</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Meeting of Stockholders held on October 15, 2025, our stockholders adopted and approved an amendment to our Articles of Incorporation to effect a reverse stock split of our issued and outstanding shares of common stock, at a specific ratio, ranging from one-for-two (1:2) to one-for-fifty (1:50), with such ratio to be determined by our Board in its discretion.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filed the amendment to our Articles of Incorporation with the Secretary of State of the State of Nevada to effect a reverse stock split of our common stock at a ratio of one-for-ten (1:10) (the “Reverse Stock Split”). The Reverse Stock Split became effective in accordance with the terms of the amendment at 6:00 a.m. Eastern Time on December 18, 2025. All share and per share amounts in this prospectus supplement (other than certain documents incorporated by reference into this prospectus supplement, including such documents incorporated by reference herein that were filed prior to the effectiveness of the Reverse Stock Split), have been adjusted to reflect the Reverse Stock Split.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a_004"/>
      <w:bookmarkEnd w:id="5"/>
      <w:r>
        <w:rPr>
          <w:rFonts w:ascii="Times New Roman;Times;Serif" w:hAnsi="Times New Roman;Times;Serif"/>
          <w:b/>
          <w:i w:val="false"/>
          <w:caps w:val="false"/>
          <w:smallCaps w:val="false"/>
          <w:sz w:val="20"/>
        </w:rPr>
        <w:t>THE OFFERING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1"/>
        <w:gridCol w:w="60"/>
        <w:gridCol w:w="8644"/>
      </w:tblGrid>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 pursuant to this prospectus supplement: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Common stock having an aggregate offering price of up to </w:t>
            </w:r>
            <w:r>
              <w:rPr>
                <w:rFonts w:ascii="Times New Roman;Times;Serif" w:hAnsi="Times New Roman;Times;Serif"/>
                <w:b w:val="false"/>
                <w:i w:val="false"/>
                <w:caps w:val="false"/>
                <w:smallCaps w:val="false"/>
                <w:sz w:val="20"/>
              </w:rPr>
              <w:t>$50,000,000.</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26,741,469 shares, assuming the sale of 14,662,756 shares of common stock in this offering at a price of $3.41 per share, which was the last reported sale price of our common stock on the Nasdaq Capital Market on January 29, 2026. The actual number of shares issued will vary depending on the sales prices under this offering. In addition, as there is no minimum offering amount required as a condition to close this offering, the actual number of shares that may be sold is not determinable at this time.</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Manner of offering: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through the Agents. The Agents are not required to sell any specific number or dollar amount of our common stock but will act as sales agents using commercially reasonable efforts, consistent with their normal trading and sales practices and applicable state and federal laws, rules and regulations and the rules of The Nasdaq Stock Market. See “Plan of Distribution” beginning on page S-11 of this prospectus supplement.</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our common stock under this prospectus supplement and the accompanying prospectus for working capital and other general corporate purposes, including the prepayment of outstanding indebtedness under the Term Loan Agreement in an amount equal to 25% of the net proceeds of this offering, the partial redemption of outstanding shares of our Series B Preferred Stock which we will pay for using an amount equal to 50% of the net proceeds of this offering, the payment of dividends on our Series B Preferred Stock, continued investments in initiatives intended to drive near term revenue, and continued strategic investment in next generation battery technologies, including scaling the dry electrode process and its application to solid-state batteries. Please see the section entitled “Use of Proceeds” on page S-9 of this prospectus supplement for a more detailed discussion.</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Please see the section entitled “Risk Factors” beginning on page S-6 of this prospectus supplement as well as the other information included in or incorporated by reference into this prospectus supplement and the accompanying prospectus for a discussion of factors that you should consider carefully before making an investment decision.</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DFLI”.</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12,078,713 shares of common stock outstanding on January 29, 2026 and excludes as of such date: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 shares of common stock reserved for issuance in the event of certain milestones in connection with our merger in October 2022 (the “Business Combination”);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104,695 shares of common stock issuable upon exercise of Public Warrants outstanding, with an exercise price of $1,035.00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16,682 shares of common stock issuable upon exercise of private warrants (the “Private Warrants”), with an exercise price of $1,035.00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130,037 shares of common stock issuable upon exercise of other warrants outstanding, with a weighted average exercise price of $182.19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106,169 shares of common stock issuable upon exercise of penny warrants (the “Penny Warrants”), with an exercise price of $0.90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68,047 shares of common stock issuable upon exercise of Penny Warrants, with an exercise price of $0.10 per share;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 shares of common stock issuable upon exercise of pre-funded warrants, with an exercise price of $0.001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797,443 shares of common stock issuable upon conversion of outstanding shares of Series B Preferred Stock, with a conversion price of $31.50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13,381 shares of common stock underlying outstanding options, with a weighted average exercise price of $241.37 per share;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16,803 shares of common stock underlying outstanding restricted stock units;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1,017,212 shares of common stock available for future awards under our equity incentive plans and employee stock purchase plan</w:t>
            </w:r>
          </w:p>
        </w:tc>
      </w:tr>
    </w:tbl>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sa_005"/>
      <w:bookmarkEnd w:id="6"/>
      <w:r>
        <w:rPr>
          <w:rFonts w:ascii="Times New Roman;Times;Serif" w:hAnsi="Times New Roman;Times;Serif"/>
          <w:b/>
          <w:i w:val="false"/>
          <w:caps/>
          <w:sz w:val="20"/>
        </w:rPr>
        <w:t>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dilution in the book value per share of common stock you purchase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price per share of common stock being offered hereby is substantially higher than the book value per share of common stock, you will suffer substantial dilution in the net tangible book value of the common stock purchase in this offering. Based on the assumed public offering price of $3.41 per share, which was the last reported sale price of our common stock on the Nasdaq Capital Market on January 29, 2026, and assuming that we sell all $50,000,000 shares of common stock under this prospectus supplement, and after deducting commissions and estimated aggregate offering expenses payable by us, if you purchase common stock in this offering, you will experience immediate and substantial dilution of $(0.47) per share in the net tangible book value of the common stock. See the section titled “Dilution” below for a more detailed discussion of the dilution you will incur if you purchase common stock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net proceeds from this offering, and we may not use the proceeds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our common stock under this prospectus supplement and the accompanying prospectus for working capital and other general corporate purposes, including the prepayment of outstanding indebtedness under the Term Loan Agreement in an amount equal to 25% of the net proceeds of this offering, the partial redemption of outstanding shares of our Series B Preferred Stock which we will pay for using an amount equal to 50% of the net proceeds of this offering, the payment of dividends on our Series B Preferred Stock, continued investments in initiatives intended to drive near term revenue, and continued strategic investment in next generation battery technologies, including scaling the dry electrode process and its application to solid-state batteries, in each case as described below in the section entitled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the prepayment of a portion of the Term Loan (as defined below), the partial redemption of shares of Series B Preferred Stock and the payment of dividends on our Series B Preferred Stock, our management will have broad discretion as to the application of the net proceeds from this offering and could use them for purposes other than those contemplated at the time of this offering, as described below in the section entitled “Use of Proceeds,” or in ways that do not necessarily improve our operating results or enhance the value of our common stock. Our stockholders may not agree with the manner in which our management chooses to allocate and spend the net proceeds. Our failure to use these funds effectively could have a material adverse effect on our business and could cause the price of our securities to decline.</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Distribution Agreement at any one time or in total, is uncertain. It is not possible to predict the aggregate proceeds resulting from sales made under the Distribution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Distribution Agreement and compliance with applicable law, we have the discretion to deliver a placement notice to the Lead Agent at any time throughout the term of the Distribution Agreement. The number of shares that are sold through the Lead Agent after delivering a placement notice will fluctuate based on a number of factors, including the market price of our common stock during the sales period, the limits we set with the Lead Agent in any applicable placement notice, and the demand for our common stock during the sales period. Because the price per share of each share of common stock sold will fluctuate during the sales period, it is not currently possible to predict the aggregate proceeds to be raised in connection with those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at prices that may not be the same as the price per share in this offering. We may sell shares or other securities in another offering at a price per share that is less than the price per share paid by the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If any of the above should occur, our stockholders, including investors who purchase common stock in this offering, will experience additional dilution, and any such issuances may result in downward pressure on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could cause our stock price to decline. In addition, the exercise or conversion of outstanding securities to acquire our common stock would increase the number of shares eligible for future resale in the public market and result in dilution to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29, 2026, we had (i) 277,778 shares of common stock reserved for issuance in the event of certain milestones in connection the Business Combination; (ii) 104,695 shares of common stock issuable upon exercise of Public Warrants, with an exercise price of $1,035.00 per share; (iii) 16,682 shares of common stock issuable upon exercise of Private Warrants, with an exercise price of $1,035.00 per share; (iv) 130,037 shares of common stock issuable upon exercise of other warrants, with a weighted average exercise price of $182.19 per share; (v) 106,169 shares of common stock issuable upon exercise of Penny Warrants, with an exercise price of $0.90 per share; (vi) 68,047 shares of common stock issuable upon exercise of Penny Warrants, with an exercise price of $0.10 per share; (vii) 13,381 shares of common stock underlying outstanding options, with a weighted average exercise price of $241.37 per share; (viii) 16,803 shares of common stock underlying outstanding restricted stock, (ix) 1,017,212 shares of commons stock available for future awards under our equity incentive plans and employee stock purchase plan, and (x) 797,443 shares of common stock issuable upon conversion of outstanding shares of Series B Preferred Stock, with a conversion price of $31.50 per share.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in the foreseeable future, and consequently, any gains from an investment in our common stock will likely depend on appreciation in the price of our common stock.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our common stock will appreciate in value or even maintain the price at which the stockholders have purchased their shares.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continue to meet the continued listing requirements for The Nasdaq Capital Market, our common stock may be delisted, which could affect the market price and liquidity for our common stock and reduce our ability to raise additional capital.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for trading on The Nasdaq Capital Market. Continued listing of a security on the Nasdaq Capital Market is conditioned upon compliance with various continued listing standards. In the past, we have received notices from Nasdaq’s Listing Qualifications Department (the “Staff”) indicating that we had not complied with certain of the Nasdaq Capital Market’s continued listing standards. While we have regained compliance for each instance, there can be no assurance that we will continue to maintain compliance with the Nasdaq listing requirements.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Nasdaq Listing Rule 5815(d)(4)(B), we are subject to a Mandatory Panel Monitor through October 20, 2026. If, within this monitoring period, we fail to maintain compliance with the $1.00 minimum bid price requirement set forth in Nasdaq Listing Rule 5550(a)(2) (the “Minimum Bid Price Requirement”), the Staff will issue a Delist Determination Letter, and we will have an opportunity to request a before the Nasdaq Hearings Panel. Notwithstanding Nasdaq Listing Rule 5810(c)(2), we will not be permitted to provide the Staff with a plan of compliance with respect to any deficiency that arises during the monitoring period, and the Staff will not be permitted to grant additional time for us to regain compliance with respect to any deficiency.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 There can be no assurance that we will be able to maintain compliance with the continued listing standards of the Nasdaq Capital Market.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rights of holders of our Series B Preferred Stock rank senior to the rights of the holders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holders of shares of our Series B Preferred Stock, while such shares remain outstanding, rank senior to the rights of the holders of shares of our common stock as to dividends, distributions and payments upon the liquidation, dissolution and winding up of the Company. Upon liquidation, dissolution or winding up of our affairs, the holders of shares of our Series B Preferred Stock are entitled to receive a liquidation preference of one thousand dollars ($1,000), plus (2) the aggregate amount of all PIK Dividends (as defined below) paid since the date of issuance of the Series B Preferred Stock (the “Initial Issuance Date”), plus (3) the aggregate amount of all Cash Dividends and PIK Dividends that have accrued and remain unpaid since the Initial Issuance Date. In addition, the holders of the Series B Preferred Stock are entitled to receive dividends, which will accrue at 10% per annum, commencing from the Initial Issuance Date, payable (i) 80% in cash (the “Cash Dividends”) and (i) 20% “in kind” and added the Liquidation Preference of such holder’s Series B Preferred Stock (“PIK Dividends”).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of the Powers, Preferences and Relative, Participating, Optional and Other Restrictions of Series B Convertible Preferred Stock of the Company (the “Certificate of Designation”).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dividend payment obligations could impact our liquidity and reduce the amount of cash available to us for our working capital needs, capital expenditures, funding growth opportunities, acquisitions, and other general corporate purposes. Our obligations to the holders of the Series B Preferred Stock could also limit our ability to obtain additional financing or increase our borrowing costs, which could have an adverse effect on our financial condition. The preferential rights could also result in divergent interests between the holders of the Series B Preferred Stock and holders of our common stock.</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7" w:name="sa_006"/>
      <w:bookmarkEnd w:id="7"/>
      <w:r>
        <w:rPr>
          <w:rFonts w:ascii="Times New Roman;Times;Serif" w:hAnsi="Times New Roman;Times;Serif"/>
          <w:b/>
          <w:i w:val="false"/>
          <w:caps/>
          <w:sz w:val="20"/>
        </w:rPr>
        <w:t>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may issue and sell our </w:t>
      </w:r>
      <w:r>
        <w:rPr>
          <w:rFonts w:ascii="Times New Roman;Times;Serif" w:hAnsi="Times New Roman;Times;Serif"/>
          <w:b w:val="false"/>
          <w:i w:val="false"/>
          <w:caps w:val="false"/>
          <w:smallCaps w:val="false"/>
          <w:sz w:val="20"/>
        </w:rPr>
        <w:t xml:space="preserve">common stock </w:t>
      </w:r>
      <w:r>
        <w:rPr>
          <w:rFonts w:ascii="Times New Roman;Times;Serif" w:hAnsi="Times New Roman;Times;Serif"/>
          <w:b w:val="false"/>
          <w:i w:val="false"/>
          <w:caps w:val="false"/>
          <w:smallCaps w:val="false"/>
          <w:sz w:val="20"/>
          <w:shd w:fill="FFFFFF" w:val="clear"/>
        </w:rPr>
        <w:t xml:space="preserve">having aggregate sales proceeds of up to $50,000,000 from time to time. Because there is no minimum offering amount required as a condition to close this offering, the actual total offering amount, commissions and proceeds to us, if any, are not determinable at this time. There can be no assurance that we will sell any shares under or fully utilize the Distribution Agreement with </w:t>
      </w:r>
      <w:r>
        <w:rPr>
          <w:rFonts w:ascii="Times New Roman;Times;Serif" w:hAnsi="Times New Roman;Times;Serif"/>
          <w:b w:val="false"/>
          <w:i w:val="false"/>
          <w:caps w:val="false"/>
          <w:smallCaps w:val="false"/>
          <w:sz w:val="20"/>
        </w:rPr>
        <w:t xml:space="preserve">the Agents </w:t>
      </w:r>
      <w:r>
        <w:rPr>
          <w:rFonts w:ascii="Times New Roman;Times;Serif" w:hAnsi="Times New Roman;Times;Serif"/>
          <w:b w:val="false"/>
          <w:i w:val="false"/>
          <w:caps w:val="false"/>
          <w:smallCaps w:val="false"/>
          <w:sz w:val="20"/>
          <w:shd w:fill="FFFFFF" w:val="clear"/>
        </w:rPr>
        <w:t>as a source of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our common stock under this prospectus supplement and the accompanying prospectus for working capital and other general corporate purposes, including the prepayment of outstanding indebtedness under the Term Loan Agreement in an amount equal to 25% of the net proceeds of this offering, the partial redemption of outstanding shares of our Series B Preferred Stock which we will pay for using an amount equal to 50% of the net proceeds of this offering, the payment of dividends on our Series B Preferred Stock, continued investments in initiatives intended to drive near term revenue, and continued strategic investment in next generation battery technologies, including scaling the dry electrode process and its application to solid-state batteries.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provides for a senior secured term loan facility (the “Term Loan”), the principal of which is approximately $19 million as of the date of this prospectus supplement and before the repayment set forth above. The Term Loan matures on October 7, 2027 and accrues interest at a per annum rate equal to adjusted SOFR plus a margin equal to 12%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of the Powers, Preferences and Relative, Participating, Optional and Other Restrictions of Series B Convertible Preferred Stock of the Company (the “Certificate of Designation”) provides for the payment of dividends, which accrue at 10% per annum, payable (i) 80% in cash and (ii) 20% “in kind”.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In addition, pursuant to the terms of the Certificate of Designation, we are required to use 50% of the net proceeds from this offering to redeem outstanding shares of our Series B Preferred Stock at a price equal to the greater of (i) the Liquidation Preference (as defined in the Certificate of Designation) of the shares of Series B Preferred Stock being redeemed; and (ii) the As-Converted Value (as defined in the Certificate of Designation) of the shares of Series B Preferred Stock being redeemed, in each case as of the date that we issue securities in this offering under the Distribution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expected use of the net proceeds from this offering represents our intentions based upon our current plans and business conditions. Other than with respect to the prepayment of a portion of the Term Loan, the partial redemption of shares of Series B Preferred Stock and the payment of dividends on our Series B Preferred Stock, our management will retain broad discretion as to the ultimate allocation of the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8" w:name="sa_007"/>
      <w:bookmarkEnd w:id="8"/>
      <w:r>
        <w:rPr>
          <w:rFonts w:ascii="Times New Roman;Times;Serif" w:hAnsi="Times New Roman;Times;Serif"/>
          <w:b/>
          <w:i w:val="false"/>
          <w:caps/>
          <w:sz w:val="20"/>
        </w:rPr>
        <w:t>DILUTION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your interest will be diluted immediately to the extent of the difference between the between the price per share you pay in this offering and the as-adjusted net tangible book value per share of common stock after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of our common stock as of September 30, 2025 was approximately $(21.6) million, or approximately $(3.49) per share of common stock. Net tangible book value per share represents the amount of our total tangible assets less total liabilities divided by the total number of our common stock outstanding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(i) the issuance of 2,300,000 shares of common stock at a public offering price of $12.50 per share for net proceeds of approximately $26.9 million in our offering that closed on October 7, 2025 (the “First October 2025 Offering”), (ii) the issuance of (x) 3,600,000 shares of common stock at a public offering price of $13.50 per share and (y) 500,000 shares of common stock issuable upon the exercise of pre-funded warrants, with an exercise price of $0.001, for net proceeds of approximately $51.9 million in our offering that closed on October 17, 2025 (the “Second October 2025 Offering”), each subsequent to September 30, 2025 (the “Pro Forma Events”), assuming the exercise of the pre-funded warrants in full, our pro forma net tangible book value as of September 30, 2025, would have been approximately $57.3 million, or $4.56 per share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After giving effect to the sale by us of common stock in the aggregate amount of </w:t>
      </w:r>
      <w:r>
        <w:rPr>
          <w:rFonts w:ascii="Times New Roman;Times;Serif" w:hAnsi="Times New Roman;Times;Serif"/>
          <w:b w:val="false"/>
          <w:i w:val="false"/>
          <w:caps w:val="false"/>
          <w:smallCaps w:val="false"/>
          <w:sz w:val="20"/>
        </w:rPr>
        <w:t xml:space="preserve">$50,000,000 </w:t>
      </w:r>
      <w:r>
        <w:rPr>
          <w:rFonts w:ascii="Times New Roman;Times;Serif" w:hAnsi="Times New Roman;Times;Serif"/>
          <w:b w:val="false"/>
          <w:i w:val="false"/>
          <w:caps w:val="false"/>
          <w:smallCaps w:val="false"/>
          <w:sz w:val="20"/>
          <w:shd w:fill="FFFFFF" w:val="clear"/>
        </w:rPr>
        <w:t>at an assumed offering price of $3.41 per share, the last reported sale price of our common stock on the Nasdaq Capital Market on January 29, 2026, and after deducting commissions and estimated offering expenses, our as adjusted pro forma net tangible book value as of September 30, 2025 would have been approximately $105.68 million, or $3.88 per share. This represents an immediate decrease in net tangible book value of $(0.68) per share to existing stockholders and immediate dilution of $(0.47) per share to new investors purchasing common stock in this offering. The following table illustrates this dilution:</w:t>
      </w:r>
    </w:p>
    <w:p>
      <w:pPr>
        <w:pStyle w:val="TextBody"/>
        <w:bidi w:val="0"/>
        <w:spacing w:before="0" w:after="0"/>
        <w:jc w:val="left"/>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7865"/>
        <w:gridCol w:w="60"/>
        <w:gridCol w:w="140"/>
        <w:gridCol w:w="575"/>
        <w:gridCol w:w="155"/>
        <w:gridCol w:w="60"/>
        <w:gridCol w:w="140"/>
        <w:gridCol w:w="575"/>
        <w:gridCol w:w="170"/>
      </w:tblGrid>
      <w:tr>
        <w:trPr/>
        <w:tc>
          <w:tcPr>
            <w:tcW w:w="7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5" w:type="dxa"/>
            <w:tcBorders/>
            <w:shd w:fill="CCEEFF" w:val="clear"/>
            <w:vAlign w:val="center"/>
          </w:tcPr>
          <w:p>
            <w:pPr>
              <w:pStyle w:val="TableContents"/>
              <w:bidi w:val="0"/>
              <w:spacing w:before="0" w:after="283"/>
              <w:jc w:val="right"/>
              <w:rPr/>
            </w:pPr>
            <w:r>
              <w:rPr>
                <w:rFonts w:ascii="Times New Roman;Times;Serif" w:hAnsi="Times New Roman;Times;Serif"/>
              </w:rPr>
              <w:t>3.41</w:t>
            </w: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Historical Net tangible book deficit per share as of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net tangible book value per share attributable to the Pro Forma Events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tangible book value per share as of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 in pro forma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rPr>
              <w:t>(0.68</w:t>
            </w:r>
            <w:r>
              <w:rPr/>
              <w:t xml:space="preserve"> </w:t>
            </w:r>
          </w:p>
        </w:tc>
        <w:tc>
          <w:tcPr>
            <w:tcW w:w="155"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adjusted pro forma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rPr>
              <w:t>3.88</w:t>
            </w:r>
            <w:r>
              <w:rPr/>
              <w:t xml:space="preserve">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Dilution per share to new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rPr>
              <w:t>(0.47</w:t>
            </w:r>
            <w:r>
              <w:rPr/>
              <w:t xml:space="preserve"> </w:t>
            </w:r>
          </w:p>
        </w:tc>
        <w:tc>
          <w:tcPr>
            <w:tcW w:w="170"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14,662,756 shares are sold during the term of the Distribution Agreement with the Agents at a price of $3.41 per share, the last reported sale price of our common stock on Nasdaq on January 29, 2026, for aggregate gross proceeds of $50,000,000. The shares subject to the Distribution Agreement are being sold from time to time at various prices. This information is supplied for illustrative purposes only and may differ based on the actual offering price and the actual number of shares offered.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is based on 6,174,210 shares of our common stock outstanding as of September 30, 2025, and excludes, as of such date,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 shares of common stock reserved for issuance in the event of certain milestones in connection with our Business Combination;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104,695 shares of common stock issuable upon exercise of Public Warrants outstanding, with an exercise price of $1,035.00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16,682 shares of common stock issuable upon exercise of Private Warrants outstanding, with an exercise price of $1,035.00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130,037 shares of common stock issuable upon exercise of other warrants outstanding, with a weighted average exercise price of $182.19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106,169 shares of common stock issuable upon exercise of Penny Warrants outstanding, with an exercise price of $0.90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68,047 shares of common stock issuable upon exercise of Penny Warrants, with an exercise price of $0.10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13,752 shares of common stock underlying outstanding options, with a weighted average exercise price of $249.00 per share;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16,971 shares of common stock underlying outstanding restricted stock units;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1,016,820 shares of common stock available for future awards under our equity incentive plans and employee stock purchase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exercisable options or warrants are exercised, you may experience further dilution. In addition, we may need to raise additional capital and to the extent that we raise additional capital by issuing equity or convertible debt securities your ownership will be further diluted.</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sa_008"/>
      <w:bookmarkEnd w:id="9"/>
      <w:r>
        <w:rPr>
          <w:rFonts w:ascii="Times New Roman;Times;Serif" w:hAnsi="Times New Roman;Times;Serif"/>
          <w:b/>
          <w:i w:val="false"/>
          <w:caps/>
          <w:sz w:val="20"/>
        </w:rPr>
        <w:t>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Distribution Agreement with the Agents, under which we may offer and sell our common stock, subject to certain limitations, having an aggregate offering price of up to $50,000,000 from time to time through the Lead Agent, acting as sales agent on behalf of the Agents. If authorized by us in writing, the Lead Agent may also purchase our common stock as principal.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to the Lead Agent and subject to the terms and conditions of the Distribution Agreement, the Lead Agent may offer and sell our common stock in negotiated transactions, which may include block trades, or  by any method permitted by law deemed to be an “at the market offering,” as defined in Rule 415(a)(4) promulgated under the Securities Act. We may instruct the Lead Agent not to sell our common stock if the sales cannot be effected at or above the price designated by us from time to time. We or the Lead Agent may suspend the offering of our common stock upon notice and subject to other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Agent will provide to us written confirmation following the close of trading on Nasdaq each day on which our common stock is sold under the Distribution Agreement. Each confirmation will include the number of shares of common stock sold on such day, the net proceeds to the Company, and the compensation payable by us to the Lead Agent with respect to such sales.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the Agents commissions for their services in acting as sales agent in the sale of our common stock. The Agents are entitled to compensation at a commission rate of 3.0% of the gross sales price per share sold by the Agents under the Distribution Agreement. Because there is no minimum offering amount required as a condition to close this offering, the actual total public offering amount, commissions and proceeds to us, if any, are not determinable at this time. We have also agreed to reimburse the Agents for certain reasonable and documented expenses, including fees and disbursements of its counsel, up to an amount of $50,000 and up to $15,000 per due diligence update. We estimate that the total expenses of the offering payable by us, excluding any commissions and the reimbursement payable to the Agents under the terms of the Distribution Agreement, will be approximately $100,000.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our common stock will occur on the first business day following the date on which any sales are made, in return for payment of the net proceeds to us. Sales of our common stock as contemplated in this prospectus supplement will be settled through the facilities of The Depository Trust Company or by such other means as we and the Lead Agent may agree upon. There is no arrangement for funds to be received in an escrow, trust or similar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use commercially reasonable efforts, consistent with their sales and trading practices, to solicit offers to purchase our common stock under the terms and subject to the conditions set forth in the Distribution Agreement. In connection with the sale of our common stock on our behalf, the Agents may be deemed to be “underwriters” within the meaning of the Securities Act, and the compensation of the Agents (and its partners, members, directors, officers, employees and agents) may be deemed to be underwriting commissions or discounts. We have agreed to provide indemnification and contribution to the Agents against certain liabilities, including civil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common stock pursuant to the Distribution Agreement will terminate upon the termination of the Distribution Agreement as permitted therein. the Agents and we each have the right, by giving written notice as specified in the Distribution Agreement, to terminate the Distribution Agreement in each party’s sole discretion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Distribution Agreement does not purport to be a complete statement of its terms and conditions. A copy of the Distribution Agreement has been filed as an exhibit to a Current Report on Form 8-K and is incorporated by reference in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Agents will not engage in any market-making activities involving our common stock while the offering is ongoing under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prospectus in electronic format may be made available on a website maintained by the Agents, and the Agents may distribute the prospectus supplement and the accompanying prospectus electronically.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0" w:name="sa_009"/>
      <w:bookmarkEnd w:id="10"/>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supplement will be passed upon by Parsons Behle &amp; Latimer, Reno, Nevada. Certain legal matters will also be passed upon for the Agents by Mintz, Levin, Cohn, Ferris, Glovsky and Popeo, P.C., New York,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sa_010"/>
      <w:bookmarkEnd w:id="11"/>
      <w:r>
        <w:rPr>
          <w:rFonts w:ascii="Times New Roman;Times;Serif" w:hAnsi="Times New Roman;Times;Serif"/>
          <w:b/>
          <w:i w:val="false"/>
          <w:caps/>
          <w:sz w:val="20"/>
        </w:rPr>
        <w:t>EXPERTS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12" w:name="sa_011"/>
      <w:bookmarkEnd w:id="12"/>
      <w:r>
        <w:rPr>
          <w:rFonts w:ascii="Times New Roman;Times;Serif" w:hAnsi="Times New Roman;Times;Serif"/>
          <w:b/>
          <w:i w:val="false"/>
          <w:caps/>
          <w:sz w:val="20"/>
        </w:rPr>
        <w:t>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“Incorporation of Certain Information by Reference” are also available on our website, https://www.dragonflyenergy.com/.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supplement the information on our website, and you should not consider it to be a part of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sa_012"/>
      <w:bookmarkEnd w:id="13"/>
      <w:r>
        <w:rPr>
          <w:rFonts w:ascii="Times New Roman;Times;Serif" w:hAnsi="Times New Roman;Times;Serif"/>
          <w:b/>
          <w:i w:val="false"/>
          <w:caps/>
          <w:sz w:val="20"/>
        </w:rPr>
        <w:t>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supplement. The information incorporated by reference is considered to be a part of this prospectus supplement, and information that we file later with the SEC will automatically update and supersede information contained in this prospectus supplement and the accompanying prospectus.</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31, 2025;</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fiscal quarters ended </w:t>
            </w:r>
            <w:hyperlink r:id="rId4">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xml:space="preserve"> filed with the SEC on May 16, 2025, August 14, 2025 and November 14, 2025, respectively;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January 3,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5,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27,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10,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24,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28,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May 8,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3,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13,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24,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July 21,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July 29,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July 30,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September 4,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October 6,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October 15, 2025</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October 16,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20,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October 21,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November 5, 2025</w:t>
              </w:r>
            </w:hyperlink>
            <w:r>
              <w:rPr>
                <w:rFonts w:ascii="Times New Roman;Times;Serif" w:hAnsi="Times New Roman;Times;Serif"/>
                <w:b w:val="false"/>
                <w:i w:val="false"/>
                <w:caps w:val="false"/>
                <w:smallCaps w:val="false"/>
                <w:sz w:val="20"/>
              </w:rPr>
              <w:t xml:space="preserve"> and </w:t>
            </w:r>
            <w:hyperlink r:id="rId29">
              <w:r>
                <w:rPr>
                  <w:rStyle w:val="InternetLink"/>
                  <w:rFonts w:ascii="Times New Roman;Times;Serif" w:hAnsi="Times New Roman;Times;Serif"/>
                  <w:b w:val="false"/>
                  <w:i w:val="false"/>
                  <w:caps w:val="false"/>
                  <w:smallCaps w:val="false"/>
                  <w:sz w:val="20"/>
                </w:rPr>
                <w:t>December 18, 2025</w:t>
              </w:r>
            </w:hyperlink>
            <w:r>
              <w:rPr>
                <w:rFonts w:ascii="Times New Roman;Times;Serif" w:hAnsi="Times New Roman;Times;Serif"/>
                <w:b w:val="false"/>
                <w:i w:val="false"/>
                <w:caps w:val="false"/>
                <w:smallCaps w:val="false"/>
                <w:sz w:val="20"/>
              </w:rPr>
              <w:t xml:space="preserve"> and on Form 8-K/A filed with the SEC on </w:t>
            </w:r>
            <w:hyperlink r:id="rId30">
              <w:r>
                <w:rPr>
                  <w:rStyle w:val="InternetLink"/>
                  <w:rFonts w:ascii="Times New Roman;Times;Serif" w:hAnsi="Times New Roman;Times;Serif"/>
                  <w:b w:val="false"/>
                  <w:i w:val="false"/>
                  <w:caps w:val="false"/>
                  <w:smallCaps w:val="false"/>
                  <w:sz w:val="20"/>
                </w:rPr>
                <w:t>October 16, 2025</w:t>
              </w:r>
            </w:hyperlink>
            <w:r>
              <w:rPr>
                <w:rFonts w:ascii="Times New Roman;Times;Serif" w:hAnsi="Times New Roman;Times;Serif"/>
                <w:b w:val="false"/>
                <w:i w:val="false"/>
                <w:caps w:val="false"/>
                <w:smallCaps w:val="false"/>
                <w:sz w:val="20"/>
              </w:rPr>
              <w:t>;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common stock of the Company contained in our Registration Statement on </w:t>
            </w:r>
            <w:hyperlink r:id="rId3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August 10, 2021 under Section 12(b) of the Exchange Act including any amendments or reports filed for the purpose of updating such description, including </w:t>
            </w:r>
            <w:hyperlink r:id="rId32">
              <w:r>
                <w:rPr>
                  <w:rStyle w:val="InternetLink"/>
                  <w:rFonts w:ascii="Times New Roman;Times;Serif" w:hAnsi="Times New Roman;Times;Serif"/>
                  <w:b w:val="false"/>
                  <w:i w:val="false"/>
                  <w:caps w:val="false"/>
                  <w:smallCaps w:val="false"/>
                  <w:sz w:val="20"/>
                </w:rPr>
                <w:t>Exhibit 4.18</w:t>
              </w:r>
            </w:hyperlink>
            <w:r>
              <w:rPr>
                <w:rFonts w:ascii="Times New Roman;Times;Serif" w:hAnsi="Times New Roman;Times;Serif"/>
                <w:b w:val="false"/>
                <w:i w:val="false"/>
                <w:caps w:val="false"/>
                <w:smallCaps w:val="false"/>
                <w:sz w:val="20"/>
              </w:rPr>
              <w:t xml:space="preserve"> to our Annual Report </w:t>
            </w:r>
            <w:hyperlink r:id="rId3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31, 2025.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supplement but prior to the termination of the offering of the securities hereunder will also be considered to be incorporated by reference into this prospectus supplement from the date of the filing of these reports and documents, and will supersede the information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all reports, exhibits and other information that we “furnish” to the SEC will not be considered incorporated by reference into this prospectus supplement. Any statement contained in a document incorporated by reference in this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oral or written request, with a copy of any or all reports, proxy statements and other documents we file with the SEC, as well as any or all of the documents incorporated by reference in this prospectus supplement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Dragonfly Energy Holdings Corp.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47875" cy="981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2047875"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 You should carefully consider the risks that we refer you to under the section captioned “Risk Factors” in this prospectus on page 3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November 24, 2023.</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630"/>
        <w:gridCol w:w="245"/>
      </w:tblGrid>
      <w:tr>
        <w:trPr/>
        <w:tc>
          <w:tcPr>
            <w:tcW w:w="563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630"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63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63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sz w:val="20"/>
                </w:rPr>
                <w:t>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63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63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sz w:val="20"/>
                </w:rPr>
                <w:t>THE SECURITIES WE MAY OFFER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63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sz w:val="20"/>
                </w:rPr>
                <w:t>DESCRIPTION OF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63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63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sz w:val="20"/>
                </w:rPr>
                <w:t>DESCRIPTION OF STOCK WARRANTS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63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sz w:val="20"/>
                </w:rPr>
                <w:t>DESCRIPTION OF SUBSCRIPTION RIGHTS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63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63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FORMS OF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63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sz w:val="20"/>
                </w:rPr>
                <w:t>PLAN OF DISTRIBUTION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63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63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63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sz w:val="20"/>
                </w:rPr>
                <w:t>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63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sz w:val="20"/>
                </w:rPr>
                <w:t>INCORPORATION OF CERTAIN INFORMATION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is referred to herein as “Dragonfly Energy,” “the Company,” “we,” “us,” and “our,” unless the context otherwise indicates.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03"/>
      <w:bookmarkEnd w:id="15"/>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Chardan NexTech 2 Acquisition Corp., a Delaware company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and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consummated the merger pursuant to the Agreement and Plan of Merger, dated as of May 15, 2022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CNTQ, Bronco Merger Sub, Inc., a Delaware corporation and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Legacy Dragonfly. Pursuant to the Business Combination Agreement, Merger Sub merged with and into Legacy Dragonfly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Jumpstart Our Business Startups Act of 2012 (the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04"/>
      <w:bookmarkEnd w:id="16"/>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a_005"/>
      <w:bookmarkEnd w:id="17"/>
      <w:r>
        <w:rPr>
          <w:rFonts w:ascii="Times New Roman;Times;Serif" w:hAnsi="Times New Roman;Times;Serif"/>
          <w:b/>
          <w:i w:val="false"/>
          <w:caps/>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We have not authorized any other person to provide you with different information. If anyone provides you with different or inconsistent information, you should not rely upon 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06"/>
      <w:bookmarkEnd w:id="1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07"/>
      <w:bookmarkEnd w:id="19"/>
      <w:r>
        <w:rPr>
          <w:rFonts w:ascii="Times New Roman;Times;Serif" w:hAnsi="Times New Roman;Times;Serif"/>
          <w:b/>
          <w:i w:val="false"/>
          <w:caps/>
          <w:sz w:val="20"/>
        </w:rPr>
        <w:t>THE SECURITIES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720" w:right="0" w:hanging="36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common stock or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shares of common stock, preferred stock or debt securities;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combination of the securities listed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08"/>
      <w:bookmarkEnd w:id="20"/>
      <w:r>
        <w:rPr>
          <w:rFonts w:ascii="Times New Roman;Times;Serif" w:hAnsi="Times New Roman;Times;Serif"/>
          <w:b/>
          <w:i w:val="false"/>
          <w:caps/>
          <w:sz w:val="20"/>
        </w:rPr>
        <w:t>DESCRIPTION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Articles of Incorporation, which consists of 170,000,000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there were 59,550,812 shares of common stock outstanding and no shares of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public warrants to purchase 9,487,500 shares of our common stock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each warrant holder;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have certain anti-dilution and adjustment rights upon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warrants to purchase 4,627,858 shares of our common stock (the “</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to an affiliate of Chardan NexTech Investments 2 LLC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5110(g), as long as Sponsor or any of its related persons beneficially own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warrants to purchase 2,593,056 shares of our common stock at an exercise price of $0.01 per share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Penny Warrants to purchase up to 597,834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2023, we issued warrants to purchase 11,405,000 shares of our common stock at an exercise price of $2.00 per share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in an underwritten public offering (the “</w:t>
      </w:r>
      <w:r>
        <w:rPr>
          <w:rFonts w:ascii="Times New Roman;Times;Serif" w:hAnsi="Times New Roman;Times;Serif"/>
          <w:b/>
          <w:i w:val="false"/>
          <w:caps w:val="false"/>
          <w:smallCaps w:val="false"/>
          <w:sz w:val="20"/>
        </w:rPr>
        <w:t>June 2023 Offering</w:t>
      </w:r>
      <w:r>
        <w:rPr>
          <w:rFonts w:ascii="Times New Roman;Times;Serif" w:hAnsi="Times New Roman;Times;Serif"/>
          <w:b w:val="false"/>
          <w:i w:val="false"/>
          <w:caps w:val="false"/>
          <w:smallCaps w:val="false"/>
          <w:sz w:val="20"/>
        </w:rPr>
        <w:t>”). The Investor Warrants expire on June 22, 2028 and were immediately 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Investor Warrants to purchase up to 11,131,900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Underwriters’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570,250 underwriters’ warrants issued in connection with our June 2023 Offering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Public Warrants is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authorizes a total of 5,000,000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Articles of Incorporation, the Bylaws and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Articles of Incorporation, we have not opted out of the business combination provisions of NRS 78.411 to 78.444,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 and our Public Warrants are currently listed on the Nasdaq Capital Market under the symbol “DFLIW”.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09"/>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currency or composite currency and denominations;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debt securities will be issued and, if an index formula or other method is used, the method for determining amounts of principal or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other dates, if any, on which principal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subordinated debt or any combination thereof, and the terms of any subordination;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interest will accrue and on which interest will be payable, and the record dates for the payment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principal and interest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mandatory or optional redemption by us or any third party including any sinking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redemption at the option of holders or put by the 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indemnity provisions;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provide that payments of principal or interest may be made in a currency other than that in which the debt securities are denominated, the manner for determining such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payable upon acceleration of a Discounted Debt Security (as defined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debt securities may be defeased;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the indentures;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electronic issuance of debt securities or for the issuance of debt securities in uncertificated form;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issued as registered debt securities or uncertificated debt securities, in such denominations as specified in the terms of the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pStyle w:val="TextBody"/>
        <w:bidi w:val="0"/>
        <w:spacing w:before="0" w:after="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covenants that may apply to a particular series of debt securities will be described in the prospectus supplement relating thereto.</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Obligor</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pStyle w:val="TextBody"/>
        <w:bidi w:val="0"/>
        <w:spacing w:before="0" w:after="0"/>
        <w:ind w:left="144" w:right="144"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organized under the laws of the United States or a jurisdiction within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assumes by supplemental indenture all of our obligations under the relevant indenture, the debt securities and any coupons;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Default (as defined below) exists;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opinion of counsel stating that the transaction complies with the foregoing requirements and that all conditions precedent provided for in the indenture relating to the transaction have been complied with.</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successor will be substituted for us, and thereafter all of our obligations under the relevant indenture, the debt securities and any coupons will terminate.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these limitations shall not apply if our board of directors makes a good faith determination that the principal purpose of the transaction is to change our state of incorporation.</w:t>
      </w:r>
    </w:p>
    <w:p>
      <w:pPr>
        <w:pStyle w:val="TextBody"/>
        <w:bidi w:val="0"/>
        <w:spacing w:before="0" w:after="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and Remedies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establishing the series otherwise provides (in which event the prospectus supplement will so state), an “Event of Default” with respect to a series of debt securities will occur if:</w:t>
      </w:r>
    </w:p>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any payment of interest on any debt securities of such series when the same becomes due and payable and the default continues for a period of 30 days;</w:t>
            </w:r>
          </w:p>
        </w:tc>
      </w:tr>
    </w:tbl>
    <w:p>
      <w:pPr>
        <w:pStyle w:val="TextBody"/>
        <w:bidi w:val="0"/>
        <w:spacing w:before="0" w:after="0"/>
        <w:ind w:left="144" w:right="144"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tc>
      </w:tr>
    </w:tbl>
    <w:p>
      <w:pPr>
        <w:pStyle w:val="TextBody"/>
        <w:bidi w:val="0"/>
        <w:spacing w:before="0" w:after="0"/>
        <w:ind w:left="144" w:right="144"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performance of any of our other agreements applicable to the series and the default continues for 30 days after the notice specified below;</w:t>
            </w:r>
          </w:p>
        </w:tc>
      </w:tr>
    </w:tbl>
    <w:p>
      <w:pPr>
        <w:pStyle w:val="TextBody"/>
        <w:bidi w:val="0"/>
        <w:spacing w:before="0" w:after="0"/>
        <w:ind w:left="144" w:right="144" w:firstLine="5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or decree under any Bankruptcy Law (as defined below) that:</w:t>
            </w:r>
          </w:p>
        </w:tc>
      </w:tr>
    </w:tbl>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for relief against us in an involuntary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a Custodian (as defined below) for us or for any substantial part of our property,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the winding up or liquidation of us, and the order or decree remains unstayed and in effect for 90 consecutive days;</w:t>
            </w:r>
          </w:p>
        </w:tc>
      </w:tr>
    </w:tbl>
    <w:p>
      <w:pPr>
        <w:pStyle w:val="TextBody"/>
        <w:bidi w:val="0"/>
        <w:spacing w:before="0" w:after="0"/>
        <w:ind w:left="144" w:right="144"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or within the meaning of any Bankruptcy Law:</w:t>
            </w:r>
          </w:p>
        </w:tc>
      </w:tr>
    </w:tbl>
    <w:p>
      <w:pPr>
        <w:pStyle w:val="TextBody"/>
        <w:bidi w:val="0"/>
        <w:spacing w:before="0" w:after="0"/>
        <w:ind w:left="864" w:right="144" w:hanging="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275"/>
        <w:gridCol w:w="7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a 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entry of an order for relief against us in an involuntary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appointment of a Custodian for us or for any substantial part of our property,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general assignment for the benefit of our creditors; or</w:t>
            </w:r>
          </w:p>
        </w:tc>
      </w:tr>
    </w:tbl>
    <w:p>
      <w:pPr>
        <w:pStyle w:val="TextBody"/>
        <w:bidi w:val="0"/>
        <w:spacing w:before="0" w:after="0"/>
        <w:ind w:left="144" w:right="144"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occurs any other Event of Default provided for in such series.</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of the United States Code or any similar Federal or State law for the relief of debtors. The term “Custodian” means any receiver, trustee, assignee, liquidator or a similar official under any Bankruptcy Law.</w:t>
      </w:r>
    </w:p>
    <w:p>
      <w:pPr>
        <w:pStyle w:val="TextBody"/>
        <w:bidi w:val="0"/>
        <w:spacing w:before="0" w:after="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have cross-default provisions. Thus, a default by us on any other debt, including any other series of debt securities, would not constitute an Event of Default.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or any coupons of the series may be amended, and any Default may be waived as follows: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fixed maturity of or the time for payment of interest on any debt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premium or interest payable with respect to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of payment of a debt security or the currency in which the principal or interest on a debt security is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for calculating any redemption or repurchase price with respect to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 to receive payment of principal and interest or to institute suit for the enforcement of any such payment;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debt securities whose holders must consent to an amendment or waiver;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materially adversely affects the right to convert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in payment of principal of or interest on a debt security;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rights with respect to redemption or repurchase of a debt security.</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securityholder, the indentures or the debt securities may be amended to:</w:t>
      </w:r>
    </w:p>
    <w:p>
      <w:pPr>
        <w:pStyle w:val="TextBody"/>
        <w:bidi w:val="0"/>
        <w:spacing w:before="0" w:after="0"/>
        <w:ind w:left="144" w:right="144" w:firstLine="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assumption of our obligations to securityholders in the event of a merger or consolidation requiring such assumption;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omission, defect or inconsistency;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terms of the debt securities to the description thereof in the prospectus and prospectus supplement offering such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series and establish its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acceptance of appointment by a successor trustee or to facilitate the administration of the trusts by more than one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uncertificated or unregistered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does not adversely affect the rights of any securityholder;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our covenants;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other change to the indentures so long as no debt securities are outstanding.</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pStyle w:val="TextBody"/>
        <w:bidi w:val="0"/>
        <w:spacing w:before="0" w:after="0"/>
        <w:ind w:left="144" w:right="144"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New York law, except to the extent that the Trust Indenture Act of 1939 is applicable.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_010"/>
      <w:bookmarkEnd w:id="22"/>
      <w:r>
        <w:rPr>
          <w:rFonts w:ascii="Times New Roman;Times;Serif" w:hAnsi="Times New Roman;Times;Serif"/>
          <w:b/>
          <w:i w:val="false"/>
          <w:caps/>
          <w:sz w:val="20"/>
        </w:rPr>
        <w:t>DESCRIPTION OF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series of warrants that are offered by this prospectus will describe, among other things, the following terms to the extent they are applicable to that series of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or preferred stock, if any, issued with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warrants and any related shares of our common or preferred stock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warrants,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or preferred stock which may be purchased upon exercise of the warrants and the price or prices at which the shares may be purchased upon exercise;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begin and the date on which the right will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United States federal income tax considerations applicable to the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warrants,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provisions of the warrants,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if any, for any warrants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1"/>
      <w:bookmarkEnd w:id="23"/>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our equity securities or debt securities upon the exercise of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to be issued to each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our equity securities and debt securities which may be purchased per each subscription right;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ind w:left="36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a_012"/>
      <w:bookmarkEnd w:id="24"/>
      <w:r>
        <w:rPr>
          <w:rFonts w:ascii="Times New Roman;Times;Serif" w:hAnsi="Times New Roman;Times;Serif"/>
          <w:b/>
          <w:i w:val="false"/>
          <w:caps/>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 agreement governing the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considerations relevant to the units;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3"/>
      <w:bookmarkEnd w:id="25"/>
      <w:r>
        <w:rPr>
          <w:rFonts w:ascii="Times New Roman;Times;Serif" w:hAnsi="Times New Roman;Times;Serif"/>
          <w:b/>
          <w:i w:val="false"/>
          <w:caps w:val="false"/>
          <w:smallCaps w:val="false"/>
          <w:sz w:val="20"/>
        </w:rPr>
        <w:t>FORMS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Registered Global Securities</w:t>
      </w:r>
      <w:r>
        <w:rPr>
          <w:rFonts w:ascii="Times New Roman;Times;Serif" w:hAnsi="Times New Roman;Times;Serif"/>
          <w:b w:val="false"/>
          <w:i w:val="false"/>
          <w:caps w:val="false"/>
          <w:smallCaps w:val="false"/>
          <w:sz w:val="20"/>
        </w:rPr>
        <w:t>. We may issue the registered debt securities and, to the extent applicable, warrants, subscription rights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a_014"/>
      <w:bookmarkEnd w:id="26"/>
      <w:r>
        <w:rPr>
          <w:rFonts w:ascii="Times New Roman;Times;Serif" w:hAnsi="Times New Roman;Times;Serif"/>
          <w:b/>
          <w:i w:val="false"/>
          <w:caps/>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Offering and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accompanying this prospectus, we may sell the securities being offered hereby, from time to time, by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underwriting syndicates represented by managing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underwriters without a syndicate for them to offer and sell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dealers or agents;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investors directly in negotiated sales or in competitively bid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Offerings of securities covered by this prospectus also may be made into an existing trading market for those securities in transactions at other than a fixed price,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through the facilities of Nasdaq or the Nasdaq Capital Market or any other securities exchange or quotation or trading service on which those securities may be listed, quoted, or traded at the time of sale;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a market maker other than on the securities exchanges or quotation or trading services set forth above.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offered securities and the proceeds to us from such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commissions or agency fees and other items constituting underwriters’ or agents’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such offered securities may be listed;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agent or dealer involved in the offer and sale of any series of the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fixed prices, which may be 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the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set forth the manner and terms of an offering of securities including:</w:t>
      </w:r>
    </w:p>
    <w:p>
      <w:pPr>
        <w:pStyle w:val="TextBody"/>
        <w:bidi w:val="0"/>
        <w:spacing w:before="0" w:after="0"/>
        <w:ind w:left="0" w:right="0" w:firstLine="72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that offering is being made to underwriters, through agents or directly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and procedures for any auction or bidding process, if used;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price or initial public offering price;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we anticipate from the sale of the securities, if 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concessions allowed or reallowed to dealers may be changed intermittently.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offered securities directly to institutional investors or others. In this case, no underwriters or agents would be involved. The terms of such sales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any participating broker, dealer, agent or underwriter;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securities involved;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securities were sold;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such securities may be listed;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paid or discounts or concessions allowed to any such broker, dealer, agent or underwriter, where applicable;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facts material to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part of this prospectus, any applicable prospectus supplement or any applicable pricing supplement or the registration statement of which they form a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approved or endorsed by us or by any agent or dealer in its capacity as an agent or dealer, except, in each case, with respect to the respective website maintained by such entity;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not be relied upon by investors.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sell all or any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be used in connection with any issuance of common stock or preferred stock upon exercise of a warrant if such issuance is not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5"/>
      <w:bookmarkEnd w:id="27"/>
      <w:r>
        <w:rPr>
          <w:rFonts w:ascii="Times New Roman;Times;Serif" w:hAnsi="Times New Roman;Times;Serif"/>
          <w:b/>
          <w:i w:val="false"/>
          <w:caps/>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6"/>
      <w:bookmarkEnd w:id="28"/>
      <w:r>
        <w:rPr>
          <w:rFonts w:ascii="Times New Roman;Times;Serif" w:hAnsi="Times New Roman;Times;Serif"/>
          <w:b/>
          <w:i w:val="false"/>
          <w: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7"/>
      <w:bookmarkEnd w:id="29"/>
      <w:r>
        <w:rPr>
          <w:rFonts w:ascii="Times New Roman;Times;Serif" w:hAnsi="Times New Roman;Times;Serif"/>
          <w:b/>
          <w:i w:val="false"/>
          <w:caps/>
          <w:sz w:val="20"/>
        </w:rPr>
        <w:t>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Denis Phares, Chairman of the Board, President,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(775) 622-3488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8"/>
      <w:bookmarkEnd w:id="30"/>
      <w:r>
        <w:rPr>
          <w:rFonts w:ascii="Times New Roman;Times;Serif" w:hAnsi="Times New Roman;Times;Serif"/>
          <w:b/>
          <w:i w:val="false"/>
          <w:caps/>
          <w:sz w:val="20"/>
        </w:rPr>
        <w:t>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2022, as filed with the SEC on </w:t>
            </w:r>
            <w:hyperlink r:id="rId35">
              <w:r>
                <w:rPr>
                  <w:rStyle w:val="InternetLink"/>
                  <w:rFonts w:ascii="Times New Roman;Times;Serif" w:hAnsi="Times New Roman;Times;Serif"/>
                  <w:b w:val="false"/>
                  <w:i w:val="false"/>
                  <w:caps w:val="false"/>
                  <w:smallCaps w:val="false"/>
                  <w:sz w:val="20"/>
                </w:rPr>
                <w:t>April 17, 2023</w:t>
              </w:r>
            </w:hyperlink>
            <w:r>
              <w:rPr>
                <w:rFonts w:ascii="Times New Roman;Times;Serif" w:hAnsi="Times New Roman;Times;Serif"/>
                <w:b w:val="false"/>
                <w:i w:val="false"/>
                <w:caps w:val="false"/>
                <w:smallCaps w:val="false"/>
                <w:sz w:val="20"/>
              </w:rPr>
              <w:t xml:space="preserve">, as amended on </w:t>
            </w:r>
            <w:hyperlink r:id="rId36">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w:t>
            </w:r>
            <w:hyperlink r:id="rId37">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38">
              <w:r>
                <w:rPr>
                  <w:rStyle w:val="InternetLink"/>
                  <w:rFonts w:ascii="Times New Roman;Times;Serif" w:hAnsi="Times New Roman;Times;Serif"/>
                  <w:b w:val="false"/>
                  <w:i w:val="false"/>
                  <w:caps w:val="false"/>
                  <w:smallCaps w:val="false"/>
                  <w:sz w:val="20"/>
                </w:rPr>
                <w:t>June 30, 2023</w:t>
              </w:r>
            </w:hyperlink>
            <w:r>
              <w:rPr>
                <w:rFonts w:ascii="Times New Roman;Times;Serif" w:hAnsi="Times New Roman;Times;Serif"/>
                <w:b w:val="false"/>
                <w:i w:val="false"/>
                <w:caps w:val="false"/>
                <w:smallCaps w:val="false"/>
                <w:sz w:val="20"/>
              </w:rPr>
              <w:t xml:space="preserve"> and </w:t>
            </w:r>
            <w:hyperlink r:id="rId39">
              <w:r>
                <w:rPr>
                  <w:rStyle w:val="InternetLink"/>
                  <w:rFonts w:ascii="Times New Roman;Times;Serif" w:hAnsi="Times New Roman;Times;Serif"/>
                  <w:b w:val="false"/>
                  <w:i w:val="false"/>
                  <w:caps w:val="false"/>
                  <w:smallCaps w:val="false"/>
                  <w:sz w:val="20"/>
                </w:rPr>
                <w:t>September 30, 2023</w:t>
              </w:r>
            </w:hyperlink>
            <w:r>
              <w:rPr>
                <w:rFonts w:ascii="Times New Roman;Times;Serif" w:hAnsi="Times New Roman;Times;Serif"/>
                <w:b w:val="false"/>
                <w:i w:val="false"/>
                <w:caps w:val="false"/>
                <w:smallCaps w:val="false"/>
                <w:sz w:val="20"/>
              </w:rPr>
              <w:t>, as filed with the SEC on May 15, 2023, August 21, 2023 and November 14, 2023,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as filed with the SEC on </w:t>
            </w:r>
            <w:hyperlink r:id="rId40">
              <w:r>
                <w:rPr>
                  <w:rStyle w:val="InternetLink"/>
                  <w:rFonts w:ascii="Times New Roman;Times;Serif" w:hAnsi="Times New Roman;Times;Serif"/>
                  <w:b w:val="false"/>
                  <w:i w:val="false"/>
                  <w:caps w:val="false"/>
                  <w:smallCaps w:val="false"/>
                  <w:sz w:val="20"/>
                </w:rPr>
                <w:t>March 2, 2023</w:t>
              </w:r>
            </w:hyperlink>
            <w:r>
              <w:rPr>
                <w:rFonts w:ascii="Times New Roman;Times;Serif" w:hAnsi="Times New Roman;Times;Serif"/>
                <w:b w:val="false"/>
                <w:i w:val="false"/>
                <w:caps w:val="false"/>
                <w:smallCaps w:val="false"/>
                <w:sz w:val="20"/>
              </w:rPr>
              <w:t xml:space="preserve">, </w:t>
            </w:r>
            <w:hyperlink r:id="rId41">
              <w:r>
                <w:rPr>
                  <w:rStyle w:val="InternetLink"/>
                  <w:rFonts w:ascii="Times New Roman;Times;Serif" w:hAnsi="Times New Roman;Times;Serif"/>
                  <w:b w:val="false"/>
                  <w:i w:val="false"/>
                  <w:caps w:val="false"/>
                  <w:smallCaps w:val="false"/>
                  <w:sz w:val="20"/>
                </w:rPr>
                <w:t>March 9, 2023</w:t>
              </w:r>
            </w:hyperlink>
            <w:r>
              <w:rPr>
                <w:rFonts w:ascii="Times New Roman;Times;Serif" w:hAnsi="Times New Roman;Times;Serif"/>
                <w:b w:val="false"/>
                <w:i w:val="false"/>
                <w:caps w:val="false"/>
                <w:smallCaps w:val="false"/>
                <w:sz w:val="20"/>
              </w:rPr>
              <w:t xml:space="preserve">, </w:t>
            </w:r>
            <w:hyperlink r:id="rId42">
              <w:r>
                <w:rPr>
                  <w:rStyle w:val="InternetLink"/>
                  <w:rFonts w:ascii="Times New Roman;Times;Serif" w:hAnsi="Times New Roman;Times;Serif"/>
                  <w:b w:val="false"/>
                  <w:i w:val="false"/>
                  <w:caps w:val="false"/>
                  <w:smallCaps w:val="false"/>
                  <w:sz w:val="20"/>
                </w:rPr>
                <w:t>March 10, 2023</w:t>
              </w:r>
            </w:hyperlink>
            <w:r>
              <w:rPr>
                <w:rFonts w:ascii="Times New Roman;Times;Serif" w:hAnsi="Times New Roman;Times;Serif"/>
                <w:b w:val="false"/>
                <w:i w:val="false"/>
                <w:caps w:val="false"/>
                <w:smallCaps w:val="false"/>
                <w:sz w:val="20"/>
              </w:rPr>
              <w:t xml:space="preserve">, </w:t>
            </w:r>
            <w:hyperlink r:id="rId43">
              <w:r>
                <w:rPr>
                  <w:rStyle w:val="InternetLink"/>
                  <w:rFonts w:ascii="Times New Roman;Times;Serif" w:hAnsi="Times New Roman;Times;Serif"/>
                  <w:b w:val="false"/>
                  <w:i w:val="false"/>
                  <w:caps w:val="false"/>
                  <w:smallCaps w:val="false"/>
                  <w:sz w:val="20"/>
                </w:rPr>
                <w:t>March 29, 2023</w:t>
              </w:r>
            </w:hyperlink>
            <w:r>
              <w:rPr>
                <w:rFonts w:ascii="Times New Roman;Times;Serif" w:hAnsi="Times New Roman;Times;Serif"/>
                <w:b w:val="false"/>
                <w:i w:val="false"/>
                <w:caps w:val="false"/>
                <w:smallCaps w:val="false"/>
                <w:sz w:val="20"/>
              </w:rPr>
              <w:t xml:space="preserve">, </w:t>
            </w:r>
            <w:hyperlink r:id="rId44">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45">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46">
              <w:r>
                <w:rPr>
                  <w:rStyle w:val="InternetLink"/>
                  <w:rFonts w:ascii="Times New Roman;Times;Serif" w:hAnsi="Times New Roman;Times;Serif"/>
                  <w:b w:val="false"/>
                  <w:i w:val="false"/>
                  <w:caps w:val="false"/>
                  <w:smallCaps w:val="false"/>
                  <w:sz w:val="20"/>
                </w:rPr>
                <w:t>June 21,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and Warrants contained in our Registration Statement on </w:t>
            </w:r>
            <w:hyperlink r:id="rId4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August 10, 2021 under Section 12 of the Exchange Act, including any amendments and reports filed for the purpose of updating such description, including the description of our common stock included as </w:t>
            </w:r>
            <w:hyperlink r:id="rId48">
              <w:r>
                <w:rPr>
                  <w:rStyle w:val="InternetLink"/>
                  <w:rFonts w:ascii="Times New Roman;Times;Serif" w:hAnsi="Times New Roman;Times;Serif"/>
                  <w:b w:val="false"/>
                  <w:i w:val="false"/>
                  <w:caps w:val="false"/>
                  <w:smallCaps w:val="false"/>
                  <w:sz w:val="20"/>
                </w:rPr>
                <w:t>Exhibit 4.7</w:t>
              </w:r>
            </w:hyperlink>
            <w:r>
              <w:rPr>
                <w:rFonts w:ascii="Times New Roman;Times;Serif" w:hAnsi="Times New Roman;Times;Serif"/>
                <w:b w:val="false"/>
                <w:i w:val="false"/>
                <w:caps w:val="false"/>
                <w:smallCaps w:val="false"/>
                <w:sz w:val="20"/>
              </w:rPr>
              <w:t xml:space="preserve"> to our Annual Report on Form 10-K for the year ended December 31, 2022, filed with the SEC on April 17, 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431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1943100" cy="485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Canaccord Genuity</w:t>
      </w:r>
    </w:p>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285"/>
        <w:gridCol w:w="2000"/>
      </w:tblGrid>
      <w:tr>
        <w:trPr/>
        <w:tc>
          <w:tcPr>
            <w:tcW w:w="2285"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Roth Capital Partners</w:t>
            </w:r>
          </w:p>
        </w:tc>
        <w:tc>
          <w:tcPr>
            <w:tcW w:w="200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Yorkville Securities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30,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7986/000164117225001755/form10-k.htm" TargetMode="External"/><Relationship Id="rId4" Type="http://schemas.openxmlformats.org/officeDocument/2006/relationships/hyperlink" Target="https://www.sec.gov/Archives/edgar/data/1847986/000164117225011280/form10-q.htm" TargetMode="External"/><Relationship Id="rId5" Type="http://schemas.openxmlformats.org/officeDocument/2006/relationships/hyperlink" Target="https://www.sec.gov/Archives/edgar/data/1847986/000149315225011982/form10-q.htm" TargetMode="External"/><Relationship Id="rId6" Type="http://schemas.openxmlformats.org/officeDocument/2006/relationships/hyperlink" Target="https://www.sec.gov/Archives/edgar/data/1847986/000149315225023502/form10-q.htm" TargetMode="External"/><Relationship Id="rId7" Type="http://schemas.openxmlformats.org/officeDocument/2006/relationships/hyperlink" Target="https://www.sec.gov/Archives/edgar/data/1847986/000149315225000307/form8-k.htm" TargetMode="External"/><Relationship Id="rId8" Type="http://schemas.openxmlformats.org/officeDocument/2006/relationships/hyperlink" Target="https://www.sec.gov/Archives/edgar/data/1847986/000149315225005013/form8-k.htm" TargetMode="External"/><Relationship Id="rId9" Type="http://schemas.openxmlformats.org/officeDocument/2006/relationships/hyperlink" Target="https://www.sec.gov/Archives/edgar/data/1847986/000149315225008445/form8-k.htm" TargetMode="External"/><Relationship Id="rId10" Type="http://schemas.openxmlformats.org/officeDocument/2006/relationships/hyperlink" Target="https://www.sec.gov/Archives/edgar/data/1847986/000149315225009633/form8-k.htm" TargetMode="External"/><Relationship Id="rId11" Type="http://schemas.openxmlformats.org/officeDocument/2006/relationships/hyperlink" Target="https://www.sec.gov/Archives/edgar/data/1847986/000164117225000298/form8-k.htm" TargetMode="External"/><Relationship Id="rId12" Type="http://schemas.openxmlformats.org/officeDocument/2006/relationships/hyperlink" Target="https://www.sec.gov/Archives/edgar/data/1847986/000164117225006463/form8-k.htm" TargetMode="External"/><Relationship Id="rId13" Type="http://schemas.openxmlformats.org/officeDocument/2006/relationships/hyperlink" Target="https://www.sec.gov/Archives/edgar/data/1847986/000164117225009296/form8-k.htm" TargetMode="External"/><Relationship Id="rId14" Type="http://schemas.openxmlformats.org/officeDocument/2006/relationships/hyperlink" Target="https://www.sec.gov/Archives/edgar/data/1847986/000164117225013480/form8-k.htm" TargetMode="External"/><Relationship Id="rId15" Type="http://schemas.openxmlformats.org/officeDocument/2006/relationships/hyperlink" Target="https://www.sec.gov/Archives/edgar/data/1847986/000164117225015095/form8-k.htm" TargetMode="External"/><Relationship Id="rId16" Type="http://schemas.openxmlformats.org/officeDocument/2006/relationships/hyperlink" Target="https://www.sec.gov/Archives/edgar/data/1847986/000164117225016196/form8-k.htm" TargetMode="External"/><Relationship Id="rId17" Type="http://schemas.openxmlformats.org/officeDocument/2006/relationships/hyperlink" Target="https://www.sec.gov/Archives/edgar/data/1847986/000164117225016938/form8-k.htm" TargetMode="External"/><Relationship Id="rId18" Type="http://schemas.openxmlformats.org/officeDocument/2006/relationships/hyperlink" Target="https://www.sec.gov/Archives/edgar/data/1847986/000164117225017928/form8-k.htm" TargetMode="External"/><Relationship Id="rId19" Type="http://schemas.openxmlformats.org/officeDocument/2006/relationships/hyperlink" Target="https://www.sec.gov/Archives/edgar/data/1847986/000164117225020360/form8-k.htm" TargetMode="External"/><Relationship Id="rId20" Type="http://schemas.openxmlformats.org/officeDocument/2006/relationships/hyperlink" Target="https://www.sec.gov/Archives/edgar/data/1847986/000164117225021256/form8-k.htm" TargetMode="External"/><Relationship Id="rId21" Type="http://schemas.openxmlformats.org/officeDocument/2006/relationships/hyperlink" Target="https://www.sec.gov/Archives/edgar/data/1847986/000164117225021587/form8-k.htm" TargetMode="External"/><Relationship Id="rId22" Type="http://schemas.openxmlformats.org/officeDocument/2006/relationships/hyperlink" Target="https://www.sec.gov/Archives/edgar/data/1847986/000149315225012605/form8-k.htm" TargetMode="External"/><Relationship Id="rId23" Type="http://schemas.openxmlformats.org/officeDocument/2006/relationships/hyperlink" Target="https://www.sec.gov/Archives/edgar/data/1847986/000149315225017102/form8-k.htm" TargetMode="External"/><Relationship Id="rId24" Type="http://schemas.openxmlformats.org/officeDocument/2006/relationships/hyperlink" Target="https://www.sec.gov/Archives/edgar/data/1847986/000149315225018142/form8-k.htm" TargetMode="External"/><Relationship Id="rId25" Type="http://schemas.openxmlformats.org/officeDocument/2006/relationships/hyperlink" Target="https://www.sec.gov/Archives/edgar/data/1847986/000149315225018249/form8-k.htm" TargetMode="External"/><Relationship Id="rId26" Type="http://schemas.openxmlformats.org/officeDocument/2006/relationships/hyperlink" Target="https://www.sec.gov/Archives/edgar/data/1847986/000149315225018691/form8-k.htm" TargetMode="External"/><Relationship Id="rId27" Type="http://schemas.openxmlformats.org/officeDocument/2006/relationships/hyperlink" Target="https://www.sec.gov/Archives/edgar/data/1847986/000149315225018720/form8-k.htm" TargetMode="External"/><Relationship Id="rId28" Type="http://schemas.openxmlformats.org/officeDocument/2006/relationships/hyperlink" Target="https://www.sec.gov/Archives/edgar/data/1847986/000149315225020907/form8-k.htm" TargetMode="External"/><Relationship Id="rId29" Type="http://schemas.openxmlformats.org/officeDocument/2006/relationships/hyperlink" Target="https://www.sec.gov/Archives/edgar/data/1847986/000149315225028282/form8-k.htm" TargetMode="External"/><Relationship Id="rId30" Type="http://schemas.openxmlformats.org/officeDocument/2006/relationships/hyperlink" Target="https://www.sec.gov/Archives/edgar/data/1847986/000149315225018340/form8-ka.htm" TargetMode="External"/><Relationship Id="rId31" Type="http://schemas.openxmlformats.org/officeDocument/2006/relationships/hyperlink" Target="https://www.sec.gov/Archives/edgar/data/1847986/000110465921102670/tm2124648d1_8a12b.htm" TargetMode="External"/><Relationship Id="rId32" Type="http://schemas.openxmlformats.org/officeDocument/2006/relationships/hyperlink" Target="https://www.sec.gov/Archives/edgar/data/1847986/000164117225001755/ex4-18.htm" TargetMode="External"/><Relationship Id="rId33" Type="http://schemas.openxmlformats.org/officeDocument/2006/relationships/hyperlink" Target="https://www.sec.gov/Archives/edgar/data/1847986/000164117225001755/form10-k.htm" TargetMode="External"/><Relationship Id="rId34" Type="http://schemas.openxmlformats.org/officeDocument/2006/relationships/image" Target="media/image2.jpeg"/><Relationship Id="rId35" Type="http://schemas.openxmlformats.org/officeDocument/2006/relationships/hyperlink" Target="https://www.sec.gov/ix?doc=/Archives/edgar/data/1847986/000149315223012533/form10-k.htm" TargetMode="External"/><Relationship Id="rId36" Type="http://schemas.openxmlformats.org/officeDocument/2006/relationships/hyperlink" Target="https://www.sec.gov/ix?doc=/Archives/edgar/data/1847986/000149315223014966/form10-ka.htm" TargetMode="External"/><Relationship Id="rId37" Type="http://schemas.openxmlformats.org/officeDocument/2006/relationships/hyperlink" Target="https://www.sec.gov/Archives/edgar/data/1847986/000149315223017432/form10-q.htm" TargetMode="External"/><Relationship Id="rId38" Type="http://schemas.openxmlformats.org/officeDocument/2006/relationships/hyperlink" Target="https://www.sec.gov/Archives/edgar/data/1847986/000149315223029680/form10-q.htm" TargetMode="External"/><Relationship Id="rId39" Type="http://schemas.openxmlformats.org/officeDocument/2006/relationships/hyperlink" Target="https://www.sec.gov/ix?doc=/Archives/edgar/data/1847986/000149315223041072/form10-q.htm" TargetMode="External"/><Relationship Id="rId40" Type="http://schemas.openxmlformats.org/officeDocument/2006/relationships/hyperlink" Target="https://www.sec.gov/ix?doc=/Archives/edgar/data/0001847986/000149315223006564/form8-k.htm" TargetMode="External"/><Relationship Id="rId41" Type="http://schemas.openxmlformats.org/officeDocument/2006/relationships/hyperlink" Target="https://www.sec.gov/ix?doc=/Archives/edgar/data/0001847986/000149315223007147/form8-k.htm" TargetMode="External"/><Relationship Id="rId42" Type="http://schemas.openxmlformats.org/officeDocument/2006/relationships/hyperlink" Target="https://www.sec.gov/ix?doc=/Archives/edgar/data/0001847986/000149315223007273/form8-k.htm" TargetMode="External"/><Relationship Id="rId43" Type="http://schemas.openxmlformats.org/officeDocument/2006/relationships/hyperlink" Target="https://www.sec.gov/ix?doc=/Archives/edgar/data/0001847986/000149315223009479/form8-k.htm" TargetMode="External"/><Relationship Id="rId44" Type="http://schemas.openxmlformats.org/officeDocument/2006/relationships/hyperlink" Target="https://www.sec.gov/ix?doc=/Archives/edgar/data/0001847986/000149315223010262/form8-k.htm" TargetMode="External"/><Relationship Id="rId45" Type="http://schemas.openxmlformats.org/officeDocument/2006/relationships/hyperlink" Target="https://www.sec.gov/ix?doc=/Archives/edgar/data/0001847986/000149315223014971/form8-k.htm" TargetMode="External"/><Relationship Id="rId46" Type="http://schemas.openxmlformats.org/officeDocument/2006/relationships/hyperlink" Target="https://www.sec.gov/ix?doc=/Archives/edgar/data/0001847986/000149315223021997/form8-k.htm" TargetMode="External"/><Relationship Id="rId47" Type="http://schemas.openxmlformats.org/officeDocument/2006/relationships/hyperlink" Target="https://www.sec.gov/Archives/edgar/data/1847986/000110465921102670/tm2124648d1_8a12b.htm" TargetMode="External"/><Relationship Id="rId48" Type="http://schemas.openxmlformats.org/officeDocument/2006/relationships/hyperlink" Target="https://www.sec.gov/Archives/edgar/data/1847986/000149315223012533/ex4-7.htm" TargetMode="External"/><Relationship Id="rId49" Type="http://schemas.openxmlformats.org/officeDocument/2006/relationships/image" Target="media/image1.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27112</Words>
  <Characters>143352</Characters>
  <CharactersWithSpaces>170615</CharactersWithSpaces>
  <Paragraphs>1884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