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July 29,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DRAGONFLY ENERGY HOLDINGS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40" w:right="339" w:bottom="1440" w:gutter="0" w:footer="0" w:header="0"/>
        </w:sectPr>
      </w:pPr>
    </w:p>
    <w:p>
      <w:pPr>
        <w:spacing w:after="0" w:line="201"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001-40730</w:t>
      </w:r>
    </w:p>
    <w:p>
      <w:pPr>
        <w:spacing w:after="0" w:line="3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85-1873463</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0"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12915 Old Virginia Road</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Reno, Nevada</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89521</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0"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(775) 622-3448</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220" w:type="dxa"/>
            <w:vAlign w:val="bottom"/>
          </w:tcPr>
          <w:p>
            <w:pPr>
              <w:spacing w:after="0"/>
              <w:rPr>
                <w:sz w:val="20"/>
                <w:szCs w:val="20"/>
                <w:color w:val="auto"/>
              </w:rPr>
            </w:pPr>
          </w:p>
        </w:tc>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1"/>
        </w:trPr>
        <w:tc>
          <w:tcPr>
            <w:tcW w:w="42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Common Stock, par value $0.0001 per share</w:t>
            </w:r>
          </w:p>
        </w:tc>
        <w:tc>
          <w:tcPr>
            <w:tcW w:w="240" w:type="dxa"/>
            <w:vAlign w:val="bottom"/>
          </w:tcPr>
          <w:p>
            <w:pPr>
              <w:spacing w:after="0"/>
              <w:rPr>
                <w:sz w:val="16"/>
                <w:szCs w:val="16"/>
                <w:color w:val="auto"/>
              </w:rPr>
            </w:pPr>
          </w:p>
        </w:tc>
        <w:tc>
          <w:tcPr>
            <w:tcW w:w="22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DFLI</w:t>
            </w:r>
          </w:p>
        </w:tc>
        <w:tc>
          <w:tcPr>
            <w:tcW w:w="220" w:type="dxa"/>
            <w:vAlign w:val="bottom"/>
          </w:tcPr>
          <w:p>
            <w:pPr>
              <w:spacing w:after="0"/>
              <w:rPr>
                <w:sz w:val="16"/>
                <w:szCs w:val="16"/>
                <w:color w:val="auto"/>
              </w:rPr>
            </w:pPr>
          </w:p>
        </w:tc>
        <w:tc>
          <w:tcPr>
            <w:tcW w:w="42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Capital Market</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Redeemable warrants, exercisable for common stock</w:t>
            </w:r>
          </w:p>
        </w:tc>
        <w:tc>
          <w:tcPr>
            <w:tcW w:w="24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DFLIW</w:t>
            </w:r>
          </w:p>
        </w:tc>
        <w:tc>
          <w:tcPr>
            <w:tcW w:w="220" w:type="dxa"/>
            <w:vAlign w:val="bottom"/>
          </w:tcPr>
          <w:p>
            <w:pPr>
              <w:spacing w:after="0"/>
              <w:rPr>
                <w:sz w:val="20"/>
                <w:szCs w:val="20"/>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July 29, 2025, Dragonfly Energy Holdings Corp. (the “Company”) issued a press release containing certain preliminary financial results for the quarter ended June 30, 2025. A copy of the press release is furnished as Exhibit 99.1 hereto and is incorporated by reference herein.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of this Current Report on Form 8-K and Exhibit 99.1 attached hereto shall not be deemed “filed” for purposes of Section 18 of the Securities Exchange Act of 1934, as amended (the “Exchange Act”), or otherwise subject to the liabilities of that Section, nor shall such information be deemed incorporated by reference in any filing under the Securities Act of 1933, as amended, or the Exchange Act, except as shall be expressly set forth by specific reference in such a filing.</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was issued a new patent that covers powderized ionically conducting feedstock for constructing solid-state electrochemical cells that incorporate a non-flammable, lithium-conductive composite electrolyte and enables high-performance cycling without the use of traditional liquid or gel polymer electrolytes. These innovations are designed to enhance safety and thermal stability while enabling the scalable manufacturing of next-generation battery cells. The patented electrolyte feedstock supports high energy density and can be adapted for various lithium-ion chemistries.</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4920" w:type="dxa"/>
            <w:vAlign w:val="bottom"/>
          </w:tcPr>
          <w:p>
            <w:pPr>
              <w:spacing w:after="0"/>
              <w:rPr>
                <w:sz w:val="20"/>
                <w:szCs w:val="20"/>
                <w:color w:val="auto"/>
              </w:rPr>
            </w:pP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Exhibit No.</w:t>
            </w:r>
          </w:p>
        </w:tc>
        <w:tc>
          <w:tcPr>
            <w:tcW w:w="120" w:type="dxa"/>
            <w:vAlign w:val="bottom"/>
          </w:tcPr>
          <w:p>
            <w:pPr>
              <w:spacing w:after="0"/>
              <w:rPr>
                <w:sz w:val="24"/>
                <w:szCs w:val="24"/>
                <w:color w:val="auto"/>
              </w:rPr>
            </w:pPr>
          </w:p>
        </w:tc>
        <w:tc>
          <w:tcPr>
            <w:tcW w:w="10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69"/>
        </w:trPr>
        <w:tc>
          <w:tcPr>
            <w:tcW w:w="98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2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of Dragonfly Energy Holdings Corp., dated July 29, 2025.</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20" w:type="dxa"/>
            <w:vAlign w:val="bottom"/>
            <w:gridSpan w:val="2"/>
            <w:shd w:val="clear" w:color="auto" w:fill="0000EE"/>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7640" w:type="dxa"/>
            <w:vAlign w:val="bottom"/>
            <w:gridSpan w:val="2"/>
          </w:tcPr>
          <w:p>
            <w:pPr>
              <w:ind w:left="2040"/>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tc>
      </w:tr>
      <w:tr>
        <w:trPr>
          <w:trHeight w:val="432"/>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Dated: July 29, 2025</w:t>
            </w:r>
          </w:p>
        </w:tc>
        <w:tc>
          <w:tcPr>
            <w:tcW w:w="26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Denis Phares</w:t>
            </w:r>
          </w:p>
        </w:tc>
      </w:tr>
      <w:tr>
        <w:trPr>
          <w:trHeight w:val="191"/>
        </w:trPr>
        <w:tc>
          <w:tcPr>
            <w:tcW w:w="3600" w:type="dxa"/>
            <w:vAlign w:val="bottom"/>
          </w:tcPr>
          <w:p>
            <w:pPr>
              <w:spacing w:after="0"/>
              <w:rPr>
                <w:sz w:val="16"/>
                <w:szCs w:val="16"/>
                <w:color w:val="auto"/>
              </w:rPr>
            </w:pPr>
          </w:p>
        </w:tc>
        <w:tc>
          <w:tcPr>
            <w:tcW w:w="2600" w:type="dxa"/>
            <w:vAlign w:val="bottom"/>
          </w:tcPr>
          <w:p>
            <w:pPr>
              <w:ind w:left="20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Denis Phares</w:t>
            </w:r>
          </w:p>
        </w:tc>
      </w:tr>
      <w:tr>
        <w:trPr>
          <w:trHeight w:val="216"/>
        </w:trPr>
        <w:tc>
          <w:tcPr>
            <w:tcW w:w="3600" w:type="dxa"/>
            <w:vAlign w:val="bottom"/>
          </w:tcPr>
          <w:p>
            <w:pPr>
              <w:spacing w:after="0"/>
              <w:rPr>
                <w:sz w:val="18"/>
                <w:szCs w:val="18"/>
                <w:color w:val="auto"/>
              </w:rPr>
            </w:pPr>
          </w:p>
        </w:tc>
        <w:tc>
          <w:tcPr>
            <w:tcW w:w="26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Interim  Chief  Financial  Officer  and</w:t>
            </w:r>
          </w:p>
        </w:tc>
      </w:tr>
      <w:tr>
        <w:trPr>
          <w:trHeight w:val="234"/>
        </w:trPr>
        <w:tc>
          <w:tcPr>
            <w:tcW w:w="36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r>
        <w:trPr>
          <w:trHeight w:val="432"/>
        </w:trPr>
        <w:tc>
          <w:tcPr>
            <w:tcW w:w="36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156845</wp:posOffset>
            </wp:positionV>
            <wp:extent cx="1705610" cy="3771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0561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Announces Second Quarter 2025 Select Preliminary Results Above Guidance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Strong Preliminary Second Quarter Net Sales Growth of 23% Year over Year</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RENO, Nev. (July 29, 2025) — </w:t>
      </w:r>
      <w:r>
        <w:rPr>
          <w:rFonts w:ascii="Times New Roman" w:cs="Times New Roman" w:eastAsia="Times New Roman" w:hAnsi="Times New Roman"/>
          <w:sz w:val="18"/>
          <w:szCs w:val="18"/>
          <w:color w:val="auto"/>
        </w:rPr>
        <w:t>Dragonfly Energy Holdings Corp. (“Dragonfly Energy” or the “Company”) (Nasdaq: DFLI), an industry leader in energy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storage and battery technology, today announced preliminary second quarter 2025 Net Sales and Adjusted EBITDA.</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anticipates second quarter 2025 Net Sales of $16.2 million and Adjusted EBITDA of $(2.2) million, above guidance of $14.8 million and $(3.5) million, respectively. Anticipated results represent 23% year-over-year growth in Net Sales and an approximately $4 million reduction in Adjusted EBITDA loss.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pleased to report strong preliminary second quarter Net Sales and Adjusted EBITDA that exceeded our guidance, delivering another consecutive quarter of year-over-year net sales growth while continuing to reduce our Adjusted EBITDA loss,” commented Dr. Denis Phares, Chief Executive Officer. “We were also pleased to announce the recent exchange of shares of common stock for all remaining shares of preferred stock, providing us with enhanced operational flexibility and strengthening our foundation for potential sustained net sales growth and profitability.”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EBITDA is a non-GAAP measure and should be considered only as supplemental to, and not as superior to, financial measures prepared in accordance with United States generally accepted accounting principles (“GAAP”). Please refer to the reconciliation of Adjusted EBITDA to its nearest GAAP measure in this release.</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second quarter 2025 Net Sales and Adjusted EBITDA are preliminary and are subject to finalization and adjustment in connection with the preparation of the Company’s Quarterly Report on Form 10-Q for the three months ended June 30, 2025. The preliminary financial results included in this press release have been prepared by, and are the responsibility of, our management. During the course of the preparation of our financial statements and related notes as of and for the three months ended June 30, 2025, we may identify items that would require us to make material adjustments to the preliminary financial results presented herein. As a result, investors should exercise caution in relying on this information and should not draw any inferences from this information. This preliminary financial information should not be viewed as a substitute for full financial statements prepared in accordance with GAAP and reviewed by our independent registered public accounting firm.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2025 Webcast Information</w:t>
      </w:r>
    </w:p>
    <w:p>
      <w:pPr>
        <w:spacing w:after="0" w:line="22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Dragonfly Energy management team will host a conference call to discuss its second quarter 2025 financial and operational results on Thursday, August 14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at 4:30 PM Eastern Time. The call can be accessed live via webcast by clicking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 xml:space="preserve">, or through the Events and Presentations page within the Investor Relations section of Dragonfly Energy’s website at </w:t>
      </w:r>
      <w:r>
        <w:rPr>
          <w:rFonts w:ascii="Times New Roman" w:cs="Times New Roman" w:eastAsia="Times New Roman" w:hAnsi="Times New Roman"/>
          <w:sz w:val="18"/>
          <w:szCs w:val="18"/>
          <w:u w:val="single" w:color="auto"/>
          <w:color w:val="auto"/>
        </w:rPr>
        <w:t>https://investors.dragonflyenergy.com/events-and-presentations/default.aspx</w:t>
      </w:r>
      <w:r>
        <w:rPr>
          <w:rFonts w:ascii="Times New Roman" w:cs="Times New Roman" w:eastAsia="Times New Roman" w:hAnsi="Times New Roman"/>
          <w:sz w:val="18"/>
          <w:szCs w:val="18"/>
          <w:color w:val="auto"/>
        </w:rPr>
        <w:t>. The call can also be accessed live via telephone by dialing (646) 564-2877, toll-free in North America (800) 549-8228, or for international callers +1 (289) 819-1520, and referencing conference ID: 61727. Please log in to the webcast or dial in to the call at least 10 minutes prior to the start of the event.</w:t>
      </w:r>
    </w:p>
    <w:p>
      <w:pPr>
        <w:spacing w:after="0" w:line="19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 archive of the webcast will be available for a period of time shortly after the call on the Events and Presentations page on the Investor Relations section of Dragonfly Energy’s website, along with the earnings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Dragonfly Energy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Dragonfly Energy Holdings Corp. (Nasdaq: DFLI) is a comprehensive lithium battery technology company, specializing in cell manufacturing, battery pack assembly, and full system integration. Through its renowned Battle Born Batteries® brand, Dragonfly Energy has established itself as a frontrunner in the lithium battery industry, with hundreds of thousands of reliable battery packs deployed in the field through top-tier OEMs and a diverse retail customer base. At the forefront of domestic lithium battery cell production, Dragonfly Energy’s patented dry electrode manufacturing process can deliver chemistry-agnostic power solutions for a broad spectrum of applications, including energy storage systems, electric vehicles, and consumer electronics. The Company’s overarching mission is the future deployment of its proprietary, nonflammable, all-solid-state battery cells.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learn more about Dragonfly Energy and its commitment to clean energy advancements, visit </w:t>
      </w:r>
      <w:r>
        <w:rPr>
          <w:rFonts w:ascii="Times New Roman" w:cs="Times New Roman" w:eastAsia="Times New Roman" w:hAnsi="Times New Roman"/>
          <w:sz w:val="18"/>
          <w:szCs w:val="18"/>
          <w:u w:val="single" w:color="auto"/>
          <w:color w:val="auto"/>
        </w:rPr>
        <w:t>investors.dragonflyenergy.com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United States Private Securities Litigation Reform Act of 1995. Forward-looking statements include all statements that are not historical statements of fact and statements regarding the Company’s intent, belief or expectations, including, but not limited to, statements regarding the Company’s guidance for second quarter 2025 preliminary Net Sales and Adjusted EBITDA, results of operations and financial position, planned products and services, business strategy and plans, market size and growth opportunities, competitive position and technological and market trends. Some of these forward-looking statements can be identified by the use of forward-looking words, including “may,” “should,” “expect,” “intend,” “will,” “estimate,” “anticipate,” “believe,” “predict,” “plan,” “targets,” “projects,” “could,” “would,” “continue,” “forecast” or the negatives of these terms or variations of them or similar expressions.</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These forward-looking statements are subject to risks, uncertainties, and other factors (some of which are beyond the Company’s control) which could cause actual results to differ materially from those expressed or implied by such forward-looking statements. Factors that may impact such forward-looking statements include, but are not limited to: the closing of the offerings, the use of proceeds from the offerings, the ability to successfully achieve the thresholds for the additional funding from the offerings, the impact of the offering and the conversion and sale of the shares of common stock underlying the preferred stock on the Company’s stock price, improved recovery in the Company’s core markets, including the RV market; the Company’s ability to successfully increase market penetration into target markets; the Company’s ability to penetrate the heavy-duty trucking and other new markets; the growth of the addressable markets that the Company intends to target; the Company’s ability to retain members of its senior management team and other key personnel; the Company’s ability to maintain relationships with key suppliers including suppliers in China; the Company’s ability to maintain relationships with key customers; the Company’s ability to access capital as and when needed under its $150 million ChEF Equity Facility; the Company’s ability to protect its patents and other intellectual property; the Company’s ability to successfully utilize its patented dry electrode battery manufacturing process and optimize solid state cells as well as to produce commercially viable solid state cells in a timely manner or at all, and to scale to mass production; the Company’s ability to timely achieve the anticipated benefits of its licensing arrangement with Stryten Energy LLC; the Company’s ability to achieve the anticipated benefits of its customer arrangements with THOR Industries and THOR Industries’ affiliated brands (including Keystone RV Company); the Company’s ability to maintain the listing of its common stock and public warrants on the Nasdaq Capital Market; the Russian/Ukrainian conflict; the Company’s ability to generate revenue from future product sales and its ability to achieve and maintain profitability; and the Company’s ability to compete with other manufacturers in the industry and its ability to engage target customers and successfully convert these customers into meaningful orders in the future. These and other risks and uncertainties are described more fully in the sections entitled “Risk Factors” and “Cautionary Note Regarding Forward-Looking Statements” in the Company’s Annual Report on Form 10-K for the year ended December 31, 2024 filed with the SEC and in the Company’s subsequent filings with the SEC available at </w:t>
      </w:r>
      <w:r>
        <w:rPr>
          <w:rFonts w:ascii="Times New Roman" w:cs="Times New Roman" w:eastAsia="Times New Roman" w:hAnsi="Times New Roman"/>
          <w:sz w:val="18"/>
          <w:szCs w:val="18"/>
          <w:u w:val="single" w:color="auto"/>
          <w:color w:val="auto"/>
        </w:rPr>
        <w:t>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jc w:val="both"/>
        <w:spacing w:after="0" w:line="258" w:lineRule="auto"/>
        <w:rPr>
          <w:sz w:val="20"/>
          <w:szCs w:val="20"/>
          <w:color w:val="auto"/>
        </w:rPr>
      </w:pPr>
      <w:r>
        <w:rPr>
          <w:rFonts w:ascii="Times New Roman" w:cs="Times New Roman" w:eastAsia="Times New Roman" w:hAnsi="Times New Roman"/>
          <w:sz w:val="18"/>
          <w:szCs w:val="18"/>
          <w:color w:val="auto"/>
        </w:rPr>
        <w:t>If any of these risks materialize or any of the Company’s assumptions prove incorrect, actual results could differ materially from the results implied by these forward-looking statements. There may be additional risks that the Company presently does not know or that it currently believes are immaterial that could also cause actual results to differ from those contained in the forward-looking statements. All forward-looking statements contained in this press release speak only as of the date they were made. Except to the extent required by law, the Company undertakes no obligation to update such statements to reflect events that occur or circumstances that exist after the date on which they were made.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Use of Non-GAAP Financial Measures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provides non-GAAP financial measures including EBITDA and Adjusted EBITDA as a supplement to GAAP financial information to enhance the overall understanding of the Company’s financial performance and to assist investors in evaluating the Company’s results of operations, period over period. Adjusted non-GAAP measures exclude significant unusual items. Investors should consider these non-GAAP measures as a supplement to, and not a substitute for financial information prepared on a GAAP basis.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EBITDA is considered a non-GAAP financial measure under the rules of the SEC because it excludes certain amounts included in net loss calculated in accordance with GAAP. Specifically, the Company calculates Adjusted EBITDA by EBITDA adjusted to exclude stock-based compensation expense and changes in fair market value of warrant liabilities.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included Adjusted EBITDA because it is a key measure used by Dragonfly’s management team to evaluate its operating performance, generate future operating plans, and make strategic decisions, including those relating to operating expenses. As such, the Company believes Adjusted EBITDA is helpful in highlighting trends in the ongoing core operating results of the business.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Adjusted EBITDA has limitations as an analytical tool, and it should not be considered in isolation or as a substitute for analysis of net loss or other results as reported under GAAP. Some of these limitations are:</w:t>
      </w:r>
    </w:p>
    <w:p>
      <w:pPr>
        <w:spacing w:after="0" w:line="162"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Company’s cash expenditures, future requirements for capital expenditures, or contractual commitments;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changes in, or cash requirements for, the Company’s working capital needs;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Company’s tax expense or the cash requirements to pay taxes;</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amortization and depreciation are non-cash charges, the assets being amortized and depreciated will often have to be replaced in the future and Adjusted EBITDA does not reflect any cash requirements for such replacements;</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should not be construed as an inference that the Company’s future results will be unaffected by unusual or non-recurring items for which the Company may adjust in historical periods; and</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the industry may calculate Adjusted EBITDA differently than the Company does, limiting its usefulness as a comparative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Reconciliations of Non-GAAP Financial Measures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EBITDA and Adjusted EBITDA</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reconciliations of EBITDA and Adjusted EBITDA to the most directly comparable GAAP financial measure for each of the periods indicated.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to Non-GAAP Measures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560" w:type="dxa"/>
            <w:vAlign w:val="bottom"/>
            <w:tcBorders>
              <w:bottom w:val="single" w:sz="8" w:color="auto"/>
            </w:tcBorders>
            <w:gridSpan w:val="5"/>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1"/>
        </w:trPr>
        <w:tc>
          <w:tcPr>
            <w:tcW w:w="52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380" w:type="dxa"/>
            <w:vAlign w:val="bottom"/>
          </w:tcPr>
          <w:p>
            <w:pPr>
              <w:jc w:val="right"/>
              <w:ind w:right="10"/>
              <w:spacing w:after="0" w:line="201" w:lineRule="exact"/>
              <w:rPr>
                <w:sz w:val="20"/>
                <w:szCs w:val="20"/>
                <w:color w:val="auto"/>
              </w:rPr>
            </w:pPr>
            <w:r>
              <w:rPr>
                <w:rFonts w:ascii="Times New Roman" w:cs="Times New Roman" w:eastAsia="Times New Roman" w:hAnsi="Times New Roman"/>
                <w:sz w:val="18"/>
                <w:szCs w:val="18"/>
                <w:b w:val="1"/>
                <w:bCs w:val="1"/>
                <w:color w:val="auto"/>
              </w:rPr>
              <w:t>June 30,</w:t>
            </w: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June 30,</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8"/>
        </w:trPr>
        <w:tc>
          <w:tcPr>
            <w:tcW w:w="5280" w:type="dxa"/>
            <w:vAlign w:val="bottom"/>
          </w:tcPr>
          <w:p>
            <w:pPr>
              <w:spacing w:after="0"/>
              <w:rPr>
                <w:sz w:val="20"/>
                <w:szCs w:val="20"/>
                <w:color w:val="auto"/>
              </w:rPr>
            </w:pPr>
          </w:p>
        </w:tc>
        <w:tc>
          <w:tcPr>
            <w:tcW w:w="30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 Calculation</w:t>
            </w:r>
          </w:p>
        </w:tc>
        <w:tc>
          <w:tcPr>
            <w:tcW w:w="17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Before Taxes</w:t>
            </w:r>
          </w:p>
        </w:tc>
        <w:tc>
          <w:tcPr>
            <w:tcW w:w="3080" w:type="dxa"/>
            <w:vAlign w:val="bottom"/>
            <w:gridSpan w:val="2"/>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(7,034)</w:t>
            </w:r>
          </w:p>
        </w:tc>
        <w:tc>
          <w:tcPr>
            <w:tcW w:w="1440" w:type="dxa"/>
            <w:vAlign w:val="bottom"/>
            <w:gridSpan w:val="2"/>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(13,627)</w:t>
            </w:r>
          </w:p>
        </w:tc>
      </w:tr>
      <w:tr>
        <w:trPr>
          <w:trHeight w:val="216"/>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7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5,442</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4,878</w:t>
            </w:r>
          </w:p>
        </w:tc>
      </w:tr>
      <w:tr>
        <w:trPr>
          <w:trHeight w:val="229"/>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7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491</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331</w:t>
            </w:r>
          </w:p>
        </w:tc>
      </w:tr>
      <w:tr>
        <w:trPr>
          <w:trHeight w:val="209"/>
        </w:trPr>
        <w:tc>
          <w:tcPr>
            <w:tcW w:w="5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17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(1,102)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EBITDA</w:t>
            </w:r>
          </w:p>
        </w:tc>
        <w:tc>
          <w:tcPr>
            <w:tcW w:w="17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w:t>
            </w:r>
          </w:p>
        </w:tc>
      </w:tr>
      <w:tr>
        <w:trPr>
          <w:trHeight w:val="216"/>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Financing expenses</w:t>
            </w:r>
          </w:p>
        </w:tc>
        <w:tc>
          <w:tcPr>
            <w:tcW w:w="17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Prior Period Tariff estimate change</w:t>
            </w:r>
          </w:p>
        </w:tc>
        <w:tc>
          <w:tcPr>
            <w:tcW w:w="1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Litigation Fees and Loss on Settlement</w:t>
            </w:r>
          </w:p>
        </w:tc>
        <w:tc>
          <w:tcPr>
            <w:tcW w:w="17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market value of warrant liability</w:t>
            </w:r>
          </w:p>
        </w:tc>
        <w:tc>
          <w:tcPr>
            <w:tcW w:w="17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(1,689)</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1,981</w:t>
            </w:r>
          </w:p>
        </w:tc>
      </w:tr>
      <w:tr>
        <w:trPr>
          <w:trHeight w:val="210"/>
        </w:trPr>
        <w:tc>
          <w:tcPr>
            <w:tcW w:w="5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7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(2,241)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 Prouty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Szymon Serowiecki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AdvisIRy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DragonflyIR@advisiry.com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2025-07-29T06:37:40Z</dcterms:created>
  <dcterms:modified xsi:type="dcterms:W3CDTF">2025-07-29T06:37:40Z</dcterms:modified>
</cp:coreProperties>
</file>