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ind w:left="2660" w:right="1860" w:hanging="2652"/>
        <w:spacing w:after="0" w:line="500" w:lineRule="auto"/>
        <w:tabs>
          <w:tab w:leader="none" w:pos="2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001-40730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2"/>
        </w:trPr>
        <w:tc>
          <w:tcPr>
            <w:tcW w:w="76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2"/>
          </w:tcPr>
          <w:p>
            <w:pPr>
              <w:jc w:val="center"/>
              <w:ind w:right="20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8"/>
        </w:trPr>
        <w:tc>
          <w:tcPr>
            <w:tcW w:w="768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56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7680" w:type="dxa"/>
            <w:vAlign w:val="bottom"/>
            <w:tcBorders>
              <w:top w:val="single" w:sz="8" w:color="auto"/>
            </w:tcBorders>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7"/>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2025, there were 9,363,145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209"/>
        </w:trPr>
        <w:tc>
          <w:tcPr>
            <w:tcW w:w="106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40" w:type="dxa"/>
            <w:vAlign w:val="bottom"/>
            <w:shd w:val="clear" w:color="auto" w:fill="CCEEFF"/>
          </w:tcPr>
          <w:p>
            <w:pPr>
              <w:spacing w:after="0"/>
              <w:rPr>
                <w:sz w:val="18"/>
                <w:szCs w:val="18"/>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9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 for the three months ended March 31, 2025 and 2024</w:t>
            </w:r>
          </w:p>
        </w:tc>
        <w:tc>
          <w:tcPr>
            <w:tcW w:w="8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7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4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432"/>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280" w:type="dxa"/>
            <w:vAlign w:val="bottom"/>
            <w:tcBorders>
              <w:top w:val="single" w:sz="8" w:color="CCEEFF"/>
              <w:bottom w:val="single" w:sz="8" w:color="auto"/>
            </w:tcBorders>
            <w:gridSpan w:val="11"/>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4,228</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21,728</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16,831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(5,021)</w:t>
            </w: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19,079</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3,333</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2,011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net of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net of debt issuance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33,624</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21,823</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86,962</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Series A, 5,000 shares at $0.0001 par value, authorized, 320 and 0 shares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Undesignated, 4,995,000 and 5,000,000 shares at $0.0001 par value,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of March 31, 2025 and December 31, 2024, respectively, no shares issued and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7,589,642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7,232,650 shares issued and outstanding as of March 31, 2025 and December 31, 2024,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73,305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(88,951)</w:t>
            </w:r>
          </w:p>
        </w:tc>
        <w:tc>
          <w:tcPr>
            <w:tcW w:w="1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(82,154)</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Series A Preferred Stock and Stockholders’ (Deficit)</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74,224</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47"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4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13,356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9,428</w:t>
            </w:r>
          </w:p>
        </w:tc>
        <w:tc>
          <w:tcPr>
            <w:tcW w:w="4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3,928</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6,357</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2,485</w:t>
            </w:r>
          </w:p>
        </w:tc>
        <w:tc>
          <w:tcPr>
            <w:tcW w:w="46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9,842</w:t>
            </w:r>
          </w:p>
        </w:tc>
        <w:tc>
          <w:tcPr>
            <w:tcW w:w="46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(5,914)</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(4,701)</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3,818</w:t>
            </w:r>
          </w:p>
        </w:tc>
        <w:tc>
          <w:tcPr>
            <w:tcW w:w="4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5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(6,797)</w:t>
            </w:r>
          </w:p>
        </w:tc>
        <w:tc>
          <w:tcPr>
            <w:tcW w:w="4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(6,797)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&amp; Diluted</w:t>
            </w:r>
          </w:p>
        </w:tc>
        <w:tc>
          <w:tcPr>
            <w:tcW w:w="16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(0.93)</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7"/>
        </w:trPr>
        <w:tc>
          <w:tcPr>
            <w:tcW w:w="6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&amp; Diluted</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7"/>
              </w:rPr>
              <w:t>7,327,620</w:t>
            </w:r>
          </w:p>
        </w:tc>
        <w:tc>
          <w:tcPr>
            <w:tcW w:w="460" w:type="dxa"/>
            <w:vAlign w:val="bottom"/>
          </w:tcPr>
          <w:p>
            <w:pPr>
              <w:spacing w:after="0"/>
              <w:rPr>
                <w:sz w:val="21"/>
                <w:szCs w:val="21"/>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6,695,587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320" w:type="dxa"/>
            <w:vAlign w:val="bottom"/>
            <w:tcBorders>
              <w:right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Series A</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Additional Paid-In</w:t>
            </w:r>
          </w:p>
        </w:tc>
        <w:tc>
          <w:tcPr>
            <w:tcW w:w="60" w:type="dxa"/>
            <w:vAlign w:val="bottom"/>
          </w:tcPr>
          <w:p>
            <w:pPr>
              <w:spacing w:after="0"/>
              <w:rPr>
                <w:sz w:val="17"/>
                <w:szCs w:val="17"/>
                <w:color w:val="auto"/>
              </w:rPr>
            </w:pPr>
          </w:p>
        </w:tc>
        <w:tc>
          <w:tcPr>
            <w:tcW w:w="13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320" w:type="dxa"/>
            <w:vAlign w:val="bottom"/>
            <w:tcBorders>
              <w:right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Preferred Stock</w:t>
            </w:r>
          </w:p>
        </w:tc>
        <w:tc>
          <w:tcPr>
            <w:tcW w:w="40" w:type="dxa"/>
            <w:vAlign w:val="bottom"/>
          </w:tcPr>
          <w:p>
            <w:pPr>
              <w:spacing w:after="0"/>
              <w:rPr>
                <w:sz w:val="20"/>
                <w:szCs w:val="20"/>
                <w:color w:val="auto"/>
              </w:rPr>
            </w:pP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4"/>
            <w:vMerge w:val="continue"/>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Shares</w:t>
            </w:r>
          </w:p>
        </w:tc>
        <w:tc>
          <w:tcPr>
            <w:tcW w:w="7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19"/>
                <w:szCs w:val="19"/>
                <w:color w:val="auto"/>
              </w:rPr>
            </w:pPr>
          </w:p>
        </w:tc>
        <w:tc>
          <w:tcPr>
            <w:tcW w:w="8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Capital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(Deficit)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7,232,650</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(82,154) $</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 of costs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issued, net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311,887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7,589,642</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(88,951) $</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(15,645)</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6,695,587</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(41,539)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(10,367)</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6,695,587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(51,906)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17,811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FOR THE THREE MONTHS ENDED MARCH 31, 2025 AND 2024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(6,797)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(10,367)</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1,095</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(3,818)</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3,579</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859</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658</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(1,915)</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(669)</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3,379</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and financing lease liabilities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09"/>
        </w:trPr>
        <w:tc>
          <w:tcPr>
            <w:tcW w:w="63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8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6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(778)</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(817)</w:t>
            </w:r>
          </w:p>
        </w:tc>
      </w:tr>
      <w:tr>
        <w:trPr>
          <w:trHeight w:val="210"/>
        </w:trPr>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4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(ATM), net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preferred stock offering, net of fees</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3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(2,046)</w:t>
            </w:r>
          </w:p>
        </w:tc>
        <w:tc>
          <w:tcPr>
            <w:tcW w:w="4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 - beginning of period</w:t>
            </w: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4,849</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cash equivalents - end of period</w:t>
            </w:r>
          </w:p>
        </w:tc>
        <w:tc>
          <w:tcPr>
            <w:tcW w:w="46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3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Items</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7"/>
        </w:trPr>
        <w:tc>
          <w:tcPr>
            <w:tcW w:w="674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46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696</w:t>
            </w:r>
          </w:p>
        </w:tc>
        <w:tc>
          <w:tcPr>
            <w:tcW w:w="3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4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Dragonfly Energy Corp. All significant intercompany transactions and balances are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Form 10-K filed with the SEC on March 31, 2025 of the Company for the annual period ended December 31, 2024. The consolidated balance sheet as of December 31, 2024 was derived from the audited consolidated financial statements as of and for the year then 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 (Continued)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the Company incurred losses from operations and had negative cash flow from operations. As of March 31, 2025, the Company had $2,803 in cash and cash equivalents and a working capital of $9,078. The Company’s ability to achieve profitability and positive cash flow depends on its ability to increase revenue, contain its expenses and maintain compliance with the financial covenants in its outstanding indebtedness agreements. 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6).</w:t>
      </w:r>
      <w:r>
        <w:rPr>
          <w:rFonts w:ascii="Times New Roman" w:cs="Times New Roman" w:eastAsia="Times New Roman" w:hAnsi="Times New Roman"/>
          <w:sz w:val="18"/>
          <w:szCs w:val="18"/>
          <w:color w:val="auto"/>
        </w:rPr>
        <w:t xml:space="preserve"> Between March 2024 and February 2025, the Company obtained multiple waivers from the Term Loan administrative agent and lenders, or the Term Loan Lenders, for noncompliance with the liquidity requirements under the Term Loan.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entered into a Securities Purchase agreement (“Purchase Agreement”). The Purchase Agreement calls for the Company to authorize a new series of convertible preferred stock of the Company designated as the Series A Preferred Stock (as defined below), which shall be convertible into shares of the Company’s common stock, and sell to each buyer an aggregate number of shares of Series A Preferred Stock and 20 warrants, to each buyer, that are convertible to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proceeds amount to $8,000 which the Company will use for working capital, general corporate purposes and mandatory payments on the Term Loan if more than $8,000 is raised. As of March 31, 2025, the Company received $3,500 of the $8,000 less $300 in costs. In addition, investors received warrants to purchase up to 4,000 shares of Series A Preferred Stock at $10,000 per share, potentially providing up to $40 million in future capital.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through June 30,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presented above, strategic initiatives were executed in order to alleviate the substantial doubt, such as the Company’s ability to raise funds through the Purchase Agreement, the maturity extension of the Term Loan, and the absence of any covenants, other than a $2,500 minimum cash requirement, for at least one year from the financial statement issuance date. However,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funds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As of March 31, 2025 and December 31, 2024,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30-90 days of the invoice date and the contracts do not have significant financing components. Trade accounts receivables are recorded gross and are net of any applicable allowance. The allowance for credit losses as of March 31, 2025 and December 31, 2024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Company had a reserve of $260 and $188 as of March 31, 2025 and December 31,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Held for Sale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held for sale are valued at the lower of the carrying amount or the net realizable value estimated at March 31, 2025. Impairment to carrying amounts are recognized to non-operating expenses in the year ending December 31, 2024.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The Company plans to complete the sale in the second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the Company’s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original equipment manufacturers (“OEMs”) are typically due within 30-90 days after shipment. In such instances, the Company records a customer deposit liability. The Company recognizes these contract liabilities as sales after the revenue criteria are met. As of March 31, 2025 and December 31, 2024, the contract liability related to the Company’s customer deposits were approximately $137 and $317,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$306 of the contract liability as of December 31, 2024 during the three months ended March 31, 2025. During the three months ended March 31, 2024, the Company recognized $134 of the contract liability that was recorded as a January 1, 2024 beginning balance.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Dragonfly Energy Corp. (“Legacy Dragonfly”), one of the wholly-owned subsidiaries of the Company, and Battle Born Battery Products, LLC (“Battle Born LLC”), a wholly-owned subsidiary of Legacy Dragonfly, entered into a License Agreement (the “License Agreement”) with Stryten Energy LLC (“Stryten”) (</w:t>
      </w: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color w:val="auto"/>
        </w:rPr>
        <w:t>). The $5,000 initial licensing fee is being recognized as revenue on a straight-line basis over five years. The Company has recorded $250 in revenue related to the License Agreement for the three months ended March 31, 2025. As of March 31, 2025 and December 31, 2024, the contract liability related to the Company’s deferred revenue were approximately $4,333 and $4,583, respectively. As of March 31, 2025, the Company had $1,000 in short term deferred revenue and $3,333 in long-term deferred revenue related to the License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 the Company’s disaggregated revenues by distribution channel:</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34"/>
        </w:trPr>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color w:val="auto"/>
                <w:w w:val="99"/>
              </w:rPr>
              <w:t>March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to customer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7,302</w:t>
            </w:r>
          </w:p>
        </w:tc>
        <w:tc>
          <w:tcPr>
            <w:tcW w:w="60" w:type="dxa"/>
            <w:vAlign w:val="bottom"/>
          </w:tcPr>
          <w:p>
            <w:pPr>
              <w:spacing w:after="0"/>
              <w:rPr>
                <w:sz w:val="18"/>
                <w:szCs w:val="18"/>
                <w:color w:val="auto"/>
              </w:rPr>
            </w:pPr>
          </w:p>
        </w:tc>
      </w:tr>
      <w:tr>
        <w:trPr>
          <w:trHeight w:val="230"/>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fee revenue</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4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the Company’s warranty liability include the number of units sold, historical and anticipated rates of warranty claims, and cost per claim. The Company periodically assesses the adequacy of its recorded warranty liability and adjust the accrual as claims data and historical experience warrants. The Company has assessed the costs of fulfilling its existing assurance type warranties and has determined that the estimated outstanding warranty obligation at March 31, 2025 and December 31, 2024 to be $588 and $514, respectively. The Company incurred warranty expense of $123 and $541 for the three months ended March 31, 2025 and 2024, respectively.</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March 31,</w:t>
            </w:r>
          </w:p>
        </w:tc>
      </w:tr>
      <w:tr>
        <w:trPr>
          <w:trHeight w:val="234"/>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r>
      <w:tr>
        <w:trPr>
          <w:trHeight w:val="23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receivables from Customer A comprised approximately 31% of accounts receivable. As of December 31, 2024, receivables from Customer A and B comprised approximately 15% and 21%, respectively, of accounts receivable. There are no other significant accounts receivable concentration.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sales from Customer A comprised approximately 18% of the Company’s total revenue. For the three months ended March 31, 2024, sales from Customer A comprised approximately 16% of the Company’s total revenue.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(Continued)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payables to Vendor A and Vendor C comprised approximately 27% and 18%, respectively, of accounts payables. As of December 31, 2024, payables to Vendor A, Vendor B, and Vendor C comprised approximately 33%, 11%, and 12%, respectively, of accounts payables.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Vendor A accounted for approximately 21% of the Company’s total purchases. For the three months ended March 31, 2024, Vendor B accounted for approximately 12% of the Company’s total purchases.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w:t>
      </w: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color w:val="auto"/>
        </w:rPr>
        <w:t>). The fair value method requires the Company to estimate the fair value of stock-based payment awards to employees and non-employees on the date of grant using an option pricing model. Stock-based compensation costs are based on the fair value of the underlying option calculated using the Black-Scholes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had a liability of $55 and $55 as of March 31, 2025 and December 31, 2024,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1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52,256,156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2,723,400</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323,591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161,939</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257,255</w:t>
            </w:r>
          </w:p>
        </w:tc>
        <w:tc>
          <w:tcPr>
            <w:tcW w:w="80" w:type="dxa"/>
            <w:vAlign w:val="bottom"/>
            <w:tcBorders>
              <w:bottom w:val="single" w:sz="8" w:color="CCEEFF"/>
            </w:tcBorders>
          </w:tcPr>
          <w:p>
            <w:pPr>
              <w:spacing w:after="0"/>
              <w:rPr>
                <w:sz w:val="19"/>
                <w:szCs w:val="19"/>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56,581,686</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2,998,668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Accounting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its financial instruments, including preferred stock and warrants, to determine if such instruments are derivatives or contain features that qualify as embedded derivatives pursuant to ASC 815, Derivatives and Hedging. Warrants are assessed for classification as either equity or liabilities based on their specific terms and applicable accounting guidance. Equity-classified warrants are recorded within additional paid-in capital at their grant date fair value and are not subsequently remeasured, while liability-classified warrants are recorded at fair value on the issuance date and remeasured at each reporting period, with changes in fair value recognized in earnings. Preferred stock is evaluated to determine whether it should be classified as a liability, equity, or within mezzanine (temporary) equity. This assessment considers the presence of redemption features not solely within the Company’s control or if redemption is deemed probable. Preferred stock classified as mezzanine equity is presented between liabilities and equity on the consolidated balance sheets, with changes to the redemption value accounted for in accordance with ASC 480, Distinguishing Liabilities from Equity. If preferred stock contains embedded derivatives that are not clearly and closely related to the host instrument, such derivatives are bifurcated and measured at fair value, with changes recorded in earnings. Fair value is determined using appropriate valuation techniques, such as the Black-Scholes option pricing model or discounted cash flow analysis, considering the terms of the financial instruments and prevailing market conditions at the reporting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w:t>
      </w: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color w:val="auto"/>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2024,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2023 Public Offering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June 2023 Public Offering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Black-Scholes calculation being utilized on all fair value measurement of warrant liabilities as of March 31, 2025 and December 31, 2024, the fair value warrant liabilities were transferred from Level 3 to Level 2 as of December 31, 2024. This is due to the observable inputs (such as the Company’s stock price and comparable company volatility calculations) included in the Black-Scholes calculation, which makes the fair value measurement of the warrant liabilities more closely aligned with Level 2.</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March 31, 2025 and December 31, 2024 because of the relatively short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March 31, 2025 and December 31, 2024 approximates fair value as the interest rate does not differ significantly from the current market rates available to the Company for similar debt and is considered Level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was no Level 3 activity for the three months ended March 31, 2025.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Warrant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Warrant</w:t>
            </w:r>
          </w:p>
        </w:tc>
      </w:tr>
      <w:tr>
        <w:trPr>
          <w:trHeight w:val="216"/>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Liability - Term</w:t>
            </w:r>
          </w:p>
        </w:tc>
        <w:tc>
          <w:tcPr>
            <w:tcW w:w="12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liability- June Public</w:t>
            </w:r>
          </w:p>
        </w:tc>
      </w:tr>
      <w:tr>
        <w:trPr>
          <w:trHeight w:val="234"/>
        </w:trPr>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Loan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Offering</w:t>
            </w:r>
          </w:p>
        </w:tc>
      </w:tr>
      <w:tr>
        <w:trPr>
          <w:trHeight w:val="210"/>
        </w:trPr>
        <w:tc>
          <w:tcPr>
            <w:tcW w:w="114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114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114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shd w:val="clear" w:color="auto" w:fill="CCEEFF"/>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Condensed Consolidated Statements of Operations.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INVENTORY</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114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bottom w:val="single" w:sz="8" w:color="CCEEFF"/>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$309.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Company began paying monthly rent under the lease on July 24,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was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ectPr>
          <w:pgSz w:w="11900" w:h="16838" w:orient="portrait"/>
          <w:cols w:equalWidth="0" w:num="1">
            <w:col w:w="11240"/>
          </w:cols>
          <w:pgMar w:left="320" w:top="684"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57003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2,985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8.30 years</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8.46 years</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860" w:space="720"/>
            <w:col w:w="4660"/>
          </w:cols>
          <w:pgMar w:left="320" w:top="684"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the Company’s incremental borrowing rate include its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future minimum lease payments under these operating leases are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4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31, 2025</w:t>
            </w:r>
            <w:r>
              <w:rPr>
                <w:rFonts w:ascii="Times New Roman" w:cs="Times New Roman" w:eastAsia="Times New Roman" w:hAnsi="Times New Roman"/>
                <w:sz w:val="29"/>
                <w:szCs w:val="29"/>
                <w:color w:val="auto"/>
                <w:vertAlign w:val="superscript"/>
              </w:rPr>
              <w:t>(1)</w:t>
            </w:r>
          </w:p>
        </w:tc>
        <w:tc>
          <w:tcPr>
            <w:tcW w:w="26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shd w:val="clear" w:color="auto" w:fill="CCEEFF"/>
          </w:tcPr>
          <w:p>
            <w:pPr>
              <w:spacing w:after="0"/>
              <w:rPr>
                <w:sz w:val="22"/>
                <w:szCs w:val="22"/>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2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shd w:val="clear" w:color="auto" w:fill="CCEEFF"/>
          </w:tcPr>
          <w:p>
            <w:pPr>
              <w:spacing w:after="0"/>
              <w:rPr>
                <w:sz w:val="18"/>
                <w:szCs w:val="18"/>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80" w:type="dxa"/>
            <w:vAlign w:val="bottom"/>
            <w:tcBorders>
              <w:bottom w:val="single" w:sz="8" w:color="CCEEFF"/>
            </w:tcBorders>
          </w:tcPr>
          <w:p>
            <w:pPr>
              <w:spacing w:after="0"/>
              <w:rPr>
                <w:sz w:val="19"/>
                <w:szCs w:val="19"/>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w:t>
            </w:r>
          </w:p>
        </w:tc>
        <w:tc>
          <w:tcPr>
            <w:tcW w:w="80" w:type="dxa"/>
            <w:vAlign w:val="bottom"/>
            <w:shd w:val="clear" w:color="auto" w:fill="CCEEFF"/>
          </w:tcPr>
          <w:p>
            <w:pPr>
              <w:spacing w:after="0"/>
              <w:rPr>
                <w:sz w:val="18"/>
                <w:szCs w:val="18"/>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80" w:type="dxa"/>
            <w:vAlign w:val="bottom"/>
            <w:tcBorders>
              <w:bottom w:val="single" w:sz="8" w:color="CCEEFF"/>
            </w:tcBorders>
          </w:tcPr>
          <w:p>
            <w:pPr>
              <w:spacing w:after="0"/>
              <w:rPr>
                <w:sz w:val="19"/>
                <w:szCs w:val="19"/>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7380" w:type="dxa"/>
            <w:vAlign w:val="bottom"/>
            <w:gridSpan w:val="7"/>
          </w:tcPr>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nine-month period ending December 31, 2025.</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8"/>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Classification</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26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84"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57003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2.59 years</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2.78 years</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860" w:space="720"/>
            <w:col w:w="4660"/>
          </w:cols>
          <w:pgMar w:left="320" w:top="68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used in determining the Company’s incremental borrowing rate include its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2025, the future minimum lease payments under these financing leases are as follows: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7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31, 2025</w:t>
            </w:r>
            <w:r>
              <w:rPr>
                <w:rFonts w:ascii="Times New Roman" w:cs="Times New Roman" w:eastAsia="Times New Roman" w:hAnsi="Times New Roman"/>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nine-month period ending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has agreed to pay LithiumHub a total of $2.5 million, of which approximately $0.6 million will be paid in 2025, and approximately $1.9 million will be paid in 2026, in exchange for a non-exclusive license in LithiumHub Technologies, LLC’s patents rights relating to the Patents-in-Suit. In accordance with the Settlement Agreement, the Company and LithiumHub will terminate the ongoing patent litigation between them. The Settlement Agreement includes no admission of infringement by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an outstanding Term Loan under a Term Loan, Guarantee and Security Agreement (the “Term Loan Agreement”), dated October 7, 2022, with EICF Agent LLC, as agent, and certain lenders. The Term Loan matures on October 7, 2027 and amortizes at a rate of 5% per annum beginning in October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any amendments, the Term Loan accrues interest based on the Company’s senior leverage ratio. From inception through September 30, 2024, interest accrued at a per annum rate equal to adjusted SOFR (subject to a floor of 1.0%) plus 7.0% payable in cash, plus an additional 4.5% to 6.5% payable in kind (“PIK”), depending on the Company’s senior leverage ratio. Effective April 1, 2024, interest payable to lenders subject to the regulations of the U.S. Small Business Administration (with $30,846 of principal outstanding as of that date) is limited to 14.0% per annum, excluding default interest permitted under applicable SBA regulations. From October 1, 2024 through March 31, 2025, interest on the non-SBA regulated portion continued to accrue at adjusted SOFR plus 7.0% payable in cash, and 4.5% to 6.5% payable in kind. Beginning April 1, 2025, interest on all outstanding balances will be payable entirely in cash, at a rate equal to adjusted SOFR plus a margin ranging from 11.5% to 13.5%, depending on the Company’s senior leverage ratio.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interest expense of $3,579 and $3,701, respectively. Amortization of the debt issuance costs amounted to $1,095 and $894, respectively, for the same periods. As of December 31, 2024, the carrying value was $29,646, consisting of $69,974 in principal, plus $15,938 in capitalized PIK interest, net of $56,266 in unamortized debt discount.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first-priority lien on substantially all of the Company’s assets, including certain mortgaged properties.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2025,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the accounting treatment of the Fifth Amendment, the Company applied the guidance under ASC 470-50, “Debt—Modifications and Extinguishments.” Based on the analysis, the Company concluded that the present value of the cash flows under the Amended Term Loan differed by less than 10% from the present value of the remaining cash flows under the original Term Loan. Consequently, the amendment met the criteria for classification as a debt modification.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2025 the future debt maturities are as follows:</w:t>
            </w: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98,342</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costs</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3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$5,000 and will make additional mid-single digit royalty payments to be paid based on net sales to be paid quarterly utilizing the licensed trademarks, with total royalties capped at $25,000.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$5,000 initial licensing fee is being recognized as revenue on a straight-line basis over five years. For the three months ended March 31, 2025, the Company has recorded $250 in revenue related to the amortization of the License Agreement and no royalty payments have been received or earned. As of March 31, 2025, the Company has recorded $1,000 in short-term deferred revenue and $3,333 in long-term deferred revenue related to the license agreement. As of December 31, 2024, the Company has recorded $1,000 in short-term deferred revenue and $3,583 in long-term deferred revenue related to the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Commercial Officer (formerly the Company’s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Commercial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$350,000 (the “Base Salary”) and a discretionary annual bonus of up to 65% of the Base Salary.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Public Warrants are classified as equity and as of March 31, 2025 and December 31, 2024, there were 1,046,948 Public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no public warrants were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 (Underwriter and Investor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underwriting agreement as further described in Note 11 of the financial statements, (the “June 2023 Offering”) the Company issued (i) underwriters warrants to purchase up to an aggregate of 63,362 shares of common stock (the “Underwriters’ Warrants”) which are exercisable upon issuance and will expire on June 20, 2028. The initial exercise price of the Underwriters’ Warrants is $22.50 per share, which equals 125% of the per share public offering price in the June 2023 Offering and (ii) warrants to purchase up to 1,111,111 shares of common stock to the investors in the offering together with shares of common stock (the “Investor Warrants”), at the combined public offering price of $18.00 per share of common stock and accompanying Investor Warrant, less underwriting discounts and commissions.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granted the underwriters a 45-day over-allotment option to purchase up to an additional 166,667 shares of common stock and/or Investor Warrants to purchase up to 166,667 shares of common stock at the public offering price per security, less underwriting discounts and commissions. The underwriters exercised their over-allotment option to purchase an additional 156,112 shares of common stock and Investor Warrants to purchase up to 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1900" w:h="16838" w:orient="portrait"/>
          <w:cols w:equalWidth="0" w:num="1">
            <w:col w:w="11240"/>
          </w:cols>
          <w:pgMar w:left="320" w:top="684"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Warrants: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Underwriters’ Warrants Outstanding,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-120650</wp:posOffset>
            </wp:positionV>
            <wp:extent cx="57003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Underwriters’ Warrants issued</w:t>
      </w:r>
    </w:p>
    <w:p>
      <w:pPr>
        <w:spacing w:after="0" w:line="9"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8"/>
          <w:szCs w:val="18"/>
          <w:color w:val="auto"/>
        </w:rPr>
        <w:t>Underwriters’ Warrants Outstanding,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63,362</w:t>
      </w:r>
    </w:p>
    <w:p>
      <w:pPr>
        <w:spacing w:after="0" w:line="2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63,362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960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102" w:lineRule="exact"/>
        <w:rPr>
          <w:sz w:val="20"/>
          <w:szCs w:val="20"/>
          <w:color w:val="auto"/>
        </w:rPr>
      </w:pPr>
    </w:p>
    <w:p>
      <w:pPr>
        <w:sectPr>
          <w:pgSz w:w="11900" w:h="16838" w:orient="portrait"/>
          <w:cols w:equalWidth="0" w:num="2">
            <w:col w:w="8000" w:space="720"/>
            <w:col w:w="2520"/>
          </w:cols>
          <w:pgMar w:left="320" w:top="684"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166,821 private warrants outstanding as of March 31, 2025 and December 31, 2024, respectively. The Company accounts for the Private Placement Warrants (the “Private Placement Warrants”) issued in connection with the Initial Public Offering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 (Continued)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 (the “Original Penny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Company received a waiver, or the May 2024 Waiver, in regards to its compliance with the fixed charge coverage ratio and maximum senior leverage ratio with respect to the minimum cash requirements (the “Tests”) as of the last day of the quarter ended March 31, 2024. The May 2024 Waiver provided for a one-time issuance of the May 2024 Penny Warrants to purchase up to 283,334 shares of the Company’s common stock,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233,334 shares of the Company’s common stock, at an exercise price of $0.09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333,334 shares of the Company’s common stock, at an exercise price of $0.09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350,000 shares of the Company’s common stock, at an exercise price of $0.01 per share, in connection with the Term Loan Lenders agreement to waive the Tests under the Term Loan for the quarter ended December 31, 2024 and to amend the Term Loan. During the year ended December 31, 2024 the Company issued additional Original Penny Warrants to purchase 2,754 shares of common stock to the Term Loan Lenders in accordance with the anti-dilution provisions of the original penny warrants with respect to certain sales made by the Company under the ChEF Equity Facility. The December 2024 Penny Warrants are immediately exercisable upon issuance and will expire ten years from the date of issuance.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the Company entered into the Fifth Amendment to the Term Loan with the Term Loan Lenders in connection with the February 2025 securities purchase agreement (see </w:t>
      </w: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color w:val="auto"/>
        </w:rPr>
        <w:t>). The Fifth Amendment provided for a one-time issuance the February 2025 Penny Warrants to purchase up to 330,000 shares of the Company’s common stock, at an exercise price of $0.01 per share. The February 2025 Penny Warrants are immediately exercisable upon issuance and will expire ten years from the date of issuance.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May 2024 Penny Warrants, the June 2024 Penny Warrants, the September 2024 Penny Warrants, the December 2024 Penny Warrants and the February 2025 Penny Warrants were valued utilizing a Black-Scholes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May 2024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December</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penny</w:t>
            </w: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2024 penny</w:t>
            </w:r>
          </w:p>
        </w:tc>
        <w:tc>
          <w:tcPr>
            <w:tcW w:w="12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2024 penny</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2025</w:t>
            </w:r>
          </w:p>
        </w:tc>
      </w:tr>
      <w:tr>
        <w:trPr>
          <w:trHeight w:val="234"/>
        </w:trPr>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warrants</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penny warrants</w:t>
            </w:r>
          </w:p>
        </w:tc>
        <w:tc>
          <w:tcPr>
            <w:tcW w:w="12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warrants</w:t>
            </w:r>
          </w:p>
        </w:tc>
        <w:tc>
          <w:tcPr>
            <w:tcW w:w="120" w:type="dxa"/>
            <w:vAlign w:val="bottom"/>
          </w:tcPr>
          <w:p>
            <w:pPr>
              <w:spacing w:after="0"/>
              <w:rPr>
                <w:sz w:val="20"/>
                <w:szCs w:val="20"/>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warrants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penny warrants</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 years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 years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 years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concluded the Penny Warrants are not considered indexed to the Company’s common stock and to be accounted for as liabilities under ASC</w:t>
      </w:r>
    </w:p>
    <w:p>
      <w:pPr>
        <w:spacing w:after="0" w:line="27" w:lineRule="exact"/>
        <w:rPr>
          <w:sz w:val="20"/>
          <w:szCs w:val="20"/>
          <w:color w:val="auto"/>
        </w:rPr>
      </w:pPr>
    </w:p>
    <w:p>
      <w:pPr>
        <w:ind w:firstLine="8"/>
        <w:spacing w:after="0" w:line="260" w:lineRule="auto"/>
        <w:tabs>
          <w:tab w:leader="none" w:pos="3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the estimated fair value is recognized as a liability each reporting period, with changes in the fair value recognized within income each period. There were no Original Penny Warrants outstanding prior to the merger.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warrants from January 1, 2025 to March 31, 2025 and January 1, 2024 to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Public</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Investor</w:t>
            </w:r>
          </w:p>
        </w:tc>
        <w:tc>
          <w:tcPr>
            <w:tcW w:w="1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Private</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Warrants</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2025</w:t>
            </w: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1,412,147</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330,000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63"/>
        </w:trPr>
        <w:tc>
          <w:tcPr>
            <w:tcW w:w="340" w:type="dxa"/>
            <w:vAlign w:val="bottom"/>
          </w:tcPr>
          <w:p>
            <w:pPr>
              <w:spacing w:after="0"/>
              <w:rPr>
                <w:sz w:val="22"/>
                <w:szCs w:val="22"/>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Outstanding, March 31, 2025</w:t>
            </w:r>
          </w:p>
        </w:tc>
        <w:tc>
          <w:tcPr>
            <w:tcW w:w="5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34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1,742,147</w:t>
            </w:r>
          </w:p>
        </w:tc>
        <w:tc>
          <w:tcPr>
            <w:tcW w:w="28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Borders>
              <w:bottom w:val="single" w:sz="8" w:color="CCEEFF"/>
            </w:tcBorders>
          </w:tcPr>
          <w:p>
            <w:pPr>
              <w:spacing w:after="0"/>
              <w:rPr>
                <w:sz w:val="22"/>
                <w:szCs w:val="22"/>
                <w:color w:val="auto"/>
              </w:rPr>
            </w:pPr>
          </w:p>
        </w:tc>
        <w:tc>
          <w:tcPr>
            <w:tcW w:w="140" w:type="dxa"/>
            <w:vAlign w:val="bottom"/>
          </w:tcPr>
          <w:p>
            <w:pPr>
              <w:spacing w:after="0"/>
              <w:rPr>
                <w:sz w:val="22"/>
                <w:szCs w:val="22"/>
                <w:color w:val="auto"/>
              </w:rPr>
            </w:pPr>
          </w:p>
        </w:tc>
      </w:tr>
      <w:tr>
        <w:trPr>
          <w:trHeight w:val="197"/>
        </w:trPr>
        <w:tc>
          <w:tcPr>
            <w:tcW w:w="34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166,821</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1,046,948</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209,391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1,236,878</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March 31, 2024</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ind w:left="520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Convertible Preferred Warrants classified as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2025, the Company issued 20 Private Placement Convertible Preferred Warrants (as defined below) as part of its initial closing of the Private Placement (see Note 10). Each warrant entitles the holder to purchase up to 200 shares of Series A Preferred Stock at an exercise price of $10,000 per share. The warrants are exercisable immediately and expire upon the earliest of: (i) 33 months after the shares of common stock issuable upon conversion of Series A Preferred Stock are registered for resale under the Securities Act, (ii) the occurrence of a Change of Control (as defined in the Certificate of Designation), or (iii) the full redemption of Series A Preferred Stock. The number of underlying shares and the exercise price are subject to adjustment in the event of stock splits, combinations, dividends, reclassifications, or other similar events. Upon exercise of the warrants, the Series A Preferred Stock is convertible into common stock at a conversion price that is subject to a floor of $0.424 per share, pursuant to the terms set forth in the Certificate of Designation.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the Private Placement Convertible Preferred Warrants issued in connection with the initial offering in accordance with the guidance contained in ASC 815-40. Such guidance provides that because the Private Placement Convertible Preferred Warrants do not meet the criteria for equity treatment thereunder, each Private Placement Convertible Preferred Warrant must be recorded as a derivative liability with the initial fair value of approximately $120. This liability is subject to re-measurement at each balance sheet date, with changes recorded in the consolidated statement of operations and comprehensive loss. However, the Company has deemed the fair value at inception as immaterial for initial recognition of the liability and will continue to monitor the change in fair value for subsequent periods. Please see </w:t>
      </w: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color w:val="auto"/>
        </w:rPr>
        <w:t xml:space="preserve"> for more information as related to the aforementioned initial closing of the Private Placement.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Private Placement Convertible Preferred Warrants from January 1, 2025 to March 31, 2025:</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1640"/>
        <w:spacing w:after="0" w:line="257" w:lineRule="auto"/>
        <w:rPr>
          <w:sz w:val="20"/>
          <w:szCs w:val="20"/>
          <w:color w:val="auto"/>
        </w:rPr>
      </w:pPr>
      <w:r>
        <w:rPr>
          <w:rFonts w:ascii="Times New Roman" w:cs="Times New Roman" w:eastAsia="Times New Roman" w:hAnsi="Times New Roman"/>
          <w:sz w:val="18"/>
          <w:szCs w:val="18"/>
          <w:color w:val="auto"/>
        </w:rPr>
        <w:t>Warrants Outstanding, January 1, 2025 Exercise of warrants Warrants issued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Warrants Outstanding, March 31,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Preferred Shares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Common Shares</w:t>
            </w:r>
          </w:p>
        </w:tc>
      </w:tr>
      <w:tr>
        <w:trPr>
          <w:trHeight w:val="216"/>
        </w:trPr>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Underlying</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Underlying (at</w:t>
            </w:r>
          </w:p>
        </w:tc>
      </w:tr>
      <w:tr>
        <w:trPr>
          <w:trHeight w:val="234"/>
        </w:trPr>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Warrants</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Warrants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$1.00 floor)</w:t>
            </w: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30"/>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48,000,000</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48,000,000</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-608330</wp:posOffset>
            </wp:positionV>
            <wp:extent cx="606044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-325120</wp:posOffset>
            </wp:positionV>
            <wp:extent cx="606044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780" w:space="720"/>
            <w:col w:w="5740"/>
          </w:cols>
          <w:pgMar w:left="320" w:top="684"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Company entered into the Purchase Agreement with an institutional investor. Pursuant to the Purchase Agreement, the investor agreed to purchase in a registered direct offering (the “Registered Direct Offering”) from the Company 180 shares of Series A Convertible Preferred Stock, par value $0.0001 per share (the “Series A Preferred Stock”), at a price of $10,000 per share, initially convertible into shares of common stock, par value $0.0001 per share of the Company, at a conversion price of $2.332 per share of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conducted an initial offering, which included the sale of Series A Preferred Stock through a Registered Direct Offering (the “Registered Direct Offering”) and a Private Placement pursuant to the Purchase Agreement (the “Private Placement”). In the Private Placement, the Company agreed to sell: (i) 170 additional shares of Series A Preferred Stock at the same price as in the Registered Direct Offering, with a conversion price of $2.332 per share, and (ii) 20 warrants (the “Private Placement Convertible Preferred Warrants”) to purchase up to 4,000 shares of Series A Preferred Stock at $10,000 per share. The Floor Price for the Series A Preferred Stock sold in the Private Placement is $0.424.These terms are subject to adjustments for corporate events like stock splits.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total, the Company sold 350 shares of Series A Preferred Stock and 20 Private Placement Convertible Preferred Warrants, raising approximately $3.2 million in net proceeds, which will be used for working capital and other general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stockholder approval and registration effectiveness, the investor is required to purchase (the “Second Closing”) an additional 450 shares of Series A Preferred Stock (the “Second Closing Preferred Shares”) at the Second Closing, with terms similar to the Initial Offering, except for the conversion and floor prices, which will be determined.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filed a Certificate of Designation of the Powers, Preferences and Relative, Participating, Optional and Other Restrictions of Series A Convertible Preferred Stock of the Company (the “Certificate of Designation”) with the Secretary of State of the State of Nevada to establish the rights, privileges, preferences, and restrictions of the Series A Preferred Stock. As set forth in the Certificate of Designation, the Company designated 5,000 shares of preferred stock as Series A Preferred Stock. The following is a summary of the principal terms of the Certificate of Designation:</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Each share of Series A Preferred Stock has a stated value of $10,000 per share (the “Series A Stated Value”) and, when issued,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will be fully paid and non-assessable.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Preferred Stock ranks senior to all other Company capital stock for dividends, distributions, and liquidation payments,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approved by the Required Holder (as defined in the Certificate of Designation).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SERIES A PREFERRED STOCK (CONTINUED)</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Series A Preferred Stock holders are entitled to receive 8% annual dividends, starting from issuance, payable quarterly in arrears in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Series A Preferred Stock (defaulting to in-kind unless stated otherwise). If a Triggering Event (as defined in the Certificate of Designation) occurs, the rate increases to up to the lesser of 18% or maximum rate permitted under applicable law until resolved.</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Conversion at Option of Holder</w:t>
      </w:r>
      <w:r>
        <w:rPr>
          <w:rFonts w:ascii="Times New Roman" w:cs="Times New Roman" w:eastAsia="Times New Roman" w:hAnsi="Times New Roman"/>
          <w:sz w:val="18"/>
          <w:szCs w:val="18"/>
          <w:color w:val="auto"/>
        </w:rPr>
        <w:t>. Holders may convert their Series A Preferred Stock into common stock at any time after issuance, subject to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limits and the issuable maximum, at a rate based on the Conversion Amount (as defined below), divided by the Conversion Price (as defined below), and subject to a Floor Price.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Voluntary Adjustment Right</w:t>
      </w:r>
      <w:r>
        <w:rPr>
          <w:rFonts w:ascii="Times New Roman" w:cs="Times New Roman" w:eastAsia="Times New Roman" w:hAnsi="Times New Roman"/>
          <w:sz w:val="18"/>
          <w:szCs w:val="18"/>
          <w:color w:val="auto"/>
        </w:rPr>
        <w:t>. Subject to the rules and regulations of Nasdaq, the Company has the right, at any time, with the written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Holder, to lower the fixed conversion price to any amount and for any period of time deemed appropriate by the Company’s board of directors.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Alternate Conversion at the Holder’s Election</w:t>
      </w:r>
      <w:r>
        <w:rPr>
          <w:rFonts w:ascii="Times New Roman" w:cs="Times New Roman" w:eastAsia="Times New Roman" w:hAnsi="Times New Roman"/>
          <w:sz w:val="18"/>
          <w:szCs w:val="18"/>
          <w:color w:val="auto"/>
        </w:rPr>
        <w:t>. At the holder’s option, at any time, the holder may convert (an “Alternate Conversion”) some or all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Conversion Price varies depending on the issuance circumstances of the Series A Preferred Stock and is subject to adjustments. (i) for Series A Preferred Stocks issued in the Registered Direct Offering and at the initial closing of the Private Placement, the Conversion Price is fixed at $2.332 per share (the “Initial Conversion Price”); (ii) for Series A Preferred Stocks issued at the Second Closing or upon the exercise of a Private Placement Warrant (excluding cases under points (iii) and (iv) below), the Conversion Price is the lower of (x) the Initial Conversion Price and (y) 110% of the last closing trade price on the trading day before the Second Closing, relevant Funding Date, or Exercise Date (as defined in each Private Placement Warrant); (iii) if a Series A Preferred Stock is issued upon warrant exercise when certain equity conditions are not met, the Conversion Price is the lower of (A) $3.50 and (B) 110% of the closing price on the trading day before delivery of the Exercise or Call Notice; And (iv) if warrants are exercised after the Registration Effectiveness Date (as defined in the Certificate of Designation) and the common stock has traded above $10.00 for 20 consecutive trading days, and equity conditions are not met, the Conversion Price will be 110% of the closing price on the trading day before the Exercise or Call Notice. In all cases, the Conversion Price is subject to proportional adjustments in the event of stock splits, dividends, combinations, and/or similar corporate actions and as set forth below under “Other Adjustments” below.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SERIES A PREFERRED STOCK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Floor Price varies based on when and how the Series A Preferred Stock is issued: (i) for Series A Preferred Stocks sold in the Registered Direct Offering, the Floor Price is $1.00; (ii) for Series A Preferred Stocks sold at the initial closing of the Private Placement, it is $0.424, which represents 20% of the Nasdaq Minimum Price of the common stock on the trading day before the Purchase Agreement was signed; (iii) for Series A Preferred Stocks issued after the initial closing—including those in the Second Closing—the Floor Price is 20% of the Nasdaq Minimum Price as of the trading day immediately before issuance. If, after six months from the initial issuance date, the current Floor Price exceeds the Adjusted Floor Price (as defined in the Certificate of Designation), the Required Holder may elect to lower the Floor Price to the Adjusted Floor Price, subject to Nasdaq approval. Both the Floor Price and Adjusted Floor Price are subject to proportional adjustments for stock splits, dividends, combinations, and/or similar corporate events.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Adjustments</w:t>
      </w:r>
      <w:r>
        <w:rPr>
          <w:rFonts w:ascii="Times New Roman" w:cs="Times New Roman" w:eastAsia="Times New Roman" w:hAnsi="Times New Roman"/>
          <w:sz w:val="18"/>
          <w:szCs w:val="18"/>
          <w:color w:val="auto"/>
        </w:rPr>
        <w:t>. Until stockholder approval is obtained, the Company may not issue more than 1,450,489 shares of common stock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 and in certain related transactions—an amount equal to 19.99% of the total outstanding shares as of February 26, 2025— subject to adjustments for stock splits, recapitalizations, and similar events (the “Issuable Maximum”). This limit applies collectively to all conversions of Series A Preferred Stock and related securities. Additionally, if the Company issues common stock at a price lower than the then-current Conversion Price (the “New Issuance Price”), the Conversion Price will be adjusted downward to the New Issuance Price.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If the Company issues options, convertible securities, or other purchase rights to acquire stock or property to all or most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(“Purchase Rights”), holders of Series A Preferred Stock will also be entitled to receive these rights. Each holder may acquire the same Purchase Rights as if they had already converted all of their Series A Preferred Stock into common stock at the Alternate Conversion Price, subject to the Beneficial Ownership Limitation.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Each share of Series A Preferred Stock carries a liquidation preference equal to the greater of (A) the conversion of such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on the date of such payment and (B) the amount per share such holder would receive if such holder converted such Series A Preferred Stock into common stock immediately prior to the date of such payment.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Mandatory Redemption Triggering Event</w:t>
      </w:r>
      <w:r>
        <w:rPr>
          <w:rFonts w:ascii="Times New Roman" w:cs="Times New Roman" w:eastAsia="Times New Roman" w:hAnsi="Times New Roman"/>
          <w:sz w:val="18"/>
          <w:szCs w:val="18"/>
          <w:color w:val="auto"/>
        </w:rPr>
        <w:t>. Upon any Mandatory Triggering Event (as defined in the Certificate of Designation),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redeem in cash all amounts due under the Series A Preferred Stock at a redemption price equal to the Conversion Amount to be redeemed.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Series A Preferred Stock have no voting power, cannot vote on any matters, and cannot call or participate in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except as outlined in the Certificate of Designation or required by law. The Company cannot take certain actions without the prior consent of the Required Holder, including: (a) altering the powers, preferences, or rights of the Series A Preferred Stock or amending the Certificate of Designation, (b) creating any stock class senior or pari passu to the Series A Preferred Stock, (c) amending the articles of incorporation in ways that negatively affect the Series A Preferred Stock rights, (d) changing the number of authorized Series A Preferred Stock, (e) paying dividends or making distributions on common stock, (f) purchasing or redeeming junior capital stock, (g) issuing Series A Preferred Stock outside the agreed terms, or (h) circumventing any rights set forth in the Certificate of Designation.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SERIES A PREFERRED STOCK (CONTINUED)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Change of Control Exchange</w:t>
      </w:r>
      <w:r>
        <w:rPr>
          <w:rFonts w:ascii="Times New Roman" w:cs="Times New Roman" w:eastAsia="Times New Roman" w:hAnsi="Times New Roman"/>
          <w:sz w:val="18"/>
          <w:szCs w:val="18"/>
          <w:color w:val="auto"/>
        </w:rPr>
        <w:t>. Upon a change of control of the Company, each holder may require the Company to exchange such holder’s shares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Company Optional Redemption</w:t>
      </w:r>
      <w:r>
        <w:rPr>
          <w:rFonts w:ascii="Times New Roman" w:cs="Times New Roman" w:eastAsia="Times New Roman" w:hAnsi="Times New Roman"/>
          <w:sz w:val="18"/>
          <w:szCs w:val="18"/>
          <w:color w:val="auto"/>
        </w:rPr>
        <w:t>. The Company can redeem all or part of the outstanding Series A Preferred Stock at any time by sending a written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The redemption price is generally the Conversion Amount, but may be the Stated Value in certain cases. If a Triggering Event has occurred, the price will be the greater of (i) the Conversion Amount or (ii) the product of the Conversion Rate and the average of the five highest daily VWAPs of the common stock from the day before the company optional redemption notice to the day before the payment is required.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The Certificate of Designation prevents the Company from engaging in fundamental transactions, such as mergers or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unless it (or its successor) assumes all obligations under the Certificate of Designation and Transaction Documents, or redeems all outstanding Series A Preferred Stock.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Certificate of Designation imposes several restrictions on the Company, including prohibiting the redemption, repurchase, or declaration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capital stock (except as required), incurring debt (except Permitted Indebtedness), entering into affiliate transactions, or creating liens without the Required Holder’s prior consent. Additionally, the Company cannot issue Series A Preferred Stock or other securities that would violate the Certificate of Designation or issue securities below the current Floor Price.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features of the Series A Preferred Stock to determine if any needed to be bifurcated as embedded derivatives. It concluded that the conversion feature is closely related to the host contract, while the redemption feature qualifies for bifurcation as a derivative. However, the initial fair value of the bifurcated derivative is immaterial because the likelihood of such redemption feature being triggered is remote. The fair value of this bifurcated derivative liability is remeasured to fair value each reporting period, with material changes, if any, recorded in the consolidated statement of operations and comprehensive loss. While the host contract is considered as an equity-classified instrument, it includes provisions that allow the investor to redeem the instrument for cash or other assets upon the occurrence of events that are not solely within the company’s control, the Series A Preferred Stock is classified as mezzanine equity.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the Company bifurcated the Series A Preferred Stock into (i) the host contract, classified within mezzanine equity, and (ii) the bifurcated derivative liability related to the redemption feature.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proceeds from the Initial Offerings were allocated first to the fair value of the Private Placement Convertible Preferred Warrants, with the remaining balance allocated to the Series A Preferred Stock. The Private Placement Convertible Preferred Warrants do not meet equity classification requirements under ASC 815-40, so they are treated as derivative liabilities, remeasured to fair value each reporting period, with changes recorded in the consolidated statement of operations and comprehensive loss. However, as described in Note 9 above, the Company deemed the fair value of the warrants to be immaterial for initial recognition.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issuance date through March 31, 2025, 30 shares of Series A Preferred Stock were converted into 311,887 shares of common stock. As a result, $273 (net of offering costs) was reclassified from mezzanine equity to common stock and additional paid-in capital. Subsequent to March 31, 2025, 105 shares of Series A Preferred Stock were converted into 1,933,420 shares of common stock at a conversion price of $0.66 per share of common stock. As a result, $962 (net of offering costs) was reclassified from mezzanine equity to common stock and additional paid-in capital.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Company had reserved shares of common stock for issuance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March 31, 2025</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2024</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161,939</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7,589,642</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6,695,587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52,256,156</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2,723,400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2,777,778</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2,777,778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outstanding</w:t>
            </w: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3,840,000</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1,227,247</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1,220,725</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67,852,762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13,674,745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Under the terms of the Purchase Agreement with CCM LLC, the Company issued 23,160 shares for aggregate net proceeds to the Company of $63 from the period January 1, 2025 through March 31, 2025. No issuances occurred for the period of January 1, 2024 through March 31,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273,822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166,667 shares, or (3) such number as determined by the Company’s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the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did not issue any shares of common stock under the ESPP.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Average 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37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Fair 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Life (in years)</w:t>
            </w:r>
          </w:p>
        </w:tc>
        <w:tc>
          <w:tcPr>
            <w:tcW w:w="8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3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25.66</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did not issue any 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$220 and $266 was recognized in the Company’s condensed consolidated statements of operations for the three months ended March 31, 2025 and 2024,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$220 of share-based compensation incurred during the three months ended March 31, 2025, $18 is allocated to cost of goods sold, $14 to research and development, $61 to selling and marketing, and $127 to general and administrative expenses. Of the $266 of share-based compensation incurred during the three months ended March 31, 2024, $32 is allocated to cost of goods sold, $65 to research and development, $60 to selling and marketing, and $109 to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5, 2024, the Company granted 24,447 restricted stock units of which 11,111 vested immediately. The fair value of the 24,447 restricted stock units was $95 and an expense of $45 was recorded as compensation expense during the three months ended March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restricted stock units activity for the three months ended March 31, 2025 and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Unvested shares, January 1, 2025</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Unvested shares, March 31, 2025</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Average Fair</w:t>
            </w:r>
          </w:p>
        </w:tc>
      </w:tr>
      <w:tr>
        <w:trPr>
          <w:trHeight w:val="234"/>
        </w:trPr>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Market Value</w:t>
            </w:r>
          </w:p>
        </w:tc>
      </w:tr>
      <w:tr>
        <w:trPr>
          <w:trHeight w:val="191"/>
        </w:trPr>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334,751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6"/>
                <w:szCs w:val="16"/>
                <w:color w:val="auto"/>
              </w:rPr>
            </w:pPr>
          </w:p>
        </w:tc>
      </w:tr>
      <w:tr>
        <w:trPr>
          <w:trHeight w:val="216"/>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48"/>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-607695</wp:posOffset>
            </wp:positionV>
            <wp:extent cx="498919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-325120</wp:posOffset>
            </wp:positionV>
            <wp:extent cx="498919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68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2024 there were 1,227,247 and 1,220,725 shares, respectively, of unissued authorized and available for future awards under the 2022 Equity Incentive Plan and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REPORTABLE SEGMENTS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DTC and OEM. The DTC segment pertains to Battle Born, LLC branded batteries which are sold directly to consumers. The OEM segment pertains to Dragonfly branded batteries which are sold to original equipment manufacturers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information for the reported segments is not disclosed as it is not used by the CODM in evaluating the performance of, or making decisions about, the reported segments.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strategic business units that offer different branded products. They are managed separately because each segment requires different technology and marketing strategies.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CODM is the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reportable segments information for the three months ended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OEM</w:t>
            </w:r>
          </w:p>
        </w:tc>
        <w:tc>
          <w:tcPr>
            <w:tcW w:w="240" w:type="dxa"/>
            <w:vAlign w:val="bottom"/>
          </w:tcPr>
          <w:p>
            <w:pPr>
              <w:spacing w:after="0"/>
              <w:rPr>
                <w:sz w:val="20"/>
                <w:szCs w:val="20"/>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Net Sales</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5,016</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
                <w:szCs w:val="1"/>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8,090</w:t>
            </w: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rPr>
              <w:t>$</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250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
                <w:sz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13,356</w:t>
            </w:r>
          </w:p>
        </w:tc>
      </w:tr>
      <w:tr>
        <w:trPr>
          <w:trHeight w:val="201"/>
        </w:trPr>
        <w:tc>
          <w:tcPr>
            <w:tcW w:w="5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2,889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r>
      <w:tr>
        <w:trPr>
          <w:trHeight w:val="209"/>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3,639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9,428</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1,377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512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800" w:type="dxa"/>
            <w:vAlign w:val="bottom"/>
          </w:tcPr>
          <w:p>
            <w:pPr>
              <w:spacing w:after="0" w:line="20" w:lineRule="exact"/>
              <w:rPr>
                <w:sz w:val="1"/>
                <w:szCs w:val="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1,000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1,000</w:t>
            </w: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1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80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6,241</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6,241</w:t>
            </w:r>
          </w:p>
        </w:tc>
      </w:tr>
      <w:tr>
        <w:trPr>
          <w:trHeight w:val="201"/>
        </w:trPr>
        <w:tc>
          <w:tcPr>
            <w:tcW w:w="5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80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292</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292</w:t>
            </w:r>
          </w:p>
        </w:tc>
      </w:tr>
      <w:tr>
        <w:trPr>
          <w:trHeight w:val="197"/>
        </w:trPr>
        <w:tc>
          <w:tcPr>
            <w:tcW w:w="5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512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800" w:type="dxa"/>
            <w:vAlign w:val="bottom"/>
          </w:tcPr>
          <w:p>
            <w:pPr>
              <w:spacing w:after="0" w:line="20" w:lineRule="exact"/>
              <w:rPr>
                <w:sz w:val="1"/>
                <w:szCs w:val="1"/>
                <w:color w:val="auto"/>
              </w:rPr>
            </w:pPr>
          </w:p>
        </w:tc>
        <w:tc>
          <w:tcPr>
            <w:tcW w:w="580" w:type="dxa"/>
            <w:vAlign w:val="bottom"/>
            <w:gridSpan w:val="2"/>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14</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14</w:t>
            </w: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8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line="233" w:lineRule="exact"/>
              <w:rPr>
                <w:sz w:val="20"/>
                <w:szCs w:val="20"/>
                <w:color w:val="auto"/>
              </w:rPr>
            </w:pPr>
            <w:r>
              <w:rPr>
                <w:rFonts w:ascii="Times New Roman" w:cs="Times New Roman" w:eastAsia="Times New Roman" w:hAnsi="Times New Roman"/>
                <w:sz w:val="17"/>
                <w:szCs w:val="17"/>
                <w:color w:val="auto"/>
              </w:rPr>
              <w:t>234</w:t>
            </w:r>
            <w:r>
              <w:rPr>
                <w:rFonts w:ascii="Times New Roman" w:cs="Times New Roman" w:eastAsia="Times New Roman" w:hAnsi="Times New Roman"/>
                <w:sz w:val="27"/>
                <w:szCs w:val="27"/>
                <w:color w:val="auto"/>
                <w:vertAlign w:val="superscript"/>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1,350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9,842</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(5,914)</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(4,701)</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(4,701)</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5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(6,797)</w:t>
            </w:r>
          </w:p>
        </w:tc>
      </w:tr>
      <w:tr>
        <w:trPr>
          <w:trHeight w:val="209"/>
        </w:trPr>
        <w:tc>
          <w:tcPr>
            <w:tcW w:w="5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(8,414)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(6,797)</w:t>
            </w: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177"/>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7" w:lineRule="exact"/>
        <w:rPr>
          <w:sz w:val="20"/>
          <w:szCs w:val="20"/>
          <w:color w:val="auto"/>
        </w:rPr>
      </w:pPr>
    </w:p>
    <w:p>
      <w:pPr>
        <w:ind w:left="757" w:hanging="757"/>
        <w:spacing w:after="0"/>
        <w:tabs>
          <w:tab w:leader="none" w:pos="7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79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7797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REPORTABLE SEGMENTS (CONTINUED)</w:t>
      </w:r>
    </w:p>
    <w:p>
      <w:pPr>
        <w:spacing w:after="0" w:line="229" w:lineRule="exact"/>
        <w:rPr>
          <w:sz w:val="20"/>
          <w:szCs w:val="20"/>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which is not considered a segment as it is currently immaterial.</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three months ended March 31,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represents approximately $2,300, or 18%, of the Company’s consolidated revenues for the three months ended March 31,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reportable segments information for the three months ended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OEM</w:t>
            </w:r>
          </w:p>
        </w:tc>
        <w:tc>
          <w:tcPr>
            <w:tcW w:w="240" w:type="dxa"/>
            <w:vAlign w:val="bottom"/>
          </w:tcPr>
          <w:p>
            <w:pPr>
              <w:spacing w:after="0"/>
              <w:rPr>
                <w:sz w:val="20"/>
                <w:szCs w:val="20"/>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5,203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12,505</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4,531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8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09"/>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3,783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5,671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9,454</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512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800" w:type="dxa"/>
            <w:vAlign w:val="bottom"/>
          </w:tcPr>
          <w:p>
            <w:pPr>
              <w:spacing w:after="0" w:line="20" w:lineRule="exact"/>
              <w:rPr>
                <w:sz w:val="1"/>
                <w:szCs w:val="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1,333</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1,333</w:t>
            </w: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8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1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800" w:type="dxa"/>
            <w:vAlign w:val="bottom"/>
            <w:shd w:val="clear" w:color="auto" w:fill="CCEEFF"/>
          </w:tcPr>
          <w:p>
            <w:pPr>
              <w:spacing w:after="0" w:line="20" w:lineRule="exact"/>
              <w:rPr>
                <w:sz w:val="1"/>
                <w:szCs w:val="1"/>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4,667</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4,667</w:t>
            </w:r>
          </w:p>
        </w:tc>
      </w:tr>
      <w:tr>
        <w:trPr>
          <w:trHeight w:val="201"/>
        </w:trPr>
        <w:tc>
          <w:tcPr>
            <w:tcW w:w="5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1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800" w:type="dxa"/>
            <w:vAlign w:val="bottom"/>
            <w:shd w:val="clear" w:color="auto" w:fill="CCEEFF"/>
          </w:tcPr>
          <w:p>
            <w:pPr>
              <w:spacing w:after="0" w:line="20" w:lineRule="exact"/>
              <w:rPr>
                <w:sz w:val="1"/>
                <w:szCs w:val="1"/>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254</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254</w:t>
            </w:r>
          </w:p>
        </w:tc>
      </w:tr>
      <w:tr>
        <w:trPr>
          <w:trHeight w:val="197"/>
        </w:trPr>
        <w:tc>
          <w:tcPr>
            <w:tcW w:w="5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512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800" w:type="dxa"/>
            <w:vAlign w:val="bottom"/>
          </w:tcPr>
          <w:p>
            <w:pPr>
              <w:spacing w:after="0" w:line="20" w:lineRule="exact"/>
              <w:rPr>
                <w:sz w:val="1"/>
                <w:szCs w:val="1"/>
                <w:color w:val="auto"/>
              </w:rPr>
            </w:pPr>
          </w:p>
        </w:tc>
        <w:tc>
          <w:tcPr>
            <w:tcW w:w="620" w:type="dxa"/>
            <w:vAlign w:val="bottom"/>
            <w:gridSpan w:val="2"/>
          </w:tcPr>
          <w:p>
            <w:pPr>
              <w:jc w:val="right"/>
              <w:ind w:right="200"/>
              <w:spacing w:after="0" w:line="19"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11</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11</w:t>
            </w:r>
          </w:p>
        </w:tc>
      </w:tr>
      <w:tr>
        <w:trPr>
          <w:trHeight w:val="197"/>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8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w:t>
            </w: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8,890</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(5,839)</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(4,760)</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(4,760)</w:t>
            </w: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8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line="230" w:lineRule="exact"/>
              <w:rPr>
                <w:sz w:val="20"/>
                <w:szCs w:val="20"/>
                <w:color w:val="auto"/>
              </w:rPr>
            </w:pPr>
            <w:r>
              <w:rPr>
                <w:rFonts w:ascii="Times New Roman" w:cs="Times New Roman" w:eastAsia="Times New Roman" w:hAnsi="Times New Roman"/>
                <w:sz w:val="16"/>
                <w:szCs w:val="16"/>
                <w:color w:val="auto"/>
              </w:rPr>
              <w:t>236</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(4,528)</w:t>
            </w:r>
          </w:p>
        </w:tc>
      </w:tr>
      <w:tr>
        <w:trPr>
          <w:trHeight w:val="216"/>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8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8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(11,615)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0"/>
        </w:trPr>
        <w:tc>
          <w:tcPr>
            <w:tcW w:w="5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177"/>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7" w:hanging="677"/>
        <w:spacing w:after="0"/>
        <w:tabs>
          <w:tab w:leader="none" w:pos="6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797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REPORTABLE SEGMENTS (CONTINUED)</w:t>
      </w:r>
    </w:p>
    <w:p>
      <w:pPr>
        <w:spacing w:after="0" w:line="229" w:lineRule="exact"/>
        <w:rPr>
          <w:sz w:val="20"/>
          <w:szCs w:val="20"/>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three months ended March 31, 2024.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represents approximately $2,000, or 16%, of the Company’s consolidated revenues for the three months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2025, pursuant to the Purchase Agreement, the Company sold to the Purchaser, in the Second Closing, an additional 450 shares of Series A Preferred Stock at a price of $10,000 per share, which shares of Series A Preferred Stock are initially convertible into shares of common stock at a conversion price of $0.594 per share. The Floor Price (as defined in the Certificate of Designation) for the shares of Series A Preferred Stock issued in the Second Closing is $0.10902. The gross proceeds of the Second Closing were $4.5 million, with net proceeds of $4.15 million (net of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2025, 105 shares of Series A Preferred Stock were converted into 1,933,420 shares of common stock.</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14, 2025, the Company received a letter (the “Letter”) from the Listing Qualifications Staff (the “Staff”) of Nasdaq indicating that, based upon the Company’s non-compliance with the $1.00 minimum bid price requirement set forth in Nasdaq Listing Rule 5550(a)(2) for continued listing on The Nasdaq Capital Market (the “Bid Price Requirement”), the Staff had determined to delist the Company’s securities from Nasdaq unless it timely requests a hearing before the Nasdaq Hearings Panel (the “Panel”). The Nasdaq Listing Rules require listed securities to maintain a minimum bid price of $1.00 per share and, based upon the closing bid price of the Company’s common stock for the last 30 consecutive business days, the Company no longer meets this requirement. Pursuant to Listing Rule 5810(c)(3)(A)(iv), the Company is not eligible for any compliance period due to the fact that it has effected a reverse stock split over the prior one-year period. As previously disclosed, pursuant to the written notice received from the Staff on December 12, 2024 (the “Notice”), the Company is also currently not in compliance with Nasdaq Listing Rule 5550(b)(2), which requires the Company to maintain a minimum Value of Listed Securities (“MVLS”) of $35 million for continued listing on The Nasdaq Capital Market (the “MVLS Requirement”). In accordance with Nasdaq Listing Rule 5810(c)(3)(C), the Company has until June 10, 2025, to regain compliance with the MVLS Requirement, subject to extension by Nasdaq. The Company fully intends to timely request a hearing before the Panel, at which hearing the Company will request an extension within which to evidence compliance with the Bid Price Requirement and the MVLS Requirement. The Company’s request for a hearing will stay any suspension or delisting action by the Staff pending the hearing and the expiration of any extension period granted by the Panel following the hearing. The Company intends to continue to take definitive steps in an effort to evidence compliance with the Bid Price Requirement and the MVLS Requirement.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References in this report (the “Quarterly Report”) to “we,” “us,” “our” or the “Company” refer to Dragonfly Energy Holdings Corp., a Nevada corporation. References to “Legacy Dragonfly” refer to Dragonfly Energy Corp., a Nevada corporation and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2024 included in our Annual Report on Form 10-K filed with the Securities and Exchange Commission (the “SEC”) on March 31, 2025 (the “Annual Report”),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jc w:val="both"/>
        <w:ind w:left="300" w:hanging="292"/>
        <w:spacing w:after="0" w:line="257"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300" w:hanging="292"/>
        <w:spacing w:after="0" w:line="253"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300" w:hanging="292"/>
        <w:spacing w:after="0" w:line="261"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300" w:right="20" w:hanging="292"/>
        <w:spacing w:after="0" w:line="25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conversion and the terms of our outstanding Series A Convertible Preferred Stock (“Series A Preferred Stock”) on the market price of our common stock;</w:t>
      </w: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300" w:hanging="292"/>
        <w:spacing w:after="0" w:line="25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 (“Stryten”);</w:t>
      </w:r>
    </w:p>
    <w:p>
      <w:pPr>
        <w:spacing w:after="0" w:line="9" w:lineRule="exact"/>
        <w:rPr>
          <w:rFonts w:ascii="Times New Roman" w:cs="Times New Roman" w:eastAsia="Times New Roman" w:hAnsi="Times New Roman"/>
          <w:sz w:val="18"/>
          <w:szCs w:val="18"/>
          <w:color w:val="auto"/>
        </w:rPr>
      </w:pPr>
    </w:p>
    <w:p>
      <w:pPr>
        <w:ind w:left="300" w:hanging="292"/>
        <w:spacing w:after="0" w:line="25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300" w:right="20" w:hanging="292"/>
        <w:spacing w:after="0" w:line="25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300" w:hanging="292"/>
        <w:spacing w:after="0" w:line="26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our Annual Report and in this Quarterly Report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2020, we have sold over 340,000 batteries. For the quarters ended March 31, 2025, and March 31, 2024, we sold 10,845 and 11,098 batteries, respectively, and had $13.4 million and $12.5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We primarily sell “Battle Born” branded batteries directly to consumers (“DTC”) and “Dragonfly” branded batteries to original equipment manufacturers (“OEMs”).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increase in sales is a reflection of a slight recovery in the RV market and increased market penetration as compared to prior quarter and prior year. Although our existing RV OEM customers have only slightly increased their year-over-year production rates, the incorporation of lithium storage systems has accelerated faster than the increase in RV units shipped. This is in contrast to the de-contenting trend that had occurred over the previous 18 months. DTC sales remained relatively flat, indicating generally constant consumer sentiment in the space.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(“LFP”)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we completed the construction of our proprietary and patented 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2025, we had cash totaling $2.8 million. Our net loss for the quarter ended March 31, 2025 was $6.8 million and our net loss for the quarter ended March 31, 2024 was $10.4 million. In addition, in February 2025, we completed the initial offering of shares of our Series A Preferred Stock which provided us with additional net proceeds of $3.2 million. Subsequent to the quarter ended March 31, 2025, we completed the second closing of shares of our Series A Preferred Stock which provided us with additional net proceeds of $4.2 million. As discussed under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below we expect that we will need to raise additional funds, including through the use of the ChEF Equity Facility (as defined below)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License Agreement with Stryten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Legacy Dragonfly and Battle Born Battery Products, LLC (“Battle Born LLC”), a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$5,000,000 (the “Initial Licensing Fee”), which was paid on August 29,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mid-single digit royalty payments based on net sales using the Licensed Trademarks, with a tiered structure reaching up to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$15,000,000 after five (5)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In addition to the initial merger consideration in connection with our business combination, up to 4,444,445 additional shares of common stock (“</w:t>
      </w:r>
      <w:r>
        <w:rPr>
          <w:rFonts w:ascii="Times New Roman" w:cs="Times New Roman" w:eastAsia="Times New Roman" w:hAnsi="Times New Roman"/>
          <w:sz w:val="18"/>
          <w:szCs w:val="18"/>
          <w:b w:val="1"/>
          <w:bCs w:val="1"/>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may be issued based on achieving specified milestones in three tranches:</w:t>
      </w:r>
    </w:p>
    <w:p>
      <w:pPr>
        <w:spacing w:after="0" w:line="159"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Tranche (1,666,667 shares): Issuable if 2023 total audited revenue is at least $250 million and audited operating income is at least $35 million. This milestone was not achieved for 2023.</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Tranche (1,388,889 shares): Issuable if the volume-weighted average trading price of common stock reaches $202.50 over any 20 trading days within a 30-day period, on or before December 31, 2026.</w:t>
      </w:r>
    </w:p>
    <w:p>
      <w:pPr>
        <w:ind w:left="66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Tranche (1,388,889 shares): Issuable if the volume-weighted average trading price of common stock reaches $292.50 over any 20 trading days within a 30-day period, on or before December 31, 2028.</w:t>
      </w:r>
    </w:p>
    <w:p>
      <w:pPr>
        <w:spacing w:after="0" w:line="1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Chardan Capital Markets LLC, a New York limited liability company (“CCM LLC”) entered into a purchase agreement (as amended, the “ChEF Purchase Agreement”) and a Registration Rights Agreement in connection with our merger in October 2022 (the “Business Combination”). Pursuant to the Original Purchase Agreement, we have the right to sell to CCM LLC an amount of shares of common stock, up to a maximum aggregate purchase price of $150 million, pursuant to the terms of the ChEF Purchase Agreement (the “ChEF Equity Facility”). We intend to opportunistically use the ChEF Equity Facility to help maintain minimum cash balances required by the Term Loan Lenders (as defined below) as we continue to execute on growing the business through product releases, customer/market expansion, and R&amp;D milestones, subject to certain restrictions set forth in the Term Loan Agreement and the terms of the Series A Preferred Stock. We expect to use the ChEF Equity Facility as a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we received a waiver (the “May 2024 Waiver”) from the Term Loan Lenders in regards to our compliance with the Tests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Private Placement and First Amendment to Term Loan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Term Loan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Term Loan Agreement that would have been due to the Term Loan Lenders under the Loan Agreement upon Battle Born LLC’s receipt of the Initial Licensing Fee.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Term Loan Lenders (the “Joinder”) whereby Battle Born LLC became a guarantor and credit party to the Term Loan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September 2024 Private Placement and Third Amendment to the Term Loan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2024 Private Placement and Fourth Amendment to the Term Loan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7" w:name="page48"/>
    <w:bookmarkEnd w:id="47"/>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February 2025 Registered Direct Offering and Concurrent Private Placement, Fifth Amendment to Term Loan Agreement and April 2025 Private Placement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2025, we entered into a securities purchase agreement with a single institutional investor, pursuant to which we sold in a registered direct offering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for the Series A Preferred Stock. The floor price for the Series A Preferred Stock sold in the Registered Direct Offering is $1.00.</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Convertible Preferred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exercise price under each Private Placement Convertible Preferred Warrant will be $10,000 per share of Series A Preferred Stock. Each Private Placement Convertible Preferred Warrant will be exercisable for 200 shares of Series A Preferred Stock in minimum increments of $500,000. The Private Placement Convertible Preferred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Private Placement Convertible Preferred Warrants, we have a call right upon the occurrence of certain events. No earlier than two (2) months following the Registration Effectiveness Date and (2) the most recent conversion or exercise in full of a Private Placement Convertible Preferred Warrant, (i) the VWAP for each of twenty (20) trading days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Convertible Preferred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Convertible Preferred Warrants.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(the “Second Closing”) an additional 450 shares of Series A Preferred Stock (the “Second Closing Preferred Shares”). The Second Closing Preferred Shares are identical to the Series A Preferred Stock offered in the Registered Direct Offering and sold in the initial closing of the Private Placement, other than the conversion price and the floor price which was determined at the time of the Second Closing based on the Nasdaq minimum price. On April 28, 2025, pursuant to the Purchase Agreement, we sold to the Purchaser, in the Second Closing 450 Preferred Shares at a price of $10,000 per share, initially convertible into shares of common stock at a conversion price of $0.594 per share. The floor price for the Series A Preferred Stock issued in the Second Closing is $0.10902.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to us from the Initial Offerings and the Second Offering, after deducting the placement agent’s fees and expenses and estimated offering expenses, were approximately $3.2 million and $4.2, respectively, excluding the net proceeds, if any, from the exercise of the Private Placement Convertible Preferred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precedent to the closing of the Initial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Convertible Preferred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 We have also agreed that (i) sales of common Stock pursuant to the ChEF Equity Facility shall not exceed 5% of the average daily traded volume of our common stock on any Eligible Market (as defined in the Certificate of Designations), (ii) no share of common stock shall be issued pursuant to the ChEF Equity Facility at a price per share less than the greater of (x) 150% of the Floor Price and (y) $1.00 and (iii) the aggregate proceeds of sales of common stock pursuant to the ChEF Equity Facility shall not exceed $12.0 million; provided, that, with respect to clause (i), such percentage shall increase to 7% after the Registration Effectiveness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Board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March 31, 2025, in connection with our efforts to reduce expenses, our Board of Directors approved reducing the size of the Board, and in connection therewith, on May 6, 2025 and May 7, 2025, respectively, each of Dr. Karina Montilla Edmonds and Mr. Jonathan Bellows resigned as a member of the Board, effective immediately. As a result of the resignations, the Board was reduced to five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decrease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the industry slowly recovers from the market correction, as well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474"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are primarily generated from the sale of our LFP batteries to OEMs and directly to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March 31, 2025, and March 31,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2025 and March 31, 2024. This data should be read together with our financial statements and related notes included elsewhere in this Quarterly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13,356</w:t>
            </w: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12,505</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9,428</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9,454</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1,333</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6,357</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4,813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2,485</w:t>
            </w: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2,744</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540" w:type="dxa"/>
            <w:vAlign w:val="bottom"/>
          </w:tcPr>
          <w:p>
            <w:pPr>
              <w:spacing w:after="0"/>
              <w:rPr>
                <w:sz w:val="19"/>
                <w:szCs w:val="19"/>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8,890</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54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(4,701)</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(4,760)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18"/>
                <w:szCs w:val="18"/>
                <w:color w:val="auto"/>
              </w:rPr>
            </w:pP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3,818</w:t>
            </w: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236</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Pr>
          <w:p>
            <w:pPr>
              <w:spacing w:after="0"/>
              <w:rPr>
                <w:sz w:val="19"/>
                <w:szCs w:val="19"/>
                <w:color w:val="auto"/>
              </w:rPr>
            </w:pPr>
          </w:p>
        </w:tc>
        <w:tc>
          <w:tcPr>
            <w:tcW w:w="15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(883)</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(4,528)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0" w:type="dxa"/>
            <w:vAlign w:val="bottom"/>
          </w:tcPr>
          <w:p>
            <w:pPr>
              <w:spacing w:after="0"/>
              <w:rPr>
                <w:sz w:val="19"/>
                <w:szCs w:val="19"/>
                <w:color w:val="auto"/>
              </w:rPr>
            </w:pP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0"/>
              </w:rPr>
              <w:t>797)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320" w:type="dxa"/>
            <w:vAlign w:val="bottom"/>
            <w:tcBorders>
              <w:top w:val="single" w:sz="8" w:color="CCEEFF"/>
              <w:bottom w:val="single" w:sz="8" w:color="CCEEFF"/>
              <w:right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5"/>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gridSpan w:val="5"/>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5,015</w:t>
            </w:r>
          </w:p>
        </w:tc>
        <w:tc>
          <w:tcPr>
            <w:tcW w:w="3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8,091</w:t>
            </w:r>
          </w:p>
        </w:tc>
        <w:tc>
          <w:tcPr>
            <w:tcW w:w="3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Fee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13,356</w:t>
            </w:r>
          </w:p>
        </w:tc>
        <w:tc>
          <w:tcPr>
            <w:tcW w:w="320" w:type="dxa"/>
            <w:vAlign w:val="bottom"/>
            <w:tcBorders>
              <w:right w:val="single" w:sz="8" w:color="CCEEFF"/>
            </w:tcBorders>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increased by $0.9 million, or 6.8%, to $13.4 million for the quarter ended March 31, 2025, as compared to $12.5 million for the quarter ended March 31, 2024. This increase was primarily due to higher OEM battery and accessory sales of new models to existing customers and licensing revenue which is part of the Stryten agreement entered into the second half of 2024. The decrease in DTC sales were lower due to ongoing macroeconomic pressures. We expect our sales to increase as the cyclical recovery of the RV market gains momentum in the coming quarters and our entrance into new markets, trucking and industrials, with new product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decreased by less than $0.1 million, or 0.3%, to $9.4 million for the quarter ended March 31, 2025, as compared to $9.5 million for the quarter ended March 31, 2024. This decrease was primarily due to lower material costs associated with consuming lower-priced inventory. We expect our Cost of Goods Sold to increase in conjunction with the anticipated increase in revenue over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$0.8 million, or 28.7%, to $3.9 million for the quarter ended March 31, 2025, as compared to $3.1 million for the quarter ended March 31, 2024. The increase in gross profit was primarily due to an increase in sales and lower material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$0.3 million, or 25.0%, to $1.0 million for the quarter ended March 31, 2025, as compared to $1.3 million for the quarter ended March 31, 2024. The decrease was primarily due to lower wage expense in the amount of $0.3 million due to reduced headcount. We expect Research and Development expenses to be lower than last year as we change our focus from Solid State to Product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839"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$1.5 million, or 32.1%, to $6.4 million for the quarter ended March 31, 2025, as compared to $4.8 million for the quarter ended March 31, 2024. This increase was primarily due to an increase in professional fees in the amount of $0.8 million related to deal costs and litigation. We also had an increase in rent and utility expense in the amount of $0.6 million due to a lease that started at the end of the first quarter of 2024. Depreciation increased by $0.5 million primarily due to a prior year catch up related to tenant improvements under this lease. This is partially offset by lower employee costs related to reduced headcount. We expect General and Administrative Expenses, as a percentage of revenue, to increase as we increase the staffing in our Engineering department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$0.3 million, or 9.4%, to $2.5 million for the quarter ended March 31, 2025, as compared to $2.7 million for the quarter ended March 31, 2024. This decrease was primarily due to lower employee-related costs in the amount of $0.3 million related to lower headcount and partially offset by slightly higher shipping costs related to higher sales. We expect our Selling and Marketing Expenses to be relatively stable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$0.9 million for the quarter ended March 31, 2025 as compared to other expense of $4.5 million for the quarter ended March 31, 2024. Other expense of $0.9 million in quarter ended March 31, 2025 was comprised primarily of interest expense of $4.7 million related to our debt securities offset by a change in fair market value of warrant liability in the amount of $3.8 million. The $4.5 million of other expense in quarter ended March 31, 2024 is comprised primarily of interest expense of $4.8 million related to our debt securities offset by a change in fair market value of warrant liability in the amount of $0.2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March 31, 2025 or March 31, 2024. Based on available evidence as of March 31, 2025 and March 31, 2024, management believes it is more likely than not that some or all the deferred tax assets will not be realized. Accordingly, we established a 100% valuation allowance. As a result of the full valuation allowance, we did not record a tax benefit during the quarter ended March 31, 2025 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experienced a net loss of $6.8 million for the quarter ended March 31, 2025, as compared to net loss of $10.4 million for the quarter ended March 31, 2024. As described above, this result was driven by higher sales, lower cost of goods sold, and higher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We believe that the following accounting policies are those most critical to the judgments and estimates used in the preparation of our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our accompanying condensed consolidated financial statements for information on the warrants. Changes in assumptions used to estimate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could occur from stock pricing volatility depending on our performance and our position in the industry and changes in market interest rates which can result in materially different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warehouse lease with a lease commencement date of March 25, 2024, to be conservative in our estimate, we chose to use the high-end average as our incremental borrowing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Arrangement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includes a non-generally accepted account principles within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measure that we use to supplement our results presented in accordance with U.S. GAAP. Earnings before interest tax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for the three months ended March 31, 2025, and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(6,797)</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4,701</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859</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7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12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10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56"/>
        </w:trPr>
        <w:tc>
          <w:tcPr>
            <w:tcW w:w="7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(3,818)</w:t>
            </w:r>
          </w:p>
        </w:tc>
        <w:tc>
          <w:tcPr>
            <w:tcW w:w="10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Non-Recurring/One-Time Expenses: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Litigation Fees and loss on settlement </w:t>
            </w:r>
            <w:r>
              <w:rPr>
                <w:rFonts w:ascii="Times New Roman" w:cs="Times New Roman" w:eastAsia="Times New Roman" w:hAnsi="Times New Roman"/>
                <w:sz w:val="29"/>
                <w:szCs w:val="29"/>
                <w:color w:val="auto"/>
                <w:vertAlign w:val="superscript"/>
              </w:rPr>
              <w:t>(3)</w:t>
            </w:r>
          </w:p>
        </w:tc>
        <w:tc>
          <w:tcPr>
            <w:tcW w:w="1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543</w:t>
            </w:r>
          </w:p>
        </w:tc>
        <w:tc>
          <w:tcPr>
            <w:tcW w:w="108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7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Preferred Stock Financing Expenses </w:t>
            </w:r>
            <w:r>
              <w:rPr>
                <w:rFonts w:ascii="Times New Roman" w:cs="Times New Roman" w:eastAsia="Times New Roman" w:hAnsi="Times New Roman"/>
                <w:sz w:val="29"/>
                <w:szCs w:val="29"/>
                <w:color w:val="auto"/>
                <w:vertAlign w:val="superscript"/>
              </w:rPr>
              <w:t>(4)</w:t>
            </w:r>
          </w:p>
        </w:tc>
        <w:tc>
          <w:tcPr>
            <w:tcW w:w="112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631</w:t>
            </w:r>
          </w:p>
        </w:tc>
        <w:tc>
          <w:tcPr>
            <w:tcW w:w="10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Reverse Stock Split </w:t>
            </w:r>
            <w:r>
              <w:rPr>
                <w:rFonts w:ascii="Times New Roman" w:cs="Times New Roman" w:eastAsia="Times New Roman" w:hAnsi="Times New Roman"/>
                <w:sz w:val="29"/>
                <w:szCs w:val="29"/>
                <w:color w:val="auto"/>
                <w:vertAlign w:val="superscript"/>
              </w:rPr>
              <w:t>(5)</w:t>
            </w:r>
          </w:p>
        </w:tc>
        <w:tc>
          <w:tcPr>
            <w:tcW w:w="1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(3,646)</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(5,245)</w:t>
            </w:r>
          </w:p>
        </w:tc>
      </w:tr>
      <w:tr>
        <w:trPr>
          <w:trHeight w:val="20"/>
        </w:trPr>
        <w:tc>
          <w:tcPr>
            <w:tcW w:w="7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for the three months ended March 31, 2025 and March 31, 2024.</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Fees and Loss on Settlement includes legal fees and expenses and settlement related to the International Trade Commission ‘ITC’ Lithium Hub patent infringement case and other.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Financing is comprised of the expenses relating to the Offerings.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Stock Split includes transfer agent and legal expenses and fees related to the reverse stock split with the SEC.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2025, we had cash totaling $2.8 million. In February 2025, we raised $3.5 million with net proceeds of $3.2 million in connection with the sale of the shares of our Series A Preferred Stock in February 2025, and received an additional $4.5 million with net proceeds of $4.2 million in connection with the second closing of shares of our Series A Preferred Stock in April 2025. We believe that our cash balance as of March 31, 2025 and the net proceeds from the second closing will fund our operations into the first quarter of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by and among, us, Legacy Dragonfly, Alter Domus (US) LLC, as the Agent to the lenders time-to-time party thereto (such lenders, the “Term Loan Lenders”),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 On February 26, 2025, we entered into the Fifth Amendment with the Term Loan Lenders, which provided for the issuance of the February 2025 Penny Warrants to purchase up to 330,000 shares of common stock and certain amendments to the Term Loan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License Agreement, on July 29, 2024, us, Legacy Dragonfly and Battle Born LLC entered into the Second Amendment (together with the Original Term Loan, the First Amendment, the Second Amendment, the Third Amendment and the Fourth Amendment, the “Term Loan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0"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“Administrative Agent”)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December 31, 2024 and January 31, 2025,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based on the Term Loan are as follows:</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2024, was paid in cash.</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July 1, 2024, became payable-in-kind.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January 1, 2025 to December 31, 2025 will be payable in kind.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2026 to October 7, 2027 will be payable in cash.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the foregoing cases, adjusted SOFR will be no less than 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ChEF Purchase Agreement, on the terms of and subject to the satisfaction of the conditions in the ChEF Purchase Agreement, including the filing and effectiveness of a registration statement registering the resale by CCM LLC of the shares of common stock issued to it under the ChEF Purchase Agreement, and certain restrictions set forth in the Term Loan Agreement and the terms of the Series A Preferred Stock,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ChEF Purchase Agreement with CCM LLC for aggregate proceeds to us of $2,043,885. During the quarter ended March 31, 2025, we issued 23,160 shares pursuant to the ChEF Purchase Agreement for aggregate proceeds to us of $62,846. Subsequent to the quarter ended March 31, 2025, we have not issued any shares pursuant to the ChEF Purchase Agreement.This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ChEF Purchase Agreement may be a less attractive source of capital and/or may not allow us to raise capital at rates that would be possible if the trading price of our common stock were higher.</w:t>
      </w:r>
    </w:p>
    <w:p>
      <w:pPr>
        <w:spacing w:after="0" w:line="1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“February Note”) in the amount of $1.7 million (the “February Principal Amount”) to Mr. Nelson, in a private placement in exchange for cash in an equal amount. The February Note became due and payable in full on March 1, 2024. We were also obligated to pay a $85,000 loan fee (the “February Loan Fee”) to Mr. Nelson on March 1, 2024. We paid the February Principal Amount and the February Loan Fee on March 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2025, we generated a net loss of $6.8 million and had a negative cash flow from operations. As of March 31, 2025, we had approximately $2.8 million in cash and cash equivalents and working capital of $9.1 million.</w:t>
      </w:r>
    </w:p>
    <w:p>
      <w:pPr>
        <w:spacing w:after="0" w:line="162" w:lineRule="exact"/>
        <w:rPr>
          <w:sz w:val="20"/>
          <w:szCs w:val="20"/>
          <w:color w:val="auto"/>
        </w:rPr>
      </w:pPr>
    </w:p>
    <w:p>
      <w:pPr>
        <w:jc w:val="both"/>
        <w:ind w:left="20" w:hanging="8"/>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December 31, 2024 and January 31, 2025, we obtained waivers from the Administrative Agent and Term Loan Lenders of our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spacing w:after="0" w:line="194"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color w:val="auto"/>
        </w:rPr>
        <w:t>On September 30, 2024, we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spacing w:after="0" w:line="183"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color w:val="auto"/>
        </w:rPr>
        <w:t>On December 31, 2024, we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On February 26 2025, in connection with the Purchase Agreement, we entered into the Fifth Amendment, which: (i) extended the maturity date by one year to October 2027, (ii) deferred all principal and interest payments to April 2026 and (iii) removed any applicable financial covenants (except for a financial covenant requiring us to maintain cash and cash equivalents equal to or greater than $2.5 million on a monthly basis) through June 30, 2026.</w:t>
      </w:r>
    </w:p>
    <w:p>
      <w:pPr>
        <w:spacing w:after="0" w:line="176"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As presented above, strategic initiatives were executed in order to alleviate the substantial doubt, such as our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However, the initiatives were not enough support to completely alleviate our going concern. Due to no other concessions being made by the lenders in terms of future debt and interest due, except for extending payments into 2026 and the maturity date by one year, and lack of substantial proof of revenue projections for new markets, management concluded that there is significant doubt about our ability to continue as a going concern.</w:t>
      </w:r>
    </w:p>
    <w:p>
      <w:pPr>
        <w:spacing w:after="0" w:line="187"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As a result, our independent registered public accounting firm included an explanatory paragraph in its report on our 2024 consolidated financial statements, with respect to this uncertainty.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subject to certain restrictions set forth in the Term Loan Agreement and the terms of the Series A Preferred Stock.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2025, and March 31, 2024</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(4,511)</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3,243</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 million for the three months ended March 31, 2025, primarily due to a net loss of $6.8 million partially offset by $2.7 million increase in accounts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$3.4 million for the three months ended March 31, 2024, primarily due to a net loss of $10.4 million partially offset by $1.3 million of payment in-kind interest accrued on the Term Loan and $5.2 million decrease in inventory as a result of management’s decision to lower overall stocking levels to adjust for more modest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$0.8 million for the three months ended March 31, 2025, as compared to net cash used in investing activities of $0.8 million for the three months ended March 31, 2024. The cash used for the three months ended March 31, 2025 was primarily for payments of building improvements for the new warehouse. The cash used for the three months ended March 31, 2024 was primarily related to capital equipment expenses to support our core battery business and ongoing efforts to develop solid-state battery technology and manufacturing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$3.3 million for the three months ended March 31, 2025, primarily related to net proceeds of $3.2 million from the Offerings on February 26, 2025, as compared to zero net cash provided in financing activities, proceeds of $2.7 million note payable was subsequently repaid within the three months ended March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March 31, 2025, we had $3.0 million in short-term operating lease and financing liabilities and $21.9 million in long-term operating and financing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March 31, 2025, the principal amount outstanding under the Term Loan was $69.9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March 31, 2025. Based on that evaluation, management concluded that as of March 31, 2025, we did maintain effective disclosure 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by Rules 13a-15(f) and 15d-15(f) under the Exchange Act) occurred during the quarter ended March 31, 2025,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report, you should carefully consider the factors discussed in Part I, “Item 1A. Risk Factors” in our Annual Report on Form 10-K for the year ended December 31, 2024 filed with the SEC on March 31, 2025,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were no material changes to the risk factors previously disclosed in our Annual Report on Form 10-K except as noted below.</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letter (the “Letter”) from the Listing Qualifications Staff (the “Staff”) of the Nasdaq Stock Market, LLC (“Nasdaq”) indicating that, based upon our non-compliance with the $1.00 minimum bid price requirement set forth in Nasdaq Listing Rule 5550(a)(2) for continued listing on The Nasdaq Capital Market (the “Bid Price Requirement”), the Staff had determined to delist our securities from Nasdaq unless we timely request a hearing before the Nasdaq Hearings Panel (the “Panel”). The Nasdaq Listing Rules require listed securities to maintain a minimum bid price of $1.00 per share (the “Bid Price Requirement”) and, based upon the closing bid price of our common stock for the last 30 consecutive business days, we no longer meet this requirement. Pursuant to Listing Rule 5810(c)(3)(A)(iv), we are not eligible for any compliance period due to the fact that we have effected a reverse stock split over the prior one-year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December 12, 2024, we received a written notice (the “Notice”) from the Staff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 Additionally,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we have until June 10, 2025, to regain compliance with the MVLS Requirement, subject to extension by Nasdaq.</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fully intend to timely request a hearing before the Panel, at which hearing we will request an extension within which to evidence compliance with the Bid Price Requirement and the MVLS Requirement. Our request for a hearing will stay any suspension or delisting action by the Staff pending the hearing and the expiration of any extension period granted by the Panel following the hearing. We intend to continue to take definitive steps in an effort to evidence compliance with the Bid Price Requirement and the MVLS Requirement. However, there can be no assurance that the Panel will grant our request for continued listing or that we will be able to evidence compliance with the Bid Price Requirement and the MVLS Requirement within any extension period that may be granted by the Panel or maintain compliance with the other Nasdaq listing requirements.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to continue to monitor our MVLS and we are considering our options to regain compliance with the Bid Price Requirement and the MVLS Requirement. There can be no assurance that we will be able to regain compliance with the Bid Price Requirement, the MVLS requirement, or maintain compliance even if we implement an option that regains our compliance. 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Series A preferred stock [and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Assuming we appeal the determination as indicated above, our receipt of the Letter does not immediately affect our business, operations or reporting requirements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340" w:hanging="8"/>
        <w:spacing w:after="0" w:line="254" w:lineRule="auto"/>
        <w:tabs>
          <w:tab w:leader="none" w:pos="6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we received the Letter from the Staff indicating that, based upon our non-compliance with the $1.00 minimum Bid Price Requirement set forth in Nasdaq Listing Rule 5550(a)(2) for continued listing on The Nasdaq Capital Market, the Staff had determined to delist our securities from Nasdaq unless we timely request a hearing before the Panel. The Nasdaq Listing Rules require listed securities to maintain a minimum bid price of $1.00 per share and, based upon the closing bid price of our common stock for the last 30 consecutive business days, we no longer meet this requirement. Pursuant to Listing Rule 5810(c)(3)(A)(iv), we are not eligible for any compliance period due to the fact that we have effected a reverse stock split over the prior one-year period. As previously disclosed, pursuant to the written notice received from the Staff on December 12, 2024 (the “Notice”), we are also currently not in compliance with Nasdaq Listing Rule 5550(b)(2), which requires us to maintain a minimum MVLS of $35 million for continued listing on The Nasdaq Capital Market. In accordance with Nasdaq Listing Rule 5810(c)(3)(C), we have until June 10, 2025, to regain compliance with the MVLS Requirement, subject to extension by Nasdaq.</w:t>
      </w:r>
    </w:p>
    <w:p>
      <w:pPr>
        <w:spacing w:after="0" w:line="18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We fully intend to timely request a hearing before the Panel, at which hearing we will request an extension within which to evidence compliance with the Bid Price Requirement and the MVLS Requirement. Our request for a hearing will stay any suspension or delisting action by the Staff pending the hearing and the expiration of any extension period granted by the Panel following the hearing. We intend to continue to take definitive steps in an effort to evidence compliance with the Bid Price Requirement and the MVLS Requirement. However, there can be no assurance that the Panel will grant our request for continued listing or that we will be able to evidence compliance with the Bid Price Requirement or the MVLS Requirement within any extension period that may be granted by the Panel or maintain compliance with the other Nasdaq listing requirements.</w:t>
      </w:r>
    </w:p>
    <w:p>
      <w:pPr>
        <w:spacing w:after="0" w:line="187" w:lineRule="exact"/>
        <w:rPr>
          <w:sz w:val="20"/>
          <w:szCs w:val="20"/>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March 31, 2025, none of our directors or “officers” (as defined in Rule 16a-1(f) under the Exchange Act) adopted or terminated any “Rule 10b5-1 trading arrangement” or “non-Rule 10b5-1 trading arrangement,” as each term is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19"/>
                <w:szCs w:val="19"/>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4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Articles of Incorporation of Dragonfly Energy Holdings Corp.</w:t>
              </w:r>
            </w:hyperlink>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Bylaws of Dragonfly Energy Holdings Corp.</w:t>
              </w:r>
            </w:hyperlink>
          </w:p>
        </w:tc>
        <w:tc>
          <w:tcPr>
            <w:tcW w:w="1240" w:type="dxa"/>
            <w:vAlign w:val="bottom"/>
            <w:tcBorders>
              <w:top w:val="single" w:sz="8" w:color="0000EE"/>
            </w:tcBorders>
          </w:tcPr>
          <w:p>
            <w:pPr>
              <w:spacing w:after="0"/>
              <w:rPr>
                <w:sz w:val="17"/>
                <w:szCs w:val="17"/>
                <w:color w:val="auto"/>
              </w:rPr>
            </w:pPr>
          </w:p>
        </w:tc>
        <w:tc>
          <w:tcPr>
            <w:tcW w:w="2820" w:type="dxa"/>
            <w:vAlign w:val="bottom"/>
            <w:gridSpan w:val="11"/>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Designation of the Powers, Preferences and Relative, Participating, Optional and</w:t>
              </w:r>
            </w:hyperlink>
          </w:p>
        </w:tc>
        <w:tc>
          <w:tcPr>
            <w:tcW w:w="80" w:type="dxa"/>
            <w:vAlign w:val="bottom"/>
            <w:gridSpan w:val="3"/>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Other Restrictions of Series A Convertible Preferred Stock of Dragonfly Energy Holdings Corp.</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6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Private Placement Warrant.</w:t>
              </w:r>
            </w:hyperlink>
          </w:p>
        </w:tc>
        <w:tc>
          <w:tcPr>
            <w:tcW w:w="380" w:type="dxa"/>
            <w:vAlign w:val="bottom"/>
            <w:gridSpan w:val="6"/>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7300" w:type="dxa"/>
            <w:vAlign w:val="bottom"/>
            <w:gridSpan w:val="1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February 2025 Penny Warrant.</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Securities Purchase Agreement, dated February 26, 2025, by and between Dragonfly</w:t>
              </w:r>
            </w:hyperlink>
          </w:p>
        </w:tc>
        <w:tc>
          <w:tcPr>
            <w:tcW w:w="10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Energy Holdings Corp. and the investor listed on the Schedule of Buyers thereto.</w:t>
              </w:r>
            </w:hyperlink>
          </w:p>
        </w:tc>
        <w:tc>
          <w:tcPr>
            <w:tcW w:w="14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Registration Rights Agreement, dated February 26, 2025, by and between Dragonfly</w:t>
              </w:r>
            </w:hyperlink>
          </w:p>
        </w:tc>
        <w:tc>
          <w:tcPr>
            <w:tcW w:w="80" w:type="dxa"/>
            <w:vAlign w:val="bottom"/>
            <w:gridSpan w:val="3"/>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Energy Holdings Corp. and the investor listed on the Schedule of Buyers thereto.</w:t>
              </w:r>
            </w:hyperlink>
          </w:p>
        </w:tc>
        <w:tc>
          <w:tcPr>
            <w:tcW w:w="14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Support Agreement, dated February 26, 2025, by and between Dragonfly Energy Holdings Corp.</w:t>
              </w:r>
            </w:hyperlink>
          </w:p>
        </w:tc>
        <w:tc>
          <w:tcPr>
            <w:tcW w:w="10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and the stockholder signatory thereto.</w:t>
              </w:r>
            </w:hyperlink>
          </w:p>
        </w:tc>
        <w:tc>
          <w:tcPr>
            <w:tcW w:w="45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Fifth Amendment to Term Loan, Guarantee and Security Agreement, dated as of February 26,</w:t>
              </w:r>
            </w:hyperlink>
          </w:p>
        </w:tc>
        <w:tc>
          <w:tcPr>
            <w:tcW w:w="60" w:type="dxa"/>
            <w:vAlign w:val="bottom"/>
            <w:gridSpan w:val="2"/>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2025, by and among Dragonfly Energy Holdings Corp., Dragonfly Energy Corp., Battle Born</w:t>
              </w:r>
            </w:hyperlink>
          </w:p>
        </w:tc>
        <w:tc>
          <w:tcPr>
            <w:tcW w:w="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Battery Products, LLC, the lenders from time to time party thereto and Alter Domus (US)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w:t>
            </w:r>
          </w:p>
        </w:tc>
        <w:tc>
          <w:tcPr>
            <w:tcW w:w="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and 15(d)-14(a), as adopted Pursuant to Section 302 of the Sarbanes-Oxley Act of 2002.</w:t>
            </w:r>
          </w:p>
        </w:tc>
        <w:tc>
          <w:tcPr>
            <w:tcW w:w="94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w:t>
            </w:r>
          </w:p>
        </w:tc>
        <w:tc>
          <w:tcPr>
            <w:tcW w:w="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and 15(d)-14(a), as adopted Pursuant to Section 302 of the Sarbanes-Oxley Act of 2002.</w:t>
            </w:r>
          </w:p>
        </w:tc>
        <w:tc>
          <w:tcPr>
            <w:tcW w:w="94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w:t>
            </w:r>
          </w:p>
        </w:tc>
        <w:tc>
          <w:tcPr>
            <w:tcW w:w="1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55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40" w:type="dxa"/>
            <w:vAlign w:val="bottom"/>
            <w:gridSpan w:val="10"/>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as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98" w:lineRule="exact"/>
        <w:rPr>
          <w:sz w:val="20"/>
          <w:szCs w:val="20"/>
          <w:color w:val="auto"/>
        </w:rPr>
      </w:pPr>
    </w:p>
    <w:p>
      <w:pPr>
        <w:ind w:left="980" w:hanging="972"/>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80" w:hanging="972"/>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w:t>
      </w:r>
    </w:p>
    <w:p>
      <w:pPr>
        <w:spacing w:after="0" w:line="9" w:lineRule="exact"/>
        <w:rPr>
          <w:sz w:val="20"/>
          <w:szCs w:val="20"/>
          <w:color w:val="auto"/>
        </w:rPr>
      </w:pPr>
    </w:p>
    <w:p>
      <w:pPr>
        <w:ind w:left="980" w:right="160" w:hanging="972"/>
        <w:spacing w:after="0" w:line="26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68"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3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President and Interim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Dragonfly Energy Holdings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Dragonfly Energy Holdings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quarter ended March 31, 2025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Denis Phares, as Chief Executive Officer and Interim Chief Financial Officer, certifies in his capacity as such officer of the Company, that to his knowledge:</w:t>
      </w:r>
    </w:p>
    <w:p>
      <w:pPr>
        <w:spacing w:after="0" w:line="183"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May 16, 2025</w:t>
      </w: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i w:val="1"/>
          <w:iCs w:val="1"/>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815"/>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lowerRoman"/>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88" Type="http://schemas.openxmlformats.org/officeDocument/2006/relationships/hyperlink" Target="https://www.sec.gov/Archives/edgar/data/1847986/000149315223010262/ex3-1.htm" TargetMode="External"/><Relationship Id="rId89" Type="http://schemas.openxmlformats.org/officeDocument/2006/relationships/hyperlink" Target="https://www.sec.gov/Archives/edgar/data/1847986/000149315223010262/ex3-2.htm" TargetMode="External"/><Relationship Id="rId90" Type="http://schemas.openxmlformats.org/officeDocument/2006/relationships/hyperlink" Target="https://www.sec.gov/Archives/edgar/data/1847986/000149315225008445/ex3-1.htm" TargetMode="External"/><Relationship Id="rId91" Type="http://schemas.openxmlformats.org/officeDocument/2006/relationships/hyperlink" Target="https://www.sec.gov/Archives/edgar/data/1847986/000149315225008445/ex4-1.htm" TargetMode="External"/><Relationship Id="rId92" Type="http://schemas.openxmlformats.org/officeDocument/2006/relationships/hyperlink" Target="https://www.sec.gov/Archives/edgar/data/1847986/000149315225008445/ex4-2.htm" TargetMode="External"/><Relationship Id="rId93" Type="http://schemas.openxmlformats.org/officeDocument/2006/relationships/hyperlink" Target="https://www.sec.gov/Archives/edgar/data/1847986/000149315225008445/ex10-1.htm" TargetMode="External"/><Relationship Id="rId94" Type="http://schemas.openxmlformats.org/officeDocument/2006/relationships/hyperlink" Target="https://www.sec.gov/Archives/edgar/data/1847986/000149315225008445/ex10-2.htm" TargetMode="External"/><Relationship Id="rId95" Type="http://schemas.openxmlformats.org/officeDocument/2006/relationships/hyperlink" Target="https://www.sec.gov/Archives/edgar/data/1847986/000149315225008445/ex10-3.htm" TargetMode="External"/><Relationship Id="rId96" Type="http://schemas.openxmlformats.org/officeDocument/2006/relationships/hyperlink" Target="https://www.sec.gov/Archives/edgar/data/1847986/000149315225008445/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2025-05-16T16:16:07Z</dcterms:created>
  <dcterms:modified xsi:type="dcterms:W3CDTF">2025-05-16T16:16:07Z</dcterms:modified>
</cp:coreProperties>
</file>