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FORM 12b-25</w:t>
      </w:r>
    </w:p>
    <w:p>
      <w:pPr>
        <w:spacing w:after="0" w:line="39"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NOTIFICATION OF LATE FILING</w:t>
      </w:r>
    </w:p>
    <w:p>
      <w:pPr>
        <w:sectPr>
          <w:pgSz w:w="11900" w:h="16838" w:orient="portrait"/>
          <w:cols w:equalWidth="0" w:num="1">
            <w:col w:w="10340"/>
          </w:cols>
          <w:pgMar w:left="320" w:top="746" w:right="1239" w:bottom="1440" w:gutter="0" w:footer="0" w:header="0"/>
        </w:sectPr>
      </w:pP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Form N-CEN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Form N-CSR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11-K</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Form 10-D</w:t>
      </w:r>
    </w:p>
    <w:p>
      <w:pPr>
        <w:spacing w:after="0" w:line="431" w:lineRule="exact"/>
        <w:rPr>
          <w:sz w:val="24"/>
          <w:szCs w:val="24"/>
          <w:color w:val="auto"/>
        </w:rPr>
      </w:pPr>
    </w:p>
    <w:p>
      <w:pPr>
        <w:sectPr>
          <w:pgSz w:w="11900" w:h="16838" w:orient="portrait"/>
          <w:cols w:equalWidth="0" w:num="9">
            <w:col w:w="980" w:space="720"/>
            <w:col w:w="1200" w:space="720"/>
            <w:col w:w="1180" w:space="720"/>
            <w:col w:w="180" w:space="40"/>
            <w:col w:w="980" w:space="720"/>
            <w:col w:w="160" w:space="40"/>
            <w:col w:w="980" w:space="720"/>
            <w:col w:w="160" w:space="40"/>
            <w:col w:w="800"/>
          </w:cols>
          <w:pgMar w:left="320" w:top="746" w:right="1239" w:bottom="1440" w:gutter="0" w:footer="0" w:header="0"/>
          <w:type w:val="continuous"/>
        </w:sectPr>
      </w:pPr>
    </w:p>
    <w:p>
      <w:pPr>
        <w:spacing w:after="0" w:line="59" w:lineRule="exact"/>
        <w:rPr>
          <w:sz w:val="24"/>
          <w:szCs w:val="24"/>
          <w:color w:val="auto"/>
        </w:rPr>
      </w:pPr>
    </w:p>
    <w:p>
      <w:pPr>
        <w:ind w:left="1700"/>
        <w:spacing w:after="0"/>
        <w:rPr>
          <w:sz w:val="20"/>
          <w:szCs w:val="20"/>
          <w:color w:val="auto"/>
        </w:rPr>
      </w:pPr>
      <w:r>
        <w:rPr>
          <w:rFonts w:ascii="Arial" w:cs="Arial" w:eastAsia="Arial" w:hAnsi="Arial"/>
          <w:sz w:val="18"/>
          <w:szCs w:val="18"/>
          <w:color w:val="auto"/>
        </w:rPr>
        <w:t>For Period Ended: December 31, 2022</w:t>
      </w:r>
    </w:p>
    <w:p>
      <w:pPr>
        <w:spacing w:after="0" w:line="18" w:lineRule="exact"/>
        <w:rPr>
          <w:sz w:val="24"/>
          <w:szCs w:val="24"/>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00" w:hanging="205"/>
        <w:spacing w:after="0"/>
        <w:tabs>
          <w:tab w:leader="none" w:pos="1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09" w:lineRule="exact"/>
        <w:rPr>
          <w:sz w:val="24"/>
          <w:szCs w:val="24"/>
          <w:color w:val="auto"/>
        </w:rPr>
      </w:pPr>
    </w:p>
    <w:p>
      <w:pPr>
        <w:ind w:left="1700"/>
        <w:spacing w:after="0"/>
        <w:rPr>
          <w:sz w:val="20"/>
          <w:szCs w:val="20"/>
          <w:color w:val="auto"/>
        </w:rPr>
      </w:pPr>
      <w:r>
        <w:rPr>
          <w:rFonts w:ascii="Arial" w:cs="Arial" w:eastAsia="Arial" w:hAnsi="Arial"/>
          <w:sz w:val="18"/>
          <w:szCs w:val="18"/>
          <w:color w:val="auto"/>
        </w:rPr>
        <w:t>For the Transition Period Ended: 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44"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1190 Trademark Drive, #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Reno, Nevada 89521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746" w:right="1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Amendment No. 1 to Form 12b-25 amends the Form 12b-25 originally filed by the Company on March 31, 2023 (the “</w:t>
      </w:r>
      <w:r>
        <w:rPr>
          <w:rFonts w:ascii="Arial" w:cs="Arial" w:eastAsia="Arial" w:hAnsi="Arial"/>
          <w:sz w:val="18"/>
          <w:szCs w:val="18"/>
          <w:b w:val="1"/>
          <w:bCs w:val="1"/>
          <w:color w:val="auto"/>
        </w:rPr>
        <w:t>Original Form 12b-25</w:t>
      </w:r>
      <w:r>
        <w:rPr>
          <w:rFonts w:ascii="Arial" w:cs="Arial" w:eastAsia="Arial" w:hAnsi="Arial"/>
          <w:sz w:val="18"/>
          <w:szCs w:val="18"/>
          <w:color w:val="auto"/>
        </w:rPr>
        <w:t>”) and is filed to correct the Company’s response to Part III, and the Original Form 12b-25 as so amended is restated in its entirety.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 portion</w:t>
      </w:r>
    </w:p>
    <w:p>
      <w:pPr>
        <w:spacing w:after="0" w:line="46" w:lineRule="exact"/>
        <w:rPr>
          <w:rFonts w:ascii="Arial" w:cs="Arial" w:eastAsia="Arial" w:hAnsi="Arial"/>
          <w:sz w:val="16"/>
          <w:szCs w:val="16"/>
          <w:color w:val="auto"/>
        </w:rPr>
      </w:pPr>
    </w:p>
    <w:p>
      <w:pPr>
        <w:jc w:val="both"/>
        <w:ind w:left="660" w:hanging="652"/>
        <w:spacing w:after="0" w:line="200" w:lineRule="auto"/>
        <w:tabs>
          <w:tab w:leader="none" w:pos="6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4" w:lineRule="exact"/>
        <w:rPr>
          <w:rFonts w:ascii="MS PGothic" w:cs="MS PGothic" w:eastAsia="MS PGothic" w:hAnsi="MS PGothic"/>
          <w:sz w:val="36"/>
          <w:szCs w:val="36"/>
          <w:color w:val="auto"/>
          <w:vertAlign w:val="subscript"/>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 (Attach extra Sheets if Needed)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determined that it is unable to file the Form 10-K for the year ended December 31, 2022 (the “</w:t>
      </w:r>
      <w:r>
        <w:rPr>
          <w:rFonts w:ascii="Arial" w:cs="Arial" w:eastAsia="Arial" w:hAnsi="Arial"/>
          <w:sz w:val="18"/>
          <w:szCs w:val="18"/>
          <w:b w:val="1"/>
          <w:bCs w:val="1"/>
          <w:color w:val="auto"/>
        </w:rPr>
        <w:t>Form 10-K</w:t>
      </w:r>
      <w:r>
        <w:rPr>
          <w:rFonts w:ascii="Arial" w:cs="Arial" w:eastAsia="Arial" w:hAnsi="Arial"/>
          <w:sz w:val="18"/>
          <w:szCs w:val="18"/>
          <w:color w:val="auto"/>
        </w:rPr>
        <w:t>”) within the prescribed time period without unreasonable effort or expense because it requires additional time to complete its financial statement preparation and review process. The Company’s independent registered public accounting firm is in the process of finalizing the audit of the Company’s financial statements for the year ended December 31, 2022, and requires additional time to complete its audit of such financial statements for purposes of inclusion in the Form 10-K. Among other things, the Company is continuing to assess the accounting treatment related to the business combination completed during the fourth quarter. Although the assessment is not yet complete, the Company expects to report material weaknesses in its internal controls over financial reporting and its disclosure 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file the Form 10-K within the fifteen-day grace period provided by Rule 12b-25.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Denis Phares</w:t>
            </w:r>
          </w:p>
        </w:tc>
        <w:tc>
          <w:tcPr>
            <w:tcW w:w="3600" w:type="dxa"/>
            <w:vAlign w:val="bottom"/>
            <w:gridSpan w:val="2"/>
          </w:tcPr>
          <w:p>
            <w:pPr>
              <w:jc w:val="right"/>
              <w:ind w:right="1410"/>
              <w:spacing w:after="0"/>
              <w:rPr>
                <w:sz w:val="20"/>
                <w:szCs w:val="20"/>
                <w:color w:val="auto"/>
              </w:rPr>
            </w:pPr>
            <w:r>
              <w:rPr>
                <w:rFonts w:ascii="Arial" w:cs="Arial" w:eastAsia="Arial" w:hAnsi="Arial"/>
                <w:sz w:val="18"/>
                <w:szCs w:val="18"/>
                <w:color w:val="auto"/>
              </w:rPr>
              <w:t>(775)</w:t>
            </w:r>
          </w:p>
        </w:tc>
        <w:tc>
          <w:tcPr>
            <w:tcW w:w="3580" w:type="dxa"/>
            <w:vAlign w:val="bottom"/>
            <w:gridSpan w:val="2"/>
          </w:tcPr>
          <w:p>
            <w:pPr>
              <w:jc w:val="right"/>
              <w:ind w:right="1250"/>
              <w:spacing w:after="0"/>
              <w:rPr>
                <w:sz w:val="20"/>
                <w:szCs w:val="20"/>
                <w:color w:val="auto"/>
              </w:rPr>
            </w:pPr>
            <w:r>
              <w:rPr>
                <w:rFonts w:ascii="Arial" w:cs="Arial" w:eastAsia="Arial" w:hAnsi="Arial"/>
                <w:sz w:val="18"/>
                <w:szCs w:val="18"/>
                <w:color w:val="auto"/>
              </w:rPr>
              <w:t>622-3448</w:t>
            </w:r>
          </w:p>
        </w:tc>
      </w:tr>
      <w:tr>
        <w:trPr>
          <w:trHeight w:val="230"/>
        </w:trPr>
        <w:tc>
          <w:tcPr>
            <w:tcW w:w="338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680" w:hanging="672"/>
        <w:spacing w:after="0" w:line="263"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51" w:lineRule="exact"/>
        <w:rPr>
          <w:sz w:val="20"/>
          <w:szCs w:val="20"/>
          <w:color w:val="auto"/>
        </w:rPr>
      </w:pPr>
    </w:p>
    <w:p>
      <w:pPr>
        <w:ind w:left="102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187325</wp:posOffset>
            </wp:positionV>
            <wp:extent cx="67036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680" w:hanging="672"/>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38" w:lineRule="exact"/>
        <w:rPr>
          <w:sz w:val="20"/>
          <w:szCs w:val="20"/>
          <w:color w:val="auto"/>
        </w:rPr>
      </w:pPr>
    </w:p>
    <w:p>
      <w:pPr>
        <w:ind w:left="102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that the results of operations to be included in the Annual Report on Form 10-K will reflect the changes in results of operations from the prior year consistent with the comparative results of operations disclosed in the Company’s press release announcing preliminary unaudited financial results for the fiscal year ended December 31, 2022 included in its Current Report on Form 8-K furnished with the Securities and Exchange Commission on March 29, 2023.</w:t>
      </w:r>
    </w:p>
    <w:p>
      <w:pPr>
        <w:spacing w:after="0" w:line="187"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840" w:val="left"/>
          <w:tab w:leader="none" w:pos="6400" w:val="left"/>
        </w:tabs>
        <w:rPr>
          <w:sz w:val="20"/>
          <w:szCs w:val="20"/>
          <w:color w:val="auto"/>
        </w:rPr>
      </w:pPr>
      <w:r>
        <w:rPr>
          <w:rFonts w:ascii="Arial" w:cs="Arial" w:eastAsia="Arial" w:hAnsi="Arial"/>
          <w:sz w:val="18"/>
          <w:szCs w:val="18"/>
          <w:color w:val="auto"/>
        </w:rPr>
        <w:t>Date:</w:t>
        <w:tab/>
        <w:t>April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772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Denis Phares</w:t>
      </w:r>
    </w:p>
    <w:p>
      <w:pPr>
        <w:spacing w:after="0" w:line="23"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127875" cy="372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372745"/>
                    </a:xfrm>
                    <a:prstGeom prst="rect">
                      <a:avLst/>
                    </a:prstGeom>
                    <a:noFill/>
                  </pic:spPr>
                </pic:pic>
              </a:graphicData>
            </a:graphic>
          </wp:anchor>
        </w:drawing>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2023-04-03T05:39:06Z</dcterms:created>
  <dcterms:modified xsi:type="dcterms:W3CDTF">2023-04-03T05:39:06Z</dcterms:modified>
</cp:coreProperties>
</file>