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80"/>
        <w:spacing w:after="0"/>
        <w:rPr>
          <w:sz w:val="20"/>
          <w:szCs w:val="20"/>
          <w:color w:val="auto"/>
        </w:rPr>
      </w:pPr>
      <w:r>
        <w:rPr>
          <w:rFonts w:ascii="Arial" w:cs="Arial" w:eastAsia="Arial" w:hAnsi="Arial"/>
          <w:sz w:val="16"/>
          <w:szCs w:val="16"/>
          <w:b w:val="1"/>
          <w:bCs w:val="1"/>
          <w:color w:val="auto"/>
        </w:rPr>
        <w:t>Filed by Chardan NexTech Acquisition 2 Corp.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3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Chardan NexTech Acquisition 2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001-40730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94297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2975" cy="63436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142875</wp:posOffset>
            </wp:positionV>
            <wp:extent cx="1097280" cy="488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Chardan NexTech Acquisition 2 Corp. Announces Effectiveness of Registration Statement and October 6, 2022 Special Meeting of Stockholders to Approve Business Combination with Dragonfly Energy Corp.</w:t>
      </w:r>
    </w:p>
    <w:p>
      <w:pPr>
        <w:spacing w:after="0" w:line="162" w:lineRule="exact"/>
        <w:rPr>
          <w:sz w:val="24"/>
          <w:szCs w:val="24"/>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RENO, NEVADA (September 19, 2022) </w:t>
      </w:r>
      <w:r>
        <w:rPr>
          <w:rFonts w:ascii="Arial" w:cs="Arial" w:eastAsia="Arial" w:hAnsi="Arial"/>
          <w:sz w:val="18"/>
          <w:szCs w:val="18"/>
          <w:color w:val="auto"/>
        </w:rPr>
        <w:t>– Chardan NexTech Acquisition 2 Corp. (“CNTQ”) (Nasdaq: CNTQ), a publicly traded special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company, today announced that CNTQ’s registration statement on Form S-4, relating to the previously announced business combination between CNTQ and Dragonfly Energy Corp. (“Dragonfly”), a leading manufacturer of deep cycle lithium-ion batteries, has been declared effective by the U.S. Securities and Exchange Commission.</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CNTQ will mail the definitive proxy statement/prospectus (the “Proxy Statement”) to stockholders of record as of the close of business on August 11, 2022. The Proxy Statement contains a notice and voting instruction form or a proxy card relating to the special meeting of CNTQ’s stockholders (the “Special Meeting”).</w:t>
      </w:r>
    </w:p>
    <w:p>
      <w:pPr>
        <w:spacing w:after="0" w:line="184"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 xml:space="preserve">The Special Meeting to approve the proposed business combination is scheduled to be held on October 6, 2022 at 10:00 a.m. Eastern Time via a virtual meeting format at </w:t>
      </w:r>
      <w:r>
        <w:rPr>
          <w:rFonts w:ascii="Arial" w:cs="Arial" w:eastAsia="Arial" w:hAnsi="Arial"/>
          <w:sz w:val="18"/>
          <w:szCs w:val="18"/>
          <w:u w:val="single" w:color="auto"/>
          <w:color w:val="auto"/>
        </w:rPr>
        <w:t>https://www.cstproxy.com/cnaq/2022</w:t>
      </w:r>
      <w:r>
        <w:rPr>
          <w:rFonts w:ascii="Arial" w:cs="Arial" w:eastAsia="Arial" w:hAnsi="Arial"/>
          <w:sz w:val="18"/>
          <w:szCs w:val="18"/>
          <w:color w:val="auto"/>
        </w:rPr>
        <w:t>. If the proposals at the Special Meeting are approved, the parties anticipate that the business combination will close and the combined entity will commence trading on the Nasdaq under the new ticker symbols “DFLI” and “DFLIW” shortly thereafter, subject to the satisfaction or waiver, as applicable, of all other closing conditions.</w:t>
      </w:r>
    </w:p>
    <w:p>
      <w:pPr>
        <w:spacing w:after="0" w:line="187" w:lineRule="exact"/>
        <w:rPr>
          <w:sz w:val="24"/>
          <w:szCs w:val="24"/>
          <w:color w:val="auto"/>
        </w:rPr>
      </w:pPr>
    </w:p>
    <w:p>
      <w:pPr>
        <w:jc w:val="both"/>
        <w:spacing w:after="0" w:line="301" w:lineRule="auto"/>
        <w:rPr>
          <w:sz w:val="20"/>
          <w:szCs w:val="20"/>
          <w:color w:val="auto"/>
        </w:rPr>
      </w:pPr>
      <w:r>
        <w:rPr>
          <w:rFonts w:ascii="Arial" w:cs="Arial" w:eastAsia="Arial" w:hAnsi="Arial"/>
          <w:sz w:val="16"/>
          <w:szCs w:val="16"/>
          <w:color w:val="auto"/>
        </w:rPr>
        <w:t>Every stockholder's vote is important, regardless of the number of shares held. Accordingly, CNTQ requests that each stockholder complete, sign, date and return a proxy card (online or by mail) as soon as possible and, if by internet, no later than 11:59 p.m. Eastern Time on October 5, 2022, to ensure that the stockholder's shares will be represented at the Special Meeting. Stockholders who hold shares in “street name” (i.e., those stockholders whose shares are held of record by a broker, bank or other nominee) should contact their broker, bank or nominee to ensure that their shares are voted.</w:t>
      </w:r>
    </w:p>
    <w:p>
      <w:pPr>
        <w:spacing w:after="0" w:line="157"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 xml:space="preserve">If any CNTQ stockholder does not receive the Proxy Statement, such stockholder should (i) confirm his or her Proxy Statement’s status with his or her broker or (ii) contact Morrow Sodali LLC, CNTQ's proxy solicitor, for assistance via e-mail at </w:t>
      </w:r>
      <w:r>
        <w:rPr>
          <w:rFonts w:ascii="Arial" w:cs="Arial" w:eastAsia="Arial" w:hAnsi="Arial"/>
          <w:sz w:val="17"/>
          <w:szCs w:val="17"/>
          <w:u w:val="single" w:color="auto"/>
          <w:color w:val="auto"/>
        </w:rPr>
        <w:t>CNTQ.info@investor.morrowsodali.com</w:t>
      </w:r>
      <w:r>
        <w:rPr>
          <w:rFonts w:ascii="Arial" w:cs="Arial" w:eastAsia="Arial" w:hAnsi="Arial"/>
          <w:sz w:val="17"/>
          <w:szCs w:val="17"/>
          <w:color w:val="auto"/>
        </w:rPr>
        <w:t xml:space="preserve"> or toll-free call at 800-662-5200. Banks and brokers can place a collect call to Morrow Sodali LLC at 203-658-9400.</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27" w:lineRule="exact"/>
        <w:rPr>
          <w:sz w:val="24"/>
          <w:szCs w:val="24"/>
          <w:color w:val="auto"/>
        </w:rPr>
      </w:pPr>
    </w:p>
    <w:p>
      <w:pPr>
        <w:jc w:val="both"/>
        <w:spacing w:after="0" w:line="302" w:lineRule="auto"/>
        <w:rPr>
          <w:sz w:val="20"/>
          <w:szCs w:val="20"/>
          <w:color w:val="auto"/>
        </w:rPr>
      </w:pPr>
      <w:r>
        <w:rPr>
          <w:rFonts w:ascii="Arial" w:cs="Arial" w:eastAsia="Arial" w:hAnsi="Arial"/>
          <w:sz w:val="16"/>
          <w:szCs w:val="16"/>
          <w:color w:val="auto"/>
        </w:rPr>
        <w:t>Stifel, Nicolaus &amp; Company, Incorporated (“Stifel”) is serving as financial advisor, and O’Melveny &amp; Myers, LLP and Parsons Beble &amp; Latimer are serving as legal counsel, to Dragonfly. Chardan Capital Markets LLC (“Chardan”) is serving as financial advisor, Stifel and Chardan are acting as joint placement agents, and Skadden, Arps, Slate, Meagher &amp; Flom LLP and Brownstein Hyatt Farber Schreck, LLP are serving as legal counsel, to CNTQ.</w:t>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Dragonfly</w:t>
      </w:r>
    </w:p>
    <w:p>
      <w:pPr>
        <w:spacing w:after="0" w:line="27" w:lineRule="exact"/>
        <w:rPr>
          <w:sz w:val="24"/>
          <w:szCs w:val="24"/>
          <w:color w:val="auto"/>
        </w:rPr>
      </w:pPr>
    </w:p>
    <w:p>
      <w:pPr>
        <w:jc w:val="both"/>
        <w:spacing w:after="0" w:line="292" w:lineRule="auto"/>
        <w:rPr>
          <w:sz w:val="20"/>
          <w:szCs w:val="20"/>
          <w:color w:val="auto"/>
        </w:rPr>
      </w:pPr>
      <w:r>
        <w:rPr>
          <w:rFonts w:ascii="Arial" w:cs="Arial" w:eastAsia="Arial" w:hAnsi="Arial"/>
          <w:sz w:val="16"/>
          <w:szCs w:val="16"/>
          <w:color w:val="auto"/>
        </w:rPr>
        <w:t xml:space="preserve">Dragonfly Energy Corp., headquartered in Reno, Nevada, is a leading supplier of deep cycle lithium-ion batteries. Dragonfly’s research and development initiatives are revolutionizing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to enable a more sustainable and reliable smart grid through the future deployment of the Company’s proprietary and patented solid-state cell technology. To learn more, visit </w:t>
      </w:r>
      <w:r>
        <w:rPr>
          <w:rFonts w:ascii="Arial" w:cs="Arial" w:eastAsia="Arial" w:hAnsi="Arial"/>
          <w:sz w:val="16"/>
          <w:szCs w:val="16"/>
          <w:u w:val="single" w:color="auto"/>
          <w:color w:val="auto"/>
        </w:rPr>
        <w:t>www.dragonflyenergy.com/investors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About Chardan NexTech Acquisition 2 Corp.</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Chardan NexTech Acquisition 2 Corp. (Nasdaq: CNTQ) is a blank check company led by its Chairman of the Board of Directors, Kerry Propper, its Chief Executive Officer and Director, Jonas Grossman, and its Chief Financial Officer and Director, Alex Weil. The company was formed for the purpose of effecting a merger, share exchange, asset acquisition, stock purchase, recapitalization, reorganization or similar business combination with one or more businesses. The Company has focused its search for a target business operating in disruptive technologies. To learn more, visit </w:t>
      </w:r>
      <w:r>
        <w:rPr>
          <w:rFonts w:ascii="Arial" w:cs="Arial" w:eastAsia="Arial" w:hAnsi="Arial"/>
          <w:sz w:val="16"/>
          <w:szCs w:val="16"/>
          <w:u w:val="single" w:color="auto"/>
          <w:color w:val="auto"/>
        </w:rPr>
        <w:t>https://www.cnaq.com/</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This press release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press release,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Reports on Form 10-Q for the three months ended March 31, 2022 and the six months ended June 30, 2022 and registration statement on Form S-4 (File No. 333-266273) filed with the SEC on July 22, 2022, as amended,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press release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in a Current Report on Form 8-K by CNTQ with the SEC and available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Additional Information About the Proposed Business Combination and Where to Find It</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press release relates to a proposed transaction between CNTQ and Dragonfly. CNTQ has filed a registration statement on Form S-4 (File No. 333-266273) with the SEC on July 22, 2022, as amended,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documents filed by CNTQ with the SEC also may be obtained by contacting Chardan NexTech Acquisition 2 Corp. at 17 State Street, 21st Floor, New York, New York 10004, or by calling (646) 465-9001.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NEITHER THE SEC NOR ANY STATE SECURITIES REGULATORY AGENCY HAS APPROVED OR DISAPPROVED THE TRANSACTIONS DESCRIBED IN THIS PRESS RELEASE, PASSED UPON THE MERITS OR FAIRNESS OF THE BUSINESS COMBINATION OR RELATED TRANSACTIONS OR PASSED UPON THE ADEQUACY OR ACCURACY OF THE DISCLOSURE IN THIS PRESS RELEASE. ANY REPRESENTATION TO THE CONTRARY CONSTITUTES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Dragonfly, CNTQ and certain of their respective directors, executive officers and other members of management and employees may, under SEC rules, be deemed to be participants in the solicitation of proxies from CNTQ’s stockholders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stockholders as of a record date to be established for voting on the proposed business combination when it becomes available.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press release and the information contained therein are not intended to and do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Dragonfly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Sioban Hickie, ICR,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DragonflyIR@icrinc.com</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Public Relations, Media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Zach Gorin, ICR,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DragonflyPR@icrinc.com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2022-09-20T05:17:16Z</dcterms:created>
  <dcterms:modified xsi:type="dcterms:W3CDTF">2022-09-20T05:17:16Z</dcterms:modified>
</cp:coreProperties>
</file>