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 2022 (September 30,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CHARDAN NEXTECH ACQUISITION 2 CORP.</w:t>
      </w:r>
    </w:p>
    <w:p>
      <w:pPr>
        <w:spacing w:after="0" w:line="237"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5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840" w:type="dxa"/>
            <w:vAlign w:val="bottom"/>
          </w:tcPr>
          <w:p>
            <w:pPr>
              <w:spacing w:after="0"/>
              <w:rPr>
                <w:sz w:val="20"/>
                <w:szCs w:val="20"/>
                <w:color w:val="auto"/>
              </w:rPr>
            </w:pPr>
          </w:p>
        </w:tc>
      </w:tr>
      <w:tr>
        <w:trPr>
          <w:trHeight w:val="410"/>
        </w:trPr>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1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216"/>
        </w:trPr>
        <w:tc>
          <w:tcPr>
            <w:tcW w:w="2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5040" w:type="dxa"/>
            <w:vAlign w:val="bottom"/>
          </w:tcPr>
          <w:p>
            <w:pPr>
              <w:spacing w:after="0"/>
              <w:rPr>
                <w:sz w:val="20"/>
                <w:szCs w:val="20"/>
                <w:color w:val="auto"/>
              </w:rPr>
            </w:pP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17 State Street, 21st Floor</w:t>
            </w:r>
          </w:p>
        </w:tc>
        <w:tc>
          <w:tcPr>
            <w:tcW w:w="50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5040" w:type="dxa"/>
            <w:vAlign w:val="bottom"/>
          </w:tcPr>
          <w:p>
            <w:pPr>
              <w:spacing w:after="0"/>
              <w:rPr>
                <w:sz w:val="18"/>
                <w:szCs w:val="18"/>
                <w:color w:val="auto"/>
              </w:rPr>
            </w:pPr>
          </w:p>
        </w:tc>
        <w:tc>
          <w:tcPr>
            <w:tcW w:w="1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10004</w:t>
            </w:r>
          </w:p>
        </w:tc>
      </w:tr>
      <w:tr>
        <w:trPr>
          <w:trHeight w:val="216"/>
        </w:trPr>
        <w:tc>
          <w:tcPr>
            <w:tcW w:w="25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w:t>
            </w:r>
          </w:p>
        </w:tc>
        <w:tc>
          <w:tcPr>
            <w:tcW w:w="5040" w:type="dxa"/>
            <w:vAlign w:val="bottom"/>
          </w:tcPr>
          <w:p>
            <w:pPr>
              <w:spacing w:after="0"/>
              <w:rPr>
                <w:sz w:val="18"/>
                <w:szCs w:val="18"/>
                <w:color w:val="auto"/>
              </w:rPr>
            </w:pP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238"/>
        </w:trPr>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offices)</w:t>
            </w:r>
          </w:p>
        </w:tc>
        <w:tc>
          <w:tcPr>
            <w:tcW w:w="50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14"/>
        </w:trPr>
        <w:tc>
          <w:tcPr>
            <w:tcW w:w="2560" w:type="dxa"/>
            <w:vAlign w:val="bottom"/>
          </w:tcPr>
          <w:p>
            <w:pPr>
              <w:spacing w:after="0"/>
              <w:rPr>
                <w:sz w:val="24"/>
                <w:szCs w:val="24"/>
                <w:color w:val="auto"/>
              </w:rPr>
            </w:pPr>
          </w:p>
        </w:tc>
        <w:tc>
          <w:tcPr>
            <w:tcW w:w="5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(646) 465-9000</w:t>
            </w:r>
          </w:p>
        </w:tc>
        <w:tc>
          <w:tcPr>
            <w:tcW w:w="1840" w:type="dxa"/>
            <w:vAlign w:val="bottom"/>
          </w:tcPr>
          <w:p>
            <w:pPr>
              <w:spacing w:after="0"/>
              <w:rPr>
                <w:sz w:val="24"/>
                <w:szCs w:val="24"/>
                <w:color w:val="auto"/>
              </w:rPr>
            </w:pPr>
          </w:p>
        </w:tc>
      </w:tr>
      <w:tr>
        <w:trPr>
          <w:trHeight w:val="234"/>
        </w:trPr>
        <w:tc>
          <w:tcPr>
            <w:tcW w:w="2560" w:type="dxa"/>
            <w:vAlign w:val="bottom"/>
          </w:tcPr>
          <w:p>
            <w:pPr>
              <w:spacing w:after="0"/>
              <w:rPr>
                <w:sz w:val="20"/>
                <w:szCs w:val="20"/>
                <w:color w:val="auto"/>
              </w:rPr>
            </w:pPr>
          </w:p>
        </w:tc>
        <w:tc>
          <w:tcPr>
            <w:tcW w:w="5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40" w:type="dxa"/>
            <w:vAlign w:val="bottom"/>
          </w:tcPr>
          <w:p>
            <w:pPr>
              <w:spacing w:after="0"/>
              <w:rPr>
                <w:sz w:val="20"/>
                <w:szCs w:val="20"/>
                <w:color w:val="auto"/>
              </w:rPr>
            </w:pPr>
          </w:p>
        </w:tc>
      </w:tr>
      <w:tr>
        <w:trPr>
          <w:trHeight w:val="414"/>
        </w:trPr>
        <w:tc>
          <w:tcPr>
            <w:tcW w:w="2560" w:type="dxa"/>
            <w:vAlign w:val="bottom"/>
          </w:tcPr>
          <w:p>
            <w:pPr>
              <w:spacing w:after="0"/>
              <w:rPr>
                <w:sz w:val="24"/>
                <w:szCs w:val="24"/>
                <w:color w:val="auto"/>
              </w:rPr>
            </w:pPr>
          </w:p>
        </w:tc>
        <w:tc>
          <w:tcPr>
            <w:tcW w:w="5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40" w:type="dxa"/>
            <w:vAlign w:val="bottom"/>
          </w:tcPr>
          <w:p>
            <w:pPr>
              <w:spacing w:after="0"/>
              <w:rPr>
                <w:sz w:val="24"/>
                <w:szCs w:val="24"/>
                <w:color w:val="auto"/>
              </w:rPr>
            </w:pPr>
          </w:p>
        </w:tc>
      </w:tr>
      <w:tr>
        <w:trPr>
          <w:trHeight w:val="234"/>
        </w:trPr>
        <w:tc>
          <w:tcPr>
            <w:tcW w:w="2560" w:type="dxa"/>
            <w:vAlign w:val="bottom"/>
          </w:tcPr>
          <w:p>
            <w:pPr>
              <w:spacing w:after="0"/>
              <w:rPr>
                <w:sz w:val="20"/>
                <w:szCs w:val="20"/>
                <w:color w:val="auto"/>
              </w:rPr>
            </w:pPr>
          </w:p>
        </w:tc>
        <w:tc>
          <w:tcPr>
            <w:tcW w:w="5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84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Common Stock, $0.0001 par</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CNTQU</w:t>
            </w:r>
          </w:p>
        </w:tc>
        <w:tc>
          <w:tcPr>
            <w:tcW w:w="1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value, and three-quarters of one Redeemable Warrant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 Stock, par value $0.0001 per share, included as part of</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CNTQ</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the Units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Redeemable Warrants included as part of the Units, each</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CNTQW</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share of Common Stock for $11.50 per share</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announced, Chardan NexTech Acquisition 2 Corp., a Delaware corporation (“Chardan” or “the Company”), Bronco Merger Sub, Inc., a Nevada corporation and a wholly owned subsidiary of Chardan (“Merger Sub”) and Dragonfly Energy Corp., a Nevada corporation (“Dragonfly”), entered into an Agreement and Plan of Merger, dated May 15, 2022, as amended on July 12, 2022 (as it may be amended, supplemented or otherwise modified from time to time, the “Business Combination Agreement”), pursuant to which Merger Sub will merge with and into Dragonfly, the separate corporate existence of Merger Sub will cease and Dragonfly will be the surviving corporation and a wholly owned subsidiary of Chardan (the “Business Combination”). Upon the closing of the transactions contemplated by the Business Combination Agreement, Chardan will be renamed “Dragonfly Energy Holdings Corp.” and is referred to herein as “New Dragonfly.” A description of the Business Combination and the terms of the Business Combination Agreement are included in the proxy statement/prospectus, dated September 16, 2022 (the “Proxy Statement/Prospectus”) as filed with the Securities and Exchange Commission (the “SEC”) in the section entitled “Proposal No. 1 — The Business Combination Proposal” of the Proxy Statement/Prospectus.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previously reported in the Proxy Statement/Prospectus, concurrently with the execution of the Business Combination Agreement, Chardan entered into a subscription agreement (the “Subscription Agreement”) with Chardan NexTech Investments 2 LLC, a Delaware limited liability company (the “Sponsor”), pursuant to which, among other things, the Sponsor agreed to subscribe for and purchase, and Chardan agreed to issue and sell to the Sponsor, 500,000 newly issued shares of Chardan common stock (the “Common Stock”), for a price of $10.00 per share for gross proceeds of $5 million (the “PIPE Investment”). The number of shares of the Common Stock that the Sponsor is obligated to purchase under the Subscription Agreement shall be reduced by the number of shares of the Common Stock that the Sponsor may purchase in the open market, provided that such purchased shares are not redeemed, and the aggregate price to be paid under the Subscription Agreement shall be reduced by the amount of proceeds received by the Company because such shares are not redeemed. On September 28, 2022, the Sponsor and Chardan Capital Markets LLC, a Delaware limited liability company (the “Assignee”) entered into an assignment, assumption and joinder agreement, pursuant to which the Sponsor assigned all of the Sponsor’s rights, benefits and obligations under the Subscription Agreement to the Assignee.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2022, the Assignee has acquired in the open market and continues to hold a total of 485,000 shares of Common Stock, which were purchased during the week of September 26, 2022, at purchase prices per share ranging from $10.33 to $10.38 (such shares, the “Purchase Shares”). In accordance with the aforementioned offset provision provided in the Subscription Agreement, and assuming a per share redemption price of $10.32, the aggregate purchase price that the Assignee is obligated to pay under the Subscription Agreement will be reduced from $5 million to zero and the aggregate number of shares of the Common Stock that the Assignee is obligated to purchase under the Subscription Agreement will be reduced from 500,000 shares to an aggregate of 15,000 shares of Common Stock. The Assignee has waived its right to redeem the Purchased Shares and may not cast votes with respect to the Purchased Shares at Chardan’s Special Meeting of Stockholders on October 6, 2022. Chardan does not believe that the waiver of voting rights of the Assignee with respect to the Purchase Shares will materially impact the likelihood that the Business Combination will be approved at such meeting.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contains certain “forward-looking statements” within the meaning of the United States Private Securities Litigation Reform Act of 1995, Section 27A of the Securities Act of 1933, as amended and Section 21E of the Securities Exchange Act of 1934, as amended, including certain financial forecasts and projections. All statements other than statements of historical fact contained in this current report ,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Chardan) which could cause actual results to differ materially from those expressed or implied by such forward-looking statements. All forward-looking statements are based upon estimates, forecasts and assumptions that, while considered reasonable by Chardan and its management, and Dragonfly and its management, as the case may be, are inherently uncertain and many factors may cause the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t>Factors that may impact such forward-looking statements include:</w:t>
      </w:r>
    </w:p>
    <w:p>
      <w:pPr>
        <w:spacing w:after="0" w:line="225" w:lineRule="exact"/>
        <w:rPr>
          <w:sz w:val="20"/>
          <w:szCs w:val="20"/>
          <w:color w:val="auto"/>
        </w:rPr>
      </w:pPr>
    </w:p>
    <w:p>
      <w:pPr>
        <w:ind w:left="644" w:hanging="644"/>
        <w:spacing w:after="0" w:line="261"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Business Combination Agreement;</w:t>
      </w:r>
    </w:p>
    <w:p>
      <w:pPr>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Chardan, Dragonfly or others following announcement of the Business Combination and the transactions contemplated in the Business Combination Agreement;</w:t>
      </w:r>
    </w:p>
    <w:p>
      <w:pPr>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transactions contemplated by the Business Combination Agreement due to the failure to obtain approval of the stockholders of Chardan or other conditions to closing in the Business Combination Agreement;</w:t>
      </w: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or maintain the listing of New Dragonfly common stock on the Nasdaq following the Business Combination;</w:t>
      </w:r>
    </w:p>
    <w:p>
      <w:pPr>
        <w:spacing w:after="0" w:line="9" w:lineRule="exact"/>
        <w:rPr>
          <w:rFonts w:ascii="Times New Roman" w:cs="Times New Roman" w:eastAsia="Times New Roman" w:hAnsi="Times New Roman"/>
          <w:sz w:val="18"/>
          <w:szCs w:val="18"/>
          <w:color w:val="auto"/>
        </w:rPr>
      </w:pPr>
    </w:p>
    <w:p>
      <w:pPr>
        <w:ind w:left="644" w:right="20"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proposed structure of the Business Combination that may be required or appropriate as a result of applicable laws or regulations or as a condition to obtaining regulatory approval of the Business Combination;</w:t>
      </w: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meet Nasdaq’s listing standards following the consummation of the Business Combination;</w:t>
      </w:r>
    </w:p>
    <w:p>
      <w:pPr>
        <w:spacing w:after="0" w:line="9" w:lineRule="exact"/>
        <w:rPr>
          <w:rFonts w:ascii="Times New Roman" w:cs="Times New Roman" w:eastAsia="Times New Roman" w:hAnsi="Times New Roman"/>
          <w:sz w:val="18"/>
          <w:szCs w:val="18"/>
          <w:color w:val="auto"/>
        </w:rPr>
      </w:pPr>
    </w:p>
    <w:p>
      <w:pPr>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proposed transaction disrupts current plans and operations of Dragonfly as a result of the announcement and consummation of the Business Combination;</w:t>
      </w:r>
    </w:p>
    <w:p>
      <w:pPr>
        <w:jc w:val="both"/>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recognize the anticipated benefits of the Business Combination, which may be affected by, among other things, the ability of New Dragonfly to grow and manage growth profitably, maintain relationships with customers, compete within its industry and retain its key employees;</w:t>
      </w:r>
    </w:p>
    <w:p>
      <w:pPr>
        <w:spacing w:after="0" w:line="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Dragonfly to successfully increase market penetration into its target markets;</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Dragonfly intends to target do not grow as expected;</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Dragonfly’s senior management team or other key personnel;</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Dragonfly’s patents and other intellectual property;</w:t>
      </w:r>
    </w:p>
    <w:p>
      <w:pPr>
        <w:spacing w:after="0" w:line="9" w:lineRule="exact"/>
        <w:rPr>
          <w:rFonts w:ascii="Times New Roman" w:cs="Times New Roman" w:eastAsia="Times New Roman" w:hAnsi="Times New Roman"/>
          <w:sz w:val="18"/>
          <w:szCs w:val="18"/>
          <w:color w:val="auto"/>
        </w:rPr>
      </w:pPr>
    </w:p>
    <w:p>
      <w:pPr>
        <w:ind w:left="644" w:right="20"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 state cells or to produce commercially viable solid state cells in a timely manner or at all, or to scale to mass production;</w:t>
      </w: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proposed Business Combination;</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9" w:lineRule="exact"/>
        <w:rPr>
          <w:rFonts w:ascii="Times New Roman" w:cs="Times New Roman" w:eastAsia="Times New Roman" w:hAnsi="Times New Roman"/>
          <w:sz w:val="18"/>
          <w:szCs w:val="18"/>
          <w:color w:val="auto"/>
        </w:rPr>
      </w:pPr>
    </w:p>
    <w:p>
      <w:pPr>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Dragonfly or the combined company may be adversely affected by other economic, business and/or competitive factors (including an economic slowdown or inflationary pressures);</w:t>
      </w:r>
    </w:p>
    <w:p>
      <w:pPr>
        <w:ind w:left="644" w:right="20"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Dragonfly’s estimates of its growth and projected financial results for 2022 and 2023 and meeting or satisfying the underlying assumptions with respect thereto;</w:t>
      </w:r>
    </w:p>
    <w:p>
      <w:pPr>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Business Combination may not be completed in a timely manner or at all, which may adversely affect the price of Chardan’s securities;</w:t>
      </w:r>
    </w:p>
    <w:p>
      <w:pPr>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transaction may not be completed by Chardan’s Business Combination deadline (as may be extended pursuant to Chardan’s governing documents);</w:t>
      </w:r>
    </w:p>
    <w:p>
      <w:pPr>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novel coronavirus disease pandemic, including any mutations or variants thereof, and its effect on business and financial conditions;</w:t>
      </w: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complete the PIPE Investment, the Term Loan and equity line in connection with the Business Combination;</w:t>
      </w:r>
    </w:p>
    <w:p>
      <w:pPr>
        <w:spacing w:after="0" w:line="9" w:lineRule="exact"/>
        <w:rPr>
          <w:rFonts w:ascii="Times New Roman" w:cs="Times New Roman" w:eastAsia="Times New Roman" w:hAnsi="Times New Roman"/>
          <w:sz w:val="18"/>
          <w:szCs w:val="18"/>
          <w:color w:val="auto"/>
        </w:rPr>
      </w:pPr>
    </w:p>
    <w:p>
      <w:pPr>
        <w:ind w:left="644" w:hanging="644"/>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Dragonfly’s failure to timely achieve the anticipated benefits of Dragonfly’s customer arrangements with THOR;</w:t>
      </w: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ability to raise additional capital to fund its operations;</w:t>
      </w:r>
    </w:p>
    <w:p>
      <w:pPr>
        <w:spacing w:after="0" w:line="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ability to generate revenue from future product sales and its ability to achieve and maintain profitability;</w:t>
      </w:r>
    </w:p>
    <w:p>
      <w:pPr>
        <w:spacing w:after="0" w:line="9" w:lineRule="exact"/>
        <w:rPr>
          <w:rFonts w:ascii="Times New Roman" w:cs="Times New Roman" w:eastAsia="Times New Roman" w:hAnsi="Times New Roman"/>
          <w:sz w:val="18"/>
          <w:szCs w:val="18"/>
          <w:color w:val="auto"/>
        </w:rPr>
      </w:pPr>
    </w:p>
    <w:p>
      <w:pPr>
        <w:ind w:left="644" w:hanging="644"/>
        <w:spacing w:after="0" w:line="26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New Dragonfly’s projections and estimates regarding its expenses, capital requirements, cash utilization, and need for additional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281305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 w:name="page4"/>
    <w:bookmarkEnd w:id="3"/>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uses of the net proceeds from the Business Combination;</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scope and value of New Dragonfly’s intellectual property and proprietary rights;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New Dragonfly’s competitors and its industry;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ability to engage target customers and successfully convert these customers into meaningful orders in the future;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reliance on two suppliers for its LFP cells and a single supplier for the manufacture of its battery management system;</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likely dependence on a single manufacturing facility;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Dragonfly’s increasing reliance on software and hardware that is highly complex and technical; and</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60"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the Proxy Statement/Prospectus, including those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Proxy Statement/Prospectus, and other filings that have been made or will be made with the SEC by Chardan and New Dragonfly, as applicable.</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current report are based on Chardan’s and Dragonfly’s current expectations and beliefs concerning future developments and their potential effects on the Business Combination and Dragonfly. There can be no assurance that future developments affecting Chardan and/or Dragonfly will be those that Chardan or Dragonfly has anticipated. These forward-looking statements involve a number of risks, uncertainties (some of which are beyond Chardan’s and/or Dragonfly’s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the assumptions prove incorrect, actual results may vary in material respects from those projected in these forward-looking statements. Chardan and Dragonfly will not undertake any obligation to update or revise any forward-looking statements, whether as a result of new information, future events or otherwise, except as may be required under applicable securities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current report relates to a proposed transaction between Chardan and Dragonfly. Chardan has filed the Proxy Statement/Prospectus with the SEC on September 16, 2022. The Proxy Statement/Prospectus was sent to all Chardan stockholders. Chardan has also filed other documents regarding the proposed transaction with the SEC. Before making any voting decision, investors and security holders of Chardan are urged to read the Proxy Statement/Prospectus and all other relevant documents filed or that will be filed with the SEC in connection with the proposed transaction because they contain important information about the proposed transaction.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documents filed by Chardan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CURRENT REPORT, PASSED UPON THE MERITS OR FAIRNESS OF THE BUSINESS COMBINATION OR RELATED TRANSACTIONS OR PASSED UPON THE ADEQUACY OR ACCURACY OF THE DISCLOSURE IN THIS CURRENT REPORT. ANY REPRESENTATION TO THE CONTRARY CONSTITUTES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2022-10-03T12:37:58Z</dcterms:created>
  <dcterms:modified xsi:type="dcterms:W3CDTF">2022-10-03T12:37:58Z</dcterms:modified>
</cp:coreProperties>
</file>