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14,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Re: Dragonfly Energy Holdings Corp. (the “Company”)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S-1 (File No. 333-272401)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461 under the Securities Act of 1933, as amended, the Company hereby requests that the effective date for the Registration Statement referred to above be accelerated so that it will be declared effective at 4:30 p.m. Eastern Time on June 15, 2023, or as soon thereafter as is practicable.</w:t>
      </w:r>
    </w:p>
    <w:p>
      <w:pPr>
        <w:spacing w:after="0" w:line="18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call Steven Skolnick of Lowenstein Sandler LLP at 973-597-2476 to confirm the effectiveness of the Registration Statement or with any questions.</w:t>
      </w:r>
    </w:p>
    <w:p>
      <w:pPr>
        <w:spacing w:after="0" w:line="17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Dragonfly Energy Holdings Corp.</w:t>
      </w:r>
    </w:p>
    <w:p>
      <w:pPr>
        <w:spacing w:after="0" w:line="225"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 Denis Phares</w:t>
      </w:r>
    </w:p>
    <w:p>
      <w:pPr>
        <w:spacing w:after="0" w:line="36" w:lineRule="exact"/>
        <w:rPr>
          <w:sz w:val="24"/>
          <w:szCs w:val="24"/>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2023-07-24T00:15:06Z</dcterms:created>
  <dcterms:modified xsi:type="dcterms:W3CDTF">2023-07-24T00:15:06Z</dcterms:modified>
</cp:coreProperties>
</file>