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333-272401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10,000,000 Shares of Common Stock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to Purchase up to 10,000,0000 Shares of Common Stock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10,000,000 Shares of Common Stock underlying the Warrants</w:t>
      </w:r>
    </w:p>
    <w:p>
      <w:pPr>
        <w:spacing w:after="0" w:line="229"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offering 10,000,0000 shares of our common stock and warrants to purchase up to an aggregate of 10,000,000 shares of our common stock, which we refer to as “investor warrants.” Each share of our common stock is being sold together with a five-year warrant to purchase one share of our common stock. The investor warrants will have an exercise price of $2.00 per share and will be exercisable upon issuance. This prospectus also relates to the offering of the shares of common stock issuable upon exercise of the investor warrants. Our common stock is currently listed on Nasdaq under the symbol “DFLI.” The last reported sales price of our common stock on June 21, 2023 was $1.55.</w:t>
      </w:r>
    </w:p>
    <w:p>
      <w:pPr>
        <w:spacing w:after="0" w:line="176"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established trading market for any of the investor warrants and we do not expect a market to develop. We do not intend to apply for a listing for any of the investor warrants on any national securities exchange. Without an active trading market, the liquidity of the warrants will be limited.</w:t>
      </w:r>
    </w:p>
    <w:p>
      <w:pPr>
        <w:spacing w:after="0" w:line="12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should read this prospectus carefully, together with additional information described under the heading “</w:t>
      </w:r>
      <w:r>
        <w:rPr>
          <w:rFonts w:ascii="Arial" w:cs="Arial" w:eastAsia="Arial" w:hAnsi="Arial"/>
          <w:sz w:val="18"/>
          <w:szCs w:val="18"/>
          <w:u w:val="single" w:color="auto"/>
          <w:color w:val="0000EE"/>
        </w:rPr>
        <w:t>Where You Can Find More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Information</w:t>
      </w:r>
      <w:r>
        <w:rPr>
          <w:rFonts w:ascii="Arial" w:cs="Arial" w:eastAsia="Arial" w:hAnsi="Arial"/>
          <w:sz w:val="18"/>
          <w:szCs w:val="18"/>
          <w:color w:val="000000"/>
        </w:rPr>
        <w:t>,” before you invest in any of our securities.</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an “emerging growth company” under applicable federal securities laws and are subject to reduced public company reporting requirements.</w:t>
      </w:r>
    </w:p>
    <w:p>
      <w:pPr>
        <w:spacing w:after="0" w:line="166"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the section entitled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5 of this prospectus for a discussion of risks that should be considered in connection with an investment in our securities.</w:t>
      </w:r>
    </w:p>
    <w:p>
      <w:pPr>
        <w:spacing w:after="0" w:line="162"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Per Share of</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 Stock and</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Accompanying</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Warrant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54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0.14</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1,400,000</w:t>
            </w: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to us, before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18,600,000</w:t>
            </w:r>
          </w:p>
        </w:tc>
      </w:tr>
    </w:tbl>
    <w:p>
      <w:pPr>
        <w:spacing w:after="0" w:line="202"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reimburse the underwriters for certain expenses. See “Underwriting” on page 100 of this prospectus for additional information.</w:t>
      </w:r>
    </w:p>
    <w:p>
      <w:pPr>
        <w:spacing w:after="0" w:line="170" w:lineRule="exact"/>
        <w:rPr>
          <w:rFonts w:ascii="Arial" w:cs="Arial" w:eastAsia="Arial" w:hAnsi="Arial"/>
          <w:sz w:val="18"/>
          <w:szCs w:val="18"/>
          <w:color w:val="auto"/>
        </w:rPr>
      </w:pPr>
    </w:p>
    <w:p>
      <w:pPr>
        <w:jc w:val="both"/>
        <w:ind w:left="340"/>
        <w:spacing w:after="0" w:line="275" w:lineRule="auto"/>
        <w:rPr>
          <w:rFonts w:ascii="Arial" w:cs="Arial" w:eastAsia="Arial" w:hAnsi="Arial"/>
          <w:sz w:val="18"/>
          <w:szCs w:val="18"/>
          <w:color w:val="auto"/>
        </w:rPr>
      </w:pPr>
      <w:r>
        <w:rPr>
          <w:rFonts w:ascii="Arial" w:cs="Arial" w:eastAsia="Arial" w:hAnsi="Arial"/>
          <w:sz w:val="17"/>
          <w:szCs w:val="17"/>
          <w:color w:val="auto"/>
        </w:rPr>
        <w:t>We will issue to the underwriters, or their permitted designees warrants (the “Underwriters’ Warrants”) to purchase up to an aggregate number of shares of common stock representing five (5%) of the common stock offered hereby, including any shares of common stock issued if the underwriters option to purchase additional shares of common stock is exercised. The Underwriters’ Warrants will have an exercise price of 125% of the combined public offering price per share of common stock and accompanying investor warrant, will have a cashless exercise provision and will terminate on the fifth anniversary of the effective date of the registration statement of which this prospectus is a part.</w:t>
      </w:r>
    </w:p>
    <w:p>
      <w:pPr>
        <w:spacing w:after="0" w:line="176"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granted the underwriters a 45-day over-allotment option to purchase up to an additional 1,500,000 shares of common stock and/or investor warrants to purchase up to an aggregate of 1,500,000 shares of common stock from us at the public offering price above, less the underwriting discounts and commissions. The purchase price to be paid by the underwriters per additional share of common stock will be $1.99, less underwriting discounts and commissions, and the purchase price to be paid by the underwriters per additional warrant will be $0.01, less underwriting discounts and commissions.</w:t>
      </w:r>
    </w:p>
    <w:p>
      <w:pPr>
        <w:spacing w:after="0" w:line="18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of common stock and investor warrants on or about June 22, 2023.</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375"/>
        </w:trPr>
        <w:tc>
          <w:tcPr>
            <w:tcW w:w="7580" w:type="dxa"/>
            <w:vAlign w:val="bottom"/>
          </w:tcPr>
          <w:p>
            <w:pPr>
              <w:ind w:left="1440"/>
              <w:spacing w:after="0"/>
              <w:rPr>
                <w:sz w:val="20"/>
                <w:szCs w:val="20"/>
                <w:color w:val="auto"/>
              </w:rPr>
            </w:pPr>
            <w:r>
              <w:rPr>
                <w:rFonts w:ascii="Arial" w:cs="Arial" w:eastAsia="Arial" w:hAnsi="Arial"/>
                <w:sz w:val="29"/>
                <w:szCs w:val="29"/>
                <w:b w:val="1"/>
                <w:bCs w:val="1"/>
                <w:color w:val="auto"/>
              </w:rPr>
              <w:t>Roth Capital Partners</w:t>
            </w:r>
          </w:p>
        </w:tc>
        <w:tc>
          <w:tcPr>
            <w:tcW w:w="3660" w:type="dxa"/>
            <w:vAlign w:val="bottom"/>
          </w:tcPr>
          <w:p>
            <w:pPr>
              <w:ind w:left="300"/>
              <w:spacing w:after="0"/>
              <w:rPr>
                <w:sz w:val="20"/>
                <w:szCs w:val="20"/>
                <w:color w:val="auto"/>
              </w:rPr>
            </w:pPr>
            <w:r>
              <w:rPr>
                <w:rFonts w:ascii="Arial" w:cs="Arial" w:eastAsia="Arial" w:hAnsi="Arial"/>
                <w:sz w:val="29"/>
                <w:szCs w:val="29"/>
                <w:b w:val="1"/>
                <w:bCs w:val="1"/>
                <w:color w:val="auto"/>
              </w:rPr>
              <w:t>Chardan</w:t>
            </w:r>
          </w:p>
        </w:tc>
      </w:tr>
      <w:tr>
        <w:trPr>
          <w:trHeight w:val="427"/>
        </w:trPr>
        <w:tc>
          <w:tcPr>
            <w:tcW w:w="7580" w:type="dxa"/>
            <w:vAlign w:val="bottom"/>
          </w:tcPr>
          <w:p>
            <w:pPr>
              <w:ind w:left="3960"/>
              <w:spacing w:after="0"/>
              <w:rPr>
                <w:sz w:val="20"/>
                <w:szCs w:val="20"/>
                <w:color w:val="auto"/>
              </w:rPr>
            </w:pPr>
            <w:r>
              <w:rPr>
                <w:rFonts w:ascii="Arial" w:cs="Arial" w:eastAsia="Arial" w:hAnsi="Arial"/>
                <w:sz w:val="18"/>
                <w:szCs w:val="18"/>
                <w:b w:val="1"/>
                <w:bCs w:val="1"/>
                <w:color w:val="auto"/>
                <w:w w:val="95"/>
              </w:rPr>
              <w:t>The date of this prospectus is June 20, 2023</w:t>
            </w:r>
          </w:p>
        </w:tc>
        <w:tc>
          <w:tcPr>
            <w:tcW w:w="3660" w:type="dxa"/>
            <w:vAlign w:val="bottom"/>
          </w:tcPr>
          <w:p>
            <w:pPr>
              <w:spacing w:after="0"/>
              <w:rPr>
                <w:sz w:val="24"/>
                <w:szCs w:val="24"/>
                <w:color w:val="auto"/>
              </w:rPr>
            </w:pPr>
          </w:p>
        </w:tc>
      </w:tr>
      <w:tr>
        <w:trPr>
          <w:trHeight w:val="439"/>
        </w:trPr>
        <w:tc>
          <w:tcPr>
            <w:tcW w:w="75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595"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40" w:type="dxa"/>
            <w:vAlign w:val="bottom"/>
            <w:gridSpan w:val="5"/>
          </w:tcPr>
          <w:p>
            <w:pPr>
              <w:ind w:left="70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7960" w:type="dxa"/>
            <w:vAlign w:val="bottom"/>
            <w:tcBorders>
              <w:bottom w:val="single" w:sz="8" w:color="CCEEFF"/>
            </w:tcBorders>
            <w:gridSpan w:val="9"/>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w:t>
            </w:r>
          </w:p>
        </w:tc>
      </w:tr>
      <w:tr>
        <w:trPr>
          <w:trHeight w:val="175"/>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PROSPECTUS SUMMARY</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8940" w:type="dxa"/>
            <w:vAlign w:val="bottom"/>
            <w:tcBorders>
              <w:bottom w:val="single" w:sz="8" w:color="CCEEFF"/>
            </w:tcBorders>
            <w:gridSpan w:val="16"/>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176"/>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CAUTIONARY STATEMENT REGARDING FORWARD-LOOKING STATEMENTS AND INFORMATION</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10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MARKET PRICE AND DIVIDEND INFORMATION</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10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10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OUR BUSINESS</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73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6"/>
              </w:rPr>
              <w:t>EXECUTIVE COMPENSATION</w:t>
            </w:r>
          </w:p>
        </w:tc>
        <w:tc>
          <w:tcPr>
            <w:tcW w:w="7740" w:type="dxa"/>
            <w:vAlign w:val="bottom"/>
            <w:tcBorders>
              <w:bottom w:val="single" w:sz="8" w:color="CCEEFF"/>
            </w:tcBorders>
            <w:gridSpan w:val="8"/>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r>
      <w:tr>
        <w:trPr>
          <w:trHeight w:val="175"/>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87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1020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6"/>
              </w:rPr>
              <w:t>SECURITY OWNERSHIP OF CERTAIN BENEFICIAL OWNERS AND MANAGEMENT AND RELATED STOCKHOLDER MATTERS</w:t>
            </w: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r>
      <w:tr>
        <w:trPr>
          <w:trHeight w:val="176"/>
        </w:trPr>
        <w:tc>
          <w:tcPr>
            <w:tcW w:w="10200" w:type="dxa"/>
            <w:vAlign w:val="bottom"/>
            <w:tcBorders>
              <w:top w:val="single" w:sz="8" w:color="CCEEFF"/>
            </w:tcBorders>
            <w:gridSpan w:val="19"/>
          </w:tcPr>
          <w:p>
            <w:pPr>
              <w:spacing w:after="0" w:line="176" w:lineRule="exact"/>
              <w:rPr>
                <w:sz w:val="20"/>
                <w:szCs w:val="20"/>
                <w:color w:val="auto"/>
              </w:rPr>
            </w:pPr>
            <w:r>
              <w:rPr>
                <w:rFonts w:ascii="Arial" w:cs="Arial" w:eastAsia="Arial" w:hAnsi="Arial"/>
                <w:sz w:val="18"/>
                <w:szCs w:val="18"/>
                <w:color w:val="0000EE"/>
              </w:rPr>
              <w:t>DESCRIPTION OF SECURITIES</w:t>
            </w:r>
          </w:p>
        </w:tc>
        <w:tc>
          <w:tcPr>
            <w:tcW w:w="10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7"/>
              </w:rPr>
              <w:t>UNDERWRITING</w:t>
            </w:r>
          </w:p>
        </w:tc>
        <w:tc>
          <w:tcPr>
            <w:tcW w:w="8800" w:type="dxa"/>
            <w:vAlign w:val="bottom"/>
            <w:tcBorders>
              <w:bottom w:val="single" w:sz="8" w:color="CCEEFF"/>
            </w:tcBorders>
            <w:gridSpan w:val="1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r>
      <w:tr>
        <w:trPr>
          <w:trHeight w:val="176"/>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NOTICE TO INVESTORS</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6380" w:type="dxa"/>
            <w:vAlign w:val="bottom"/>
            <w:tcBorders>
              <w:bottom w:val="single" w:sz="8" w:color="CCEEFF"/>
            </w:tcBorders>
            <w:gridSpan w:val="6"/>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r>
      <w:tr>
        <w:trPr>
          <w:trHeight w:val="175"/>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LEGAL MATTERS</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EXPERTS</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84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 Warrants</w:t>
      </w:r>
      <w:r>
        <w:rPr>
          <w:rFonts w:ascii="Arial" w:cs="Arial" w:eastAsia="Arial" w:hAnsi="Arial"/>
          <w:sz w:val="18"/>
          <w:szCs w:val="18"/>
          <w:color w:val="auto"/>
        </w:rPr>
        <w:t>” means warrants to initially acquire 1,600,000 shares of common stock at an initial $10.00 per share exercise price issued at Closing in connection with the Term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Merger and the other transactions contemplated by the Business Combination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means that certain Agreement and Plan of Merger, dated May 15, 2022, as amended on July 12, 2022, by and among CNTQ, Merger Sub and Dragonfly.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CCM</w:t>
      </w:r>
      <w:r>
        <w:rPr>
          <w:rFonts w:ascii="Arial" w:cs="Arial" w:eastAsia="Arial" w:hAnsi="Arial"/>
          <w:sz w:val="18"/>
          <w:szCs w:val="18"/>
          <w:color w:val="auto"/>
        </w:rPr>
        <w:t>” means Chardan Capital Markets LLC, a New York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October 7, 2022.</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w:t>
      </w:r>
      <w:r>
        <w:rPr>
          <w:rFonts w:ascii="Arial" w:cs="Arial" w:eastAsia="Arial" w:hAnsi="Arial"/>
          <w:sz w:val="18"/>
          <w:szCs w:val="18"/>
          <w:color w:val="auto"/>
        </w:rPr>
        <w:t>” means Chardan NexTech Acquisition 2 Corp., a Delaware corporation, which was renamed “Dragonfly Energy Holdings Corp.” in connection with the Closing.</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 Common Stock</w:t>
      </w:r>
      <w:r>
        <w:rPr>
          <w:rFonts w:ascii="Arial" w:cs="Arial" w:eastAsia="Arial" w:hAnsi="Arial"/>
          <w:sz w:val="18"/>
          <w:szCs w:val="18"/>
          <w:color w:val="auto"/>
        </w:rPr>
        <w:t>” means, prior to consummation of the Business Combination, CNTQ common stock, par value $0.0001 per share, and, following consummation of the Business Combination, the common stock, par value $0.001 per share, of Dragonfly.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 IPO</w:t>
      </w:r>
      <w:r>
        <w:rPr>
          <w:rFonts w:ascii="Arial" w:cs="Arial" w:eastAsia="Arial" w:hAnsi="Arial"/>
          <w:sz w:val="18"/>
          <w:szCs w:val="18"/>
          <w:color w:val="auto"/>
        </w:rPr>
        <w:t>” means the initial public offering by CNTQ, which closed on 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 Lender</w:t>
      </w:r>
      <w:r>
        <w:rPr>
          <w:rFonts w:ascii="Arial" w:cs="Arial" w:eastAsia="Arial" w:hAnsi="Arial"/>
          <w:sz w:val="18"/>
          <w:szCs w:val="18"/>
          <w:color w:val="auto"/>
        </w:rPr>
        <w:t>” means CCM Investments 5 LLC, a Delaware limited liability company, and an affiliate of CCM.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Dragonfly</w:t>
      </w:r>
      <w:r>
        <w:rPr>
          <w:rFonts w:ascii="Arial" w:cs="Arial" w:eastAsia="Arial" w:hAnsi="Arial"/>
          <w:sz w:val="18"/>
          <w:szCs w:val="18"/>
          <w:color w:val="auto"/>
        </w:rPr>
        <w:t>” means Dragonfly Energy Holdings Corp., a Nevada corporation.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Earnout Shares</w:t>
      </w:r>
      <w:r>
        <w:rPr>
          <w:rFonts w:ascii="Arial" w:cs="Arial" w:eastAsia="Arial" w:hAnsi="Arial"/>
          <w:sz w:val="18"/>
          <w:szCs w:val="18"/>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Lenders</w:t>
      </w:r>
      <w:r>
        <w:rPr>
          <w:rFonts w:ascii="Arial" w:cs="Arial" w:eastAsia="Arial" w:hAnsi="Arial"/>
          <w:sz w:val="18"/>
          <w:szCs w:val="18"/>
          <w:color w:val="auto"/>
        </w:rPr>
        <w:t>” means EICF Agent LLC with the CNTQ Lender.</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Dragonfly</w:t>
      </w:r>
      <w:r>
        <w:rPr>
          <w:rFonts w:ascii="Arial" w:cs="Arial" w:eastAsia="Arial" w:hAnsi="Arial"/>
          <w:sz w:val="18"/>
          <w:szCs w:val="18"/>
          <w:color w:val="auto"/>
        </w:rPr>
        <w:t>” means Dragonfly Energy Corp., a Nevada corporation, and includes the surviving corporation after the Merger. References herein to Dragonfly will include its subsidiaries, including Legacy Dragonfly, to the extent reasonably applicable.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Bronco Merger Sub, Inc., a Nevada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NRS</w:t>
      </w:r>
      <w:r>
        <w:rPr>
          <w:rFonts w:ascii="Arial" w:cs="Arial" w:eastAsia="Arial" w:hAnsi="Arial"/>
          <w:sz w:val="18"/>
          <w:szCs w:val="18"/>
          <w:color w:val="auto"/>
        </w:rPr>
        <w:t>” means the Nevada Revised Statutes.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Penny Warrants</w:t>
      </w:r>
      <w:r>
        <w:rPr>
          <w:rFonts w:ascii="Arial" w:cs="Arial" w:eastAsia="Arial" w:hAnsi="Arial"/>
          <w:sz w:val="18"/>
          <w:szCs w:val="18"/>
          <w:color w:val="auto"/>
        </w:rPr>
        <w:t>” means warrants to initially acquire 2,593,056 shares of common stock at an exercise price of $0.01 per share issued at Closing in connection with the Term Loan.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Warrants</w:t>
      </w:r>
      <w:r>
        <w:rPr>
          <w:rFonts w:ascii="Arial" w:cs="Arial" w:eastAsia="Arial" w:hAnsi="Arial"/>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Warrants</w:t>
      </w:r>
      <w:r>
        <w:rPr>
          <w:rFonts w:ascii="Arial" w:cs="Arial" w:eastAsia="Arial" w:hAnsi="Arial"/>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Chardan NexTech Investments 2 LLC, a Delaware limited liability company and an affiliate of CCM.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the $75 million aggregate principal amount senior secured term loan facility entered into at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Lenders</w:t>
      </w:r>
      <w:r>
        <w:rPr>
          <w:rFonts w:ascii="Arial" w:cs="Arial" w:eastAsia="Arial" w:hAnsi="Arial"/>
          <w:sz w:val="18"/>
          <w:szCs w:val="18"/>
          <w:color w:val="auto"/>
        </w:rPr>
        <w:t>” means a certain third-party financing source collectively with EICF Agent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means the Public Warrants, the Private Warrants and the Penny Warrants of Dragonfly.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Holdings</w:t>
      </w:r>
      <w:r>
        <w:rPr>
          <w:rFonts w:ascii="Arial" w:cs="Arial" w:eastAsia="Arial" w:hAnsi="Arial"/>
          <w:sz w:val="18"/>
          <w:szCs w:val="18"/>
          <w:color w:val="auto"/>
        </w:rPr>
        <w:t>” means Chardan NexTech 2 Warrant Holdings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 dealer,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contains estimates and other statistical data made by independent parties and by us relating to market size and growth and other data about our industry. We obtained the industry and market data in this prospectus from our own research as well as from industry and general publications, surveys and studies conducted by third parties. This data involves a number of assumptions and limitations and contains projections and estimates of the future performance of the industries in which we operate that are subject to a high degree of uncertainty. We caution you not to give undue weight to such projections, assumptions and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that you should consider before deciding to invest in our securities. You should read this entire prospectus carefully, including the “Risk Factors” and “Management’s Discussion and Analysis of Financial Condition and Results of Operations,” sections in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 manufacturer of non-toxic deep cycle lithium-ion batteries that caters to customers in the consumer (including the recreational vehicle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dual-brand strategy for battery products, Dragonfly Energy (“Dragonfly Energy”) and Battle Born Batteries (“Battle Born”). Battle Born branded products are primarily sold direct to consumers, while the Dragonfly Energy brand is primarily sold to original equipment manufacturers (“OEMs”). 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In 2022, we also acquired the assets, including the Wakespeed Offshore brand (“Wakespeed”) of Thomason Jones Company, allowing us to include our own alternator regulator in systems that we sell.</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our conventional lithium iron phosphate (“LFP”) batteries, our experienced research and development team, headed by our founder and Chief Executive Officer, is currently developing the next generation of LFP solid-state cells.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Additionally, our internal production of solid-state cells will streamline our supply chain, allowing us to vertically integrate our cells into our batteries, thereby lowering our production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mailing address of our principal executive office is 1190 Trademark Dr. #108, Reno, Nevada 89521, and our telephone number is (775) 622-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3448.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more information about us, see the sections entitled “</w:t>
      </w:r>
      <w:r>
        <w:rPr>
          <w:rFonts w:ascii="Arial" w:cs="Arial" w:eastAsia="Arial" w:hAnsi="Arial"/>
          <w:sz w:val="18"/>
          <w:szCs w:val="18"/>
          <w:i w:val="1"/>
          <w:iCs w:val="1"/>
          <w:color w:val="auto"/>
        </w:rPr>
        <w:t>Business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consider all the information contained in this prospectus before making a decision to invest in our common stock or warrants. In particular, you should consider the risk factors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 Such risks include, but are not limited to, the following risks: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this Offering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will experience immediate and substantial dilution in net tangible book value of the shares you purchase in this offering.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will have broad discretion as to the use of the proceeds from this offering, and may not use the proceeds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Substantial sales of our common stock may impact the market price of our common stock.</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do not intend to pay any cash dividends on our shares of common stock in the near future, so our shareholders will not be able to receive a return on their shares unless they sell their shares.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our stock price fluctuates after the offering, you could lose a significant part of your investment.</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ownership may be diluted if additional capital stock is issued to raise capital, to finance acquisitions or in connection with strategic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Existing Lithium-Ion Battery Operations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future growth depends on the needs and success of our customers.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ind w:left="66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currently, and likely will continue to be, dependent on a single manufacturing facility. If our facility becomes inoperable for any reason, or our automation and expansion plans do not yield the desired effects, our ability to manufacture our products could be negatively impacted.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Risks Related to Our Solid-State Technology Development</w:t>
      </w:r>
    </w:p>
    <w:p>
      <w:pPr>
        <w:spacing w:after="0" w:line="225"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solid-state batteries fail to perform as expected, our ability to further develop, market and sell our solid-state batteries could be harmed.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w:t>
      </w:r>
    </w:p>
    <w:p>
      <w:pPr>
        <w:spacing w:after="0" w:line="22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heavily upon our intellectual property portfolio. If we are unable to protect our intellectual property rights, our business and competitive position would be harmed.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defend ourselves against intellectual property infringement claims, which may be time-consuming and could cause us to incur substantial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uncertainty in global economic conditions, including the Russia-Ukraine conflict, could reduce consumer spending and disrupt our supply chain which could negatively affect our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6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manage our growth effectively, we may be unable to execute our business plan, maintain high levels of customer service, or adequately address competitive challenges.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Capital Requirements</w:t>
      </w:r>
    </w:p>
    <w:p>
      <w:pPr>
        <w:spacing w:after="0" w:line="225"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issuances of debt securities and equity securities may adversely affect us and may be dilutive to existing stockholders.</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issue additional shares of our common stock or other equity securities without your approval, which would dilute your ownership interests and may depress the market price of your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00" w:type="dxa"/>
            <w:vAlign w:val="bottom"/>
            <w:gridSpan w:val="4"/>
          </w:tcPr>
          <w:p>
            <w:pPr>
              <w:ind w:left="340"/>
              <w:spacing w:after="0"/>
              <w:rPr>
                <w:sz w:val="20"/>
                <w:szCs w:val="20"/>
                <w:color w:val="auto"/>
              </w:rPr>
            </w:pPr>
            <w:r>
              <w:rPr>
                <w:rFonts w:ascii="Arial" w:cs="Arial" w:eastAsia="Arial" w:hAnsi="Arial"/>
                <w:sz w:val="18"/>
                <w:szCs w:val="18"/>
                <w:b w:val="1"/>
                <w:bCs w:val="1"/>
                <w:color w:val="auto"/>
              </w:rPr>
              <w:t>The Offering</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Common stock we are offering</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10,000,000 shares (or 11,500,000 shares if the underwriters’ option to purchase additional shares of</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6"/>
              </w:rPr>
              <w:t>common stock and/or investor warrants is exercised in full, but assuming no exercise of investor</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warrants to purchase shares of common stock).</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Investor warrants we are offering</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Investor warrants to purchase up to 10,000,000 shares of our common stock. Each share of common</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stock is being offered together with a five-year investor warrant to purchase one share of our common</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5"/>
              </w:rPr>
              <w:t>stock. The investor warrants will have an exercise price of $2.00 per share and will be exercisable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4"/>
              </w:rPr>
              <w:t>upon issuance. This prospectus also relates to the offering of the shares of common stock issuable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upon exercise of the investor warrants. There is no established public trading market for the investor</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warrants, and we do not expect a market to develop. In addition, we do not intend to apply for listing</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4"/>
              </w:rPr>
              <w:t>of the investor warrants on any national securities exchange. Without an active trading market, the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8"/>
              </w:rPr>
              <w:t>liquidity of the investor warrants will be limited. See “</w:t>
            </w:r>
            <w:r>
              <w:rPr>
                <w:rFonts w:ascii="Arial" w:cs="Arial" w:eastAsia="Arial" w:hAnsi="Arial"/>
                <w:sz w:val="18"/>
                <w:szCs w:val="18"/>
                <w:i w:val="1"/>
                <w:iCs w:val="1"/>
                <w:color w:val="auto"/>
                <w:w w:val="98"/>
              </w:rPr>
              <w:t>Description of Capital Stock</w:t>
            </w:r>
            <w:r>
              <w:rPr>
                <w:rFonts w:ascii="Arial" w:cs="Arial" w:eastAsia="Arial" w:hAnsi="Arial"/>
                <w:sz w:val="18"/>
                <w:szCs w:val="18"/>
                <w:color w:val="auto"/>
                <w:w w:val="98"/>
              </w:rPr>
              <w:t>” for additional</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information.</w:t>
            </w:r>
          </w:p>
        </w:tc>
      </w:tr>
      <w:tr>
        <w:trPr>
          <w:trHeight w:val="418"/>
        </w:trPr>
        <w:tc>
          <w:tcPr>
            <w:tcW w:w="3220" w:type="dxa"/>
            <w:vAlign w:val="bottom"/>
          </w:tcPr>
          <w:p>
            <w:pPr>
              <w:spacing w:after="0"/>
              <w:rPr>
                <w:sz w:val="24"/>
                <w:szCs w:val="24"/>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The accounting treatment of the warrants has not been completed by the Company and could result in</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6"/>
              </w:rPr>
              <w:t>such  warrants  being  recognized  as  either  equity-classified  instruments  or  liability-classified</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instruments  depending  upon  the  specific  terms  of  the  warrant  agreement  and  the  applicable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7"/>
              </w:rPr>
              <w:t>authoritative accounting guidance. If these warrants were to be recognized as liability-classified</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instruments, they would be recognized at their fair value each reporting period with the change in fair</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value recognized as a gain or loss within the consolidated statement of operations.</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Common stock outstanding immediately</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45,885,513 shares.</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before this offering</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Common stock outstanding immediately</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55,885,513 shares (or 57,385,513 shares if the underwriters’ option to purchase additional shares of</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after this offering</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6"/>
              </w:rPr>
              <w:t>common stock and/or investor warrants is exercised in full, but assuming no exercise of investor</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warrants to purchase shares of our common stock).</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Underwriters’ Warrants</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We will issue to the underwriters, or their permitted designees, warrants (the “Underwriters’</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Warrants”) to purchase up to an aggregate amount of shares of common stock representing five (5%)</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of the common stock offered hereby, including any shares of common stock issued if the underwriters</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option to purchase additional shares of common stock is exercised. The Underwriters’ Warrants will</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4"/>
              </w:rPr>
              <w:t>have an exercise price of 125% of the per share public offering price, will have a cashless exercise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provision and will terminate on the fifth anniversary of the effective date of the registration statement</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of which this prospectus is a part.</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Use of proceeds</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We estimate that the net proceeds from this offering will be approximately $18.2 million after</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deducting underwriting discount and commissions and estimated offering expenses payable by us. If</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4"/>
              </w:rPr>
              <w:t>the underwriters’ option to purchase additional shares of common stock and/or investor warrants is</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6"/>
              </w:rPr>
              <w:t>exercised in full, we estimate that the net proceeds from this offering will be approximately $21.0</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7"/>
              </w:rPr>
              <w:t>million after deducting underwriting discount and commissions and estimated offering expenses</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payable by us.</w:t>
            </w:r>
          </w:p>
        </w:tc>
      </w:tr>
      <w:tr>
        <w:trPr>
          <w:trHeight w:val="418"/>
        </w:trPr>
        <w:tc>
          <w:tcPr>
            <w:tcW w:w="3220" w:type="dxa"/>
            <w:vAlign w:val="bottom"/>
          </w:tcPr>
          <w:p>
            <w:pPr>
              <w:spacing w:after="0"/>
              <w:rPr>
                <w:sz w:val="24"/>
                <w:szCs w:val="24"/>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We intend to use the proceeds from this offering primarily for working capital and general corporate</w:t>
            </w:r>
          </w:p>
        </w:tc>
      </w:tr>
      <w:tr>
        <w:trPr>
          <w:trHeight w:val="190"/>
        </w:trPr>
        <w:tc>
          <w:tcPr>
            <w:tcW w:w="3220" w:type="dxa"/>
            <w:vAlign w:val="bottom"/>
          </w:tcPr>
          <w:p>
            <w:pPr>
              <w:spacing w:after="0"/>
              <w:rPr>
                <w:sz w:val="16"/>
                <w:szCs w:val="16"/>
                <w:color w:val="auto"/>
              </w:rPr>
            </w:pPr>
          </w:p>
        </w:tc>
        <w:tc>
          <w:tcPr>
            <w:tcW w:w="7700" w:type="dxa"/>
            <w:vAlign w:val="bottom"/>
            <w:gridSpan w:val="5"/>
          </w:tcPr>
          <w:p>
            <w:pPr>
              <w:ind w:left="280"/>
              <w:spacing w:after="0" w:line="190" w:lineRule="exact"/>
              <w:rPr>
                <w:sz w:val="20"/>
                <w:szCs w:val="20"/>
                <w:color w:val="auto"/>
              </w:rPr>
            </w:pPr>
            <w:r>
              <w:rPr>
                <w:rFonts w:ascii="Arial" w:cs="Arial" w:eastAsia="Arial" w:hAnsi="Arial"/>
                <w:sz w:val="18"/>
                <w:szCs w:val="18"/>
                <w:color w:val="auto"/>
              </w:rPr>
              <w:t>purposes. See “</w:t>
            </w:r>
            <w:r>
              <w:rPr>
                <w:rFonts w:ascii="Arial" w:cs="Arial" w:eastAsia="Arial" w:hAnsi="Arial"/>
                <w:sz w:val="18"/>
                <w:szCs w:val="18"/>
                <w:color w:val="0000EE"/>
              </w:rPr>
              <w:t>Use of Proceeds</w:t>
            </w:r>
            <w:r>
              <w:rPr>
                <w:rFonts w:ascii="Arial" w:cs="Arial" w:eastAsia="Arial" w:hAnsi="Arial"/>
                <w:sz w:val="18"/>
                <w:szCs w:val="18"/>
                <w:color w:val="auto"/>
              </w:rPr>
              <w:t>.”</w:t>
            </w:r>
          </w:p>
        </w:tc>
      </w:tr>
      <w:tr>
        <w:trPr>
          <w:trHeight w:val="20"/>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3220" w:type="dxa"/>
            <w:vAlign w:val="bottom"/>
          </w:tcPr>
          <w:p>
            <w:pPr>
              <w:spacing w:after="0"/>
              <w:rPr>
                <w:sz w:val="20"/>
                <w:szCs w:val="20"/>
                <w:color w:val="auto"/>
              </w:rPr>
            </w:pPr>
            <w:r>
              <w:rPr>
                <w:rFonts w:ascii="Arial" w:cs="Arial" w:eastAsia="Arial" w:hAnsi="Arial"/>
                <w:sz w:val="18"/>
                <w:szCs w:val="18"/>
                <w:color w:val="auto"/>
              </w:rPr>
              <w:t>Risk Factors</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An investment in our securities involves a high degree of risk. See “</w:t>
            </w:r>
            <w:r>
              <w:rPr>
                <w:rFonts w:ascii="Arial" w:cs="Arial" w:eastAsia="Arial" w:hAnsi="Arial"/>
                <w:sz w:val="18"/>
                <w:szCs w:val="18"/>
                <w:color w:val="0000EE"/>
                <w:w w:val="91"/>
              </w:rPr>
              <w:t>Risk Factors</w:t>
            </w:r>
            <w:r>
              <w:rPr>
                <w:rFonts w:ascii="Arial" w:cs="Arial" w:eastAsia="Arial" w:hAnsi="Arial"/>
                <w:sz w:val="18"/>
                <w:szCs w:val="18"/>
                <w:color w:val="auto"/>
                <w:w w:val="91"/>
              </w:rPr>
              <w:t>” beginning on page 5</w:t>
            </w:r>
          </w:p>
        </w:tc>
      </w:tr>
      <w:tr>
        <w:trPr>
          <w:trHeight w:val="20"/>
        </w:trPr>
        <w:tc>
          <w:tcPr>
            <w:tcW w:w="32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3220" w:type="dxa"/>
            <w:vAlign w:val="bottom"/>
          </w:tcPr>
          <w:p>
            <w:pPr>
              <w:spacing w:after="0"/>
              <w:rPr>
                <w:sz w:val="19"/>
                <w:szCs w:val="19"/>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of this prospectus for a discussion of the risk factors you should carefully consider before deciding to</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invest in our securities.</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Nasdaq listing symbol</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Our common stock is listed on the Nasdaq under the symbol “DFLI.”</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016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166985"/>
                    </a:xfrm>
                    <a:prstGeom prst="rect">
                      <a:avLst/>
                    </a:prstGeom>
                    <a:noFill/>
                  </pic:spPr>
                </pic:pic>
              </a:graphicData>
            </a:graphic>
          </wp:anchor>
        </w:drawing>
      </w:r>
    </w:p>
    <w:p>
      <w:pPr>
        <w:jc w:val="both"/>
        <w:ind w:firstLine="648"/>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45,885,513 shares outstanding as of May 24, 2023, and does not include, as of such date:</w:t>
      </w:r>
    </w:p>
    <w:p>
      <w:pPr>
        <w:spacing w:after="0" w:line="170" w:lineRule="exact"/>
        <w:rPr>
          <w:sz w:val="20"/>
          <w:szCs w:val="20"/>
          <w:color w:val="auto"/>
        </w:rPr>
      </w:pPr>
    </w:p>
    <w:p>
      <w:pPr>
        <w:ind w:left="66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9,422,529 shares of common stock (the “Public Warrant Shares”) issuable upon the exercise of outstanding Public Warrants at an exercise price of $11.50 per share;</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1,501,386 shares of common stock (the “Private Warrant Shares”) issuable upon the exercise of outstanding Private Warrants at an exercise price of $11.50 per share;</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843,056 shares of common stock (the “Penny Warrant Shares”) issuable upon exercise of outstanding Penny Warrants at an exercise price of $0.01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40,000,000 Earnout Shares;</w:t>
      </w:r>
    </w:p>
    <w:p>
      <w:pPr>
        <w:spacing w:after="0" w:line="225"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$150.0 million of shares of common stock we may sell to CCM pursuant to a purchase agreement between us and CCM, dated October 7, 2022 (the “Purchase Agreement”) establishing an equity facility (the “ChEF Equity Facility”);</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3,739,614 shares of common stock underlying outstanding options;</w:t>
      </w:r>
    </w:p>
    <w:p>
      <w:pPr>
        <w:sectPr>
          <w:pgSz w:w="11900" w:h="16838" w:orient="portrait"/>
          <w:cols w:equalWidth="0" w:num="1">
            <w:col w:w="10920"/>
          </w:cols>
          <w:pgMar w:left="480" w:top="1066" w:right="499" w:bottom="0" w:gutter="0" w:footer="0" w:header="0"/>
        </w:sectPr>
      </w:pPr>
    </w:p>
    <w:bookmarkStart w:id="8" w:name="page9"/>
    <w:bookmarkEnd w:id="8"/>
    <w:p>
      <w:pPr>
        <w:ind w:left="660" w:hanging="331"/>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16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t>10,000,000 shares issuable upon the exercise of investor warrants sold in this offering, with an exercise price per share of common stock of $2.00; and</w:t>
      </w:r>
    </w:p>
    <w:p>
      <w:pPr>
        <w:spacing w:after="0" w:line="170" w:lineRule="exact"/>
        <w:rPr>
          <w:rFonts w:ascii="Arial" w:cs="Arial" w:eastAsia="Arial" w:hAnsi="Arial"/>
          <w:sz w:val="18"/>
          <w:szCs w:val="18"/>
          <w:color w:val="auto"/>
        </w:rPr>
      </w:pPr>
    </w:p>
    <w:p>
      <w:pPr>
        <w:jc w:val="both"/>
        <w:ind w:left="660" w:hanging="331"/>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500,000 shares (575,000 shares if the underwriter exercises its option to purchase additional shares in full) of common stock issuable upon the exercise of warrants to be issued to the underwriters upon the completion of this offering in an amount equal to 5% of the shares sold in this offering, with an exercise price equal to 125% of the public offering price per share of common stock and accompanying investor warrant, as described in “Underwriting.”</w:t>
      </w:r>
    </w:p>
    <w:p>
      <w:pPr>
        <w:spacing w:after="0" w:line="1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Unless otherwise indicated, the information in this supplement assumes no exercise of the underwriters’ over-allotment option.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that any outstanding warrants are exercised, outstanding notes are converted, new awards are issued under our equity compensation plans, or we otherwise issue additional shares of common stock in the future, at a price less than the public offering price, there will be further dilution to the investor.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341" w:right="4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Arial" w:cs="Arial" w:eastAsia="Arial" w:hAnsi="Arial"/>
          <w:sz w:val="17"/>
          <w:szCs w:val="17"/>
          <w:color w:val="auto"/>
        </w:rPr>
        <w:t>“</w:t>
      </w:r>
      <w:r>
        <w:rPr>
          <w:rFonts w:ascii="Arial" w:cs="Arial" w:eastAsia="Arial" w:hAnsi="Arial"/>
          <w:sz w:val="17"/>
          <w:szCs w:val="17"/>
          <w:i w:val="1"/>
          <w:iCs w:val="1"/>
          <w:color w:val="auto"/>
        </w:rPr>
        <w:t xml:space="preserve">Cautionary Note Regarding Forward-Looking Statement.” Please see the section entitled </w:t>
      </w:r>
      <w:r>
        <w:rPr>
          <w:rFonts w:ascii="Arial" w:cs="Arial" w:eastAsia="Arial" w:hAnsi="Arial"/>
          <w:sz w:val="17"/>
          <w:szCs w:val="17"/>
          <w:color w:val="auto"/>
        </w:rPr>
        <w:t>“</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net tangible book value of the shares you purchase in this offering.</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combined offering price per share of common stock and accompanying investor warrant will be substantially higher than the as adjusted net tangible book value per share of our common stock after giving effect to this offering. After the sale of 10,000,000 shares of our common stock and accompanying investor warrants at a combined public offering price of $2.00 and after deducting estimated underwriting discounts and commissions and estimated offering expenses payable by us, you will incur immediate dilution in as adjusted net tangible book value of approximately $1.09 per share. As a result of the dilution to investors purchasing securities in this offering, investors may receive significantly less than the purchase price paid in this offering, if anything, in the event of the liquidation of our company. See the section entitled “</w:t>
      </w:r>
      <w:r>
        <w:rPr>
          <w:rFonts w:ascii="Arial" w:cs="Arial" w:eastAsia="Arial" w:hAnsi="Arial"/>
          <w:sz w:val="18"/>
          <w:szCs w:val="18"/>
          <w:u w:val="single" w:color="auto"/>
          <w:color w:val="0000EE"/>
        </w:rPr>
        <w:t>Dilution</w:t>
      </w:r>
      <w:r>
        <w:rPr>
          <w:rFonts w:ascii="Arial" w:cs="Arial" w:eastAsia="Arial" w:hAnsi="Arial"/>
          <w:sz w:val="18"/>
          <w:szCs w:val="18"/>
          <w:color w:val="auto"/>
        </w:rPr>
        <w:t>” below for a more detailed discussion of the dilution you will incur if you participate in this offering.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Management will have broad discretion as to the use of the proceeds from this offering, and may not use the proceeds effectively.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may not improve our results of operations or enhance the value of our common stock. Our failure to apply these funds effectively could have a material adverse effect on our business and cause the price of our common stock to decline.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Substantial sales of our stock may impact the market price of our common stock.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do not intend to pay any cash dividends on our shares of common stock in the near future, so our shareholders will not be able to receive a return on their shares unless they sell their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stock price fluctuates after the offering, you could lose a significant part of your investment.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prospectus,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Your ownership may be diluted if additional capital stock is issued to raise capital, to finance acquisitions or in connection with strategic transactions.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seek to raise additional funds for our operations, to finance acquisitions or to develop strategic relationships by issuing equity or convertible debt securities in addition to the securities issued in this offering, which would reduce the percentage ownership of our existing stockholders. Our board of directors has the authority, without action or vote of the stockholders, to issue all or any part of our authorized but unissued shares of common or preferred stock. Our Articles of Incorporation authorize us to issue up to 170,000,000 shares of common stock and 5,000,000 shares of preferred stock. Any additional common stock so authorized will be available for issuance by the board for stock splits or stock dividends, acquisitions, raising additional capital, conversion of our debt into equity, or other corporate purposes, and any such issuances may be dilutive to current stockholders. Future issuances of common or preferred stock would reduce your influence over matters on which stockholders vote and would be dilutive to earnings per share. In addition, any newly issued preferred stock could have rights, preferences and privileges senior to those of the common stock. Those rights, preferences and privileges could include, among other things, the establishment of dividends that must be paid prior to declaring or paying dividends or other distributions to holders of our common stock or providing for preferential liquidation rights. These rights, preferences and privileges could negatively affect the rights of holders of our common stock, and the right to convert such preferred stock into shares of our common stock at a rate or price that would have a dilutive effect on the outstanding shares of our common stock.</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to fund our working capital needs or consummate potential future acquisitions. Additional financing may not be available on acceptable terms, or at all.</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expected net proceeds of this offering may not be sufficient for us to fund the working capital needs of our business or potential strategic acquisitions we may pursue in the future. We may continue to seek funds through equity or debt financings, collaborative or other arrangements with corporate sources, or through other sources of financing. Additional funding may not be available to us on acceptable terms, or at all. Any failure to raise capital as and when needed could have a negative impact on our financial condition and on our ability to pursue our business plans and strategies.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investor warrants offered by us.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established public trading market for the investor warrants, and we do not expect such a market to develop. In addition, we do not intend to apply to list the investor warrants on any national securities exchange or other nationally recognized trading system. Without an active trading market, the liquidity of the investor warrants will be limited.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investor warrants purchased in this offering will have no rights as common stockholders until such holders exercise their investor warrants and acquire our common stock.</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Until holders of the investor warrants acquire shares of our common stock upon exercise thereof, such holders will have no rights with respect to the shares of our common stock underlying the investor warrants. Upon exercise of the investor warrants, the holders will be entitled to exercise the rights of a common stockholder only as to matters for which the record date occurs after the exercise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investor warrants are speculative in nature.</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investor warrants do not confer any rights of common stock ownership on their holders, such as voting rights or the right to receive dividends, but rather merely represent the right to acquire shares of common stock at a fixed price for a limited period of time. Specifically, commencing on the date of issuance, holders of the warrants may acquire the common stock issuable upon exercise of such warrants at an exercise price of $2.00 per share. Moreover, following this offering, the market value of the investor warrants, if any, will be uncertain and there can be no assurance that the market value of the investor warrants will equal or exceed their imputed offering price. The investor warrants will not be listed or quoted for trading on any market or exchange. There can be no assurance that the market price of our common stock will ever equal or exceed the exercise price of the investor warrants, and consequently, the investor warrants may expire valueless.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Existing Lithium-Ion Battery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future growth depends on the needs and success of our OEM’s and similar customers.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demand for our products, including sales to OEM</w:t>
      </w:r>
      <w:r>
        <w:rPr>
          <w:rFonts w:ascii="Arial" w:cs="Arial" w:eastAsia="Arial" w:hAnsi="Arial"/>
          <w:sz w:val="17"/>
          <w:szCs w:val="17"/>
          <w:b w:val="1"/>
          <w:bCs w:val="1"/>
          <w:color w:val="auto"/>
        </w:rPr>
        <w:t>s</w:t>
      </w:r>
      <w:r>
        <w:rPr>
          <w:rFonts w:ascii="Arial" w:cs="Arial" w:eastAsia="Arial" w:hAnsi="Arial"/>
          <w:sz w:val="17"/>
          <w:szCs w:val="17"/>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firstLine="648"/>
        <w:spacing w:after="0" w:line="285" w:lineRule="auto"/>
        <w:rPr>
          <w:sz w:val="20"/>
          <w:szCs w:val="20"/>
          <w:color w:val="auto"/>
        </w:rPr>
      </w:pPr>
      <w:r>
        <w:rPr>
          <w:rFonts w:ascii="Arial" w:cs="Arial" w:eastAsia="Arial" w:hAnsi="Arial"/>
          <w:sz w:val="16"/>
          <w:szCs w:val="16"/>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(as defined herein) with Keystone RV Company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target customers successfully and convert these customers into meaningful orders in the future.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ind w:firstLine="648"/>
        <w:spacing w:after="0" w:line="269" w:lineRule="auto"/>
        <w:rPr>
          <w:sz w:val="20"/>
          <w:szCs w:val="20"/>
          <w:color w:val="auto"/>
        </w:rPr>
      </w:pPr>
      <w:r>
        <w:rPr>
          <w:rFonts w:ascii="Arial" w:cs="Arial" w:eastAsia="Arial" w:hAnsi="Arial"/>
          <w:sz w:val="17"/>
          <w:szCs w:val="17"/>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electric vehicle’s (“EV”) to our target markets.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failure or unwillingness of third-party suppliers to comply with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breach of supply agreements by the third-party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suppliers at times that are costly or inconvenient for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Lithium-ion battery cells have been observed to catch fire or release smoke and flame, which may have a negative impact on our reputation and business.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Our Solid-State Technology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solid-state batteries fail to perform as expected, our ability to further develop, market and sell our solid-state batteries could be harmed.</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Supply Chain and Third-Party 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to the timely receipt of inventory could adversely impact sales or increase our transportation costs, which would decrease our profits.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(“FTO”)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68"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using, making, having made, selling, having sold, developing, having developed or importing products that incorporate the infringed intellectual property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 a license from the holder of the infringed intellectual property rights, which license may not be available on reasonable terms or at all; or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redesign our processes or products, which may result in inferior products or processes.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7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uncertainty in global economic conditions, including the Russia-Ukraine conflict, could reduce consumer spending and disrupt our supply chain which could negatively affect our results of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ind w:firstLine="648"/>
        <w:spacing w:after="0" w:line="291" w:lineRule="auto"/>
        <w:rPr>
          <w:sz w:val="20"/>
          <w:szCs w:val="20"/>
          <w:color w:val="auto"/>
        </w:rPr>
      </w:pPr>
      <w:r>
        <w:rPr>
          <w:rFonts w:ascii="Arial" w:cs="Arial" w:eastAsia="Arial" w:hAnsi="Arial"/>
          <w:sz w:val="16"/>
          <w:szCs w:val="16"/>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ind w:firstLine="648"/>
        <w:spacing w:after="0" w:line="291" w:lineRule="auto"/>
        <w:rPr>
          <w:sz w:val="20"/>
          <w:szCs w:val="20"/>
          <w:color w:val="auto"/>
        </w:rPr>
      </w:pPr>
      <w:r>
        <w:rPr>
          <w:rFonts w:ascii="Arial" w:cs="Arial" w:eastAsia="Arial" w:hAnsi="Arial"/>
          <w:sz w:val="16"/>
          <w:szCs w:val="16"/>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our business through acquisitions in the future, and any future acquisition may not be accretive and may negatively affect our business.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cause us to incur additional costs.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Some legislatures, government agencies and listing exchanges have mandated or proposed, and others may in the future further mandate, certain environmental, social and governance (“ESG”) disclosure or performance. For example, the United States Securities and Exchange Commission (the “SEC”)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increased expenses and administrative burdens as a public company, which could have an adverse effect on our business, financial condition and operating results.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faced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have created new board committees, entered into new insurance policies and adopted new internal controls and disclosure controls and procedures. In addition, expenses associated with SEC reporting requirements continue to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transition to a public company subjects us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former shell company, we face certain disadvantages relative to companies that pursued a traditional initial public offering.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CNTQ was a special purpose acquisition company (a “SPAC”), a form of shell company under the rules of the SEC. Shell companies are more highly regulated than non-shell operating companies and face significant additional restrictions on their activities under federal securities laws. As a result of the Business Combination, we ceased to be a shell company. However, companies that were formerly shell companies continue to face disadvantages under SEC rules, including (a) the inability to use Form S-3 until at least one year after the filing of information equivalent to that required by Form 10 after ceasing to be a shell company,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(e) the inability to use Form S-8 to register shares issuable in connection with certain compensatory plans and arrangements until 60 days after the filing of information equivalent to that required by Form 10, (f) the inability of stockholders to rely on Rule 144 for resales of securities until at least one year after the filing of information equivalent to that required by Form 10 and the provision of current public information, and (g) exclusion from certain safe harbors for offering-related communications under the Securities Act for three years after ceasing to be a shell company, including for research reports and certain communications in connection with business combinations. We expect that these disadvantages will make it more challenging and expensive, and create greater risks and delays, for both us and our stockholders to offer securities. These challenges may make our securities less attractive than those of companies that are not former shell companies and may raise our relative cost of capital.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the Business Combination with a special purpose acquisition company, regulatory obligations may impact us differently than other publicly traded companies.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became a publicly traded company by completing the Business Combination with CNTQ, a SPAC. As a result of the Business Combination, and the transactions contemplated thereby, our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SPAC. Managing this regulatory environment, which has and may continue to evolve, could divert management’s attention from the operation of our business, negatively impact our ability to raise additional capital when needed or have an adverse effect on the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March 31, 2023, we had cash totaling $15.8 million. Our net income for the quarter ended March 31, 2023 was $4.9 million, our net loss for the quarter ended March 31, 2022 was $2.3 million and our accumulated deficit as of March 31, 2023 was approximately $22.2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and the Term Loan may limit our ability to access capital under such agreements.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it difficult for us to pay other obligations;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cost of borrowing from other sources;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it difficult to obtain favorable terms for any necessary future financing for working capital, capital expenditures, investments, acquisitions, debt service requirements, or other purposes;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us from making acquisitions or causing us to make divestitures or similar transactions;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service and repay our indebtedness, reducing the amount of cash flow available for other purposes;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less leveraged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902"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2023, we had approximately $15.8 million in cash and cash equivalents and working capital of $24.5 million and an accumulated deficit of approximately $22.2 million. Our ability to achieve profitability and positive cash flow depends on our ability to increase revenue, contain our expenses and maintain compliance with the financial covenants in our outstanding indebtedness agreements.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Term Loan Agreement (as defined below), we are obligated to comply with certain financial covenants, which include maintaining a maximum senior leverage ratio, minimum liquidity, a springing fixed charge coverage ratio, and maximum capital expenditures. On March 29, 2023, we obtained a waiver from our Administrative Agent (as defined below) and Term Loan Lenders (as defined below)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agreements governing our indebtedness restrict us from engaging in specified types of transactions. These restrictive covenants restrict our ability to, among other things:</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or incur encumbrances or liens;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consolidations, amalgamations, mergers, acquisitions, liquidations, dissolutions or dispositions;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transfer or otherwise dispose of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and distributions on, or purchase, redeem, defease, or otherwise acquire or retire for value, our stock.</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(“U.S.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described elsewhere in this Registration Statement,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ind w:firstLine="648"/>
        <w:spacing w:after="0" w:line="271" w:lineRule="auto"/>
        <w:rPr>
          <w:sz w:val="20"/>
          <w:szCs w:val="20"/>
          <w:color w:val="auto"/>
        </w:rPr>
      </w:pPr>
      <w:r>
        <w:rPr>
          <w:rFonts w:ascii="Arial" w:cs="Arial" w:eastAsia="Arial" w:hAnsi="Arial"/>
          <w:sz w:val="17"/>
          <w:szCs w:val="17"/>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 we are an 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6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licensors, future collaborators, or other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substantial amounts of our common stock by our directors, officers or significant stockholders or the perception that such sales could occur;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(including the Russia-Ukraine conflict).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648"/>
        <w:spacing w:after="0" w:line="273"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Furthermore, our predecessor, CNTQ, was a SPAC. SPACs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securities may not be available on a consistent basis to provide stockholders with adequate liquidity.</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exercise of outstanding warrants to acquire our common stock will increase the number of shares eligible for future resale in the public market and result in dilution to our stockholders. As of May 24, 2023, there were (i) 9,422,529 shares of common stock issuable upon the exercise of outstanding Public Warrants at an exercise price of $11.50 per share; (ii) 1,501,386 shares of common stock issuable upon the exercise of outstanding Private Warrants at an exercise price of $11.50 per share; and (iii) 843,056 shares of common stock issuable upon exercise of outstanding Penny Warrants at an exercise price of $0.01 per share.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the Penny Warrants have price-based anti-dilution protection against subsequent equity sales or distributions at below $10.00 per share of common stock, not including the securities in this offering,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convert these customers into meaningful orders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reliance on two suppliers for LFP cells and a single supplier for the manufacture of our battery management system;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batteries and its ability to serve those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 our attempts to develop and produce solid state battery cells;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any products, which may vary significantly;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Articles of Incorporation could discourage another company from acquiring us and may prevent attempts by our stockholders to replace or remove our management.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5"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staggered three-year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stockholders may not act by written consent, which forces stockholder action to be taken at an annual or special meeting of stockholders;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Articles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Bylaws without obtaining stockholder approval;</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84"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being required to have an independent registered public accounting firm audit our internal control over financial reporting under Section 404 of the Sarbanes-Oxley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day of the fiscal year in which we have at least $1.235 billion in annual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our IPO.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public company, we are required to comply with the requirements of the Sarbanes-Oxley Act, including, among other things, that we maintain effective disclosure controls and procedures and internal control over financial reporting. See “</w:t>
      </w:r>
      <w:r>
        <w:rPr>
          <w:rFonts w:ascii="Arial" w:cs="Arial" w:eastAsia="Arial" w:hAnsi="Arial"/>
          <w:sz w:val="16"/>
          <w:szCs w:val="16"/>
          <w:i w:val="1"/>
          <w:iCs w:val="1"/>
          <w:color w:val="auto"/>
        </w:rPr>
        <w:t>We have identified material weaknesses in our</w:t>
      </w:r>
      <w:r>
        <w:rPr>
          <w:rFonts w:ascii="Arial" w:cs="Arial" w:eastAsia="Arial" w:hAnsi="Arial"/>
          <w:sz w:val="16"/>
          <w:szCs w:val="16"/>
          <w:color w:val="auto"/>
        </w:rPr>
        <w:t xml:space="preserve"> </w:t>
      </w:r>
      <w:r>
        <w:rPr>
          <w:rFonts w:ascii="Arial" w:cs="Arial" w:eastAsia="Arial" w:hAnsi="Arial"/>
          <w:sz w:val="16"/>
          <w:szCs w:val="16"/>
          <w:i w:val="1"/>
          <w:iCs w:val="1"/>
          <w:color w:val="auto"/>
        </w:rPr>
        <w:t>internal control over financial reporting. These material weaknesses could continue to adversely affect our ability to report our results of operations and financial condition accurately and in a timely manner</w:t>
      </w:r>
      <w:r>
        <w:rPr>
          <w:rFonts w:ascii="Arial" w:cs="Arial" w:eastAsia="Arial" w:hAnsi="Arial"/>
          <w:sz w:val="16"/>
          <w:szCs w:val="16"/>
          <w:color w:val="auto"/>
        </w:rPr>
        <w:t>.” We are continuing to develop and refine our disclosure controls and other procedures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management, including our principal executive and financial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firstLine="648"/>
        <w:spacing w:after="0" w:line="288" w:lineRule="auto"/>
        <w:rPr>
          <w:sz w:val="20"/>
          <w:szCs w:val="20"/>
          <w:color w:val="auto"/>
        </w:rPr>
      </w:pPr>
      <w:r>
        <w:rPr>
          <w:rFonts w:ascii="Arial" w:cs="Arial" w:eastAsia="Arial" w:hAnsi="Arial"/>
          <w:sz w:val="16"/>
          <w:szCs w:val="16"/>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statements contained in this prospectus may constitute “forward-looking statements” within the meaning of the “safe harbor” provisions of the United States Private Securities Litigation Reform Act of 1995, Section 27A of the Securities Act and Section 21E of the Exchange Act.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our recent Business Combination (as defined herein), which may be affected by, among other things, the factors listed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increase market penetration into target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addressable markets that we intend to target do not grow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any members of our senior management team or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any relationships with key suppliers, including suppliers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any relationships with key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protect our patents and other intellectual property;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to successfully optimize solid-state cells or to produce commercially viable solid-state cells in a timely manner or at all, or to scale to mass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Global Market and Public Warrants (as defined herein) on the Nasdaq Capital Market;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(including an economic slowdown or inflationary pressures);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the COVID-19 pandemic, including any mutations or variants thereof, and its effect on business and financial conditions;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sell the desired amounts of shares of common stock at desired prices under our equity facility;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events or circumstances that result in our failure to timely achieve the anticipated benefits of our customer arrangements with THOR Industries and its affiliate brands (including Keystone RV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accuracy of our projections and estimates regarding our expenses, capital requirements, cash utilization, and need for additional financing;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retain these customers for future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reliance on two suppliers for our lithium iron phosphate cells and a single supplier for the manufacture of our battery management system;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dependence on a single manufacturing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for additional risks which could adversely impact our business and financial performance.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Registration Statement. We have no obligation, and expressly disclaims any</w:t>
      </w:r>
    </w:p>
    <w:p>
      <w:pPr>
        <w:sectPr>
          <w:pgSz w:w="11900" w:h="16969" w:orient="portrait"/>
          <w:cols w:equalWidth="0" w:num="1">
            <w:col w:w="11240"/>
          </w:cols>
          <w:pgMar w:left="320" w:top="688" w:right="339" w:bottom="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estimate that the net proceeds from the offering will be approximately $18.2 million, or $21.0 million if the underwriters exercise their over-allotment option in full, assuming the sale of 10,000,000 shares of common stock at a combined offering price per share of common stock and accompanying investor warrant of $2.00, after deducting estimated underwriting discounts and commissions and estimated offering expenses payable by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use the net proceeds for working capital and general corporate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the date of this prospectus, we cannot specify with certainty all of the particular uses for the net proceeds to us from this offering.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management will have broad discretion in the application of these proceeds.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is currently listed on the Nasdaq under the symbol “DFLI” and our Public Warrants are currently listed on the Nasdaq Capital Market under the symbol “DFLIW.” As of June 21, 2023, the closing price of our common stock and Public Warrants was $1.55 and $0.13, respectively. As of May 24, 2023, there were 189 holders of record of our common stock and 35 holders of record of our Public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in this offering, your interest will be diluted immediately to the extent of the difference between the offering price per share and the as adjusted net tangible book value per shares of common stock after this offering.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2023, our net tangible book value was $32.3 million, or $0.71 per share of common stock. Net tangible book value per share represents our total tangible assets, less our total liabilities, divided by the number of outstanding shares of our common stock.</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After giving effect to the sale of shares of common stock in this offering at a combined public offering price of $2.00 per share of common stock and accompanying investor warrant, and after deducting estimated underwriting discounts and commissions and estimated offering expenses payable by us, our as adjusted net tangible book value as of March 31, 2023 would have been approximately $50.5 million, or approximately $0.91 per share of common stock. This amount represents an immediate increase in as adjusted net tangible book value of $0.40 per share to our existing stockholders and an immediate dilution of $1.09 per share to investors participating in this offering. We determine dilution per share to investors participating in this offering by subtracting as adjusted net tangible book value per share after giving effect to this offering from the combined public offering price per share of common stock and accompanying investor warrant paid by investors participating in this offering.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ind w:left="660"/>
              <w:spacing w:after="0"/>
              <w:rPr>
                <w:sz w:val="20"/>
                <w:szCs w:val="20"/>
                <w:color w:val="auto"/>
              </w:rPr>
            </w:pPr>
            <w:r>
              <w:rPr>
                <w:rFonts w:ascii="Arial" w:cs="Arial" w:eastAsia="Arial" w:hAnsi="Arial"/>
                <w:sz w:val="18"/>
                <w:szCs w:val="18"/>
                <w:color w:val="auto"/>
              </w:rPr>
              <w:t>The following table illustrates this dilution to new investors on a per share basis:</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Combined public offering price per share</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Historical net tangible book value per share at March 31, 2023</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to the existing stockholders attributable to this offering</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r>
      <w:tr>
        <w:trPr>
          <w:trHeight w:val="237"/>
        </w:trPr>
        <w:tc>
          <w:tcPr>
            <w:tcW w:w="9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tcPr>
          <w:p>
            <w:pPr>
              <w:spacing w:after="0"/>
              <w:rPr>
                <w:sz w:val="20"/>
                <w:szCs w:val="20"/>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underwriters exercise their over-allotment option in full, the as adjusted net tangible book value per share after giving effect to this offering would be approximately $0.93 per share, which represents an immediate increase in the as adjusted net tangible book value of $0.46 per share of our common stock to existing stockholders and an immediate dilution in the as adjusted net tangible book value of $1.07 per share of our common stock to new investors participating in this offering.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and discussion above are based on 45,795,502 shares outstanding as of March 31, 2023, and excludes, in each case:</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9,422,529 Public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1,501,386 Private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1,343,557 Penny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40,000,000 Earnout Shares;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 to $150.0 million of shares of common stock we may sell to CCM pursuant to the Purchase Agreement establishing the ChEF Equity Facility;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3,731,392 shares of common stock underlying outstanding options;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10,000,000 shares of common stock issuable upon exercise of the investor warrants sold in this offering, with an exercise price per share of common stock of $2.00;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500,000 shares (575,000 shares if the underwriter exercises its option to purchase additional shares in full) of common stock issuable upon the exercise of the underwriters’ warrants issued to the underwriters in connection with this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discussed above is illustrative only and will be adjusted based on the actual public offering price, the actual number of shares that we offer in this offering, and other terms of this offering determined at pricing. To the extent that any outstanding warrants are exercised, outstanding notes are converted, new awards are issued under our equity compensation plans, or we otherwise issue additional shares of common stock in the future, at a price less than the public offering price, there will be further dilution to the investor.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2020, we have sold over 246,000 batteries. For the quarter ended March 31, 2023 and 2022, we sold 20,331 and 19,664 batteries, respectively, and had $18.8 million and $18.3 million in net sales, respectively. For the years ended December 31, 2022 and 2021, we sold 96,034 and 74,652 batteries, respectively, and had $86.3 million and $78.0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color w:val="auto"/>
        </w:rPr>
        <w:t>In addition to our conventional LFP batteries, we have been developing proprietary LFP solid-state cell technology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solid-state technology design allows for a much safer, more efficient cell that we believe will be a key differentiator in the energy storage market.</w:t>
      </w:r>
    </w:p>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Business Combination was accounted for as a reverse recapitalization. Under this method of accounting, CNTQ was treated as the acquired company for financial statement reporting purposes.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March 31, 2023, we had cash totaling $15.8 million. Our net income for the quarter ended March 31, 2023 was $4.9 million and our net loss for the quarter ended March 31, 2022 was $2.3 million. As a result of becoming a publicly traded company, we continue to need to hire additional personnel and implement procedures and processes to address public company regulatory requirements and customary practices. We expect to continue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Arial" w:cs="Arial" w:eastAsia="Arial" w:hAnsi="Arial"/>
          <w:sz w:val="17"/>
          <w:szCs w:val="17"/>
          <w:i w:val="1"/>
          <w:iCs w:val="1"/>
          <w:color w:val="auto"/>
        </w:rPr>
        <w:t>—Liquidity and</w:t>
      </w:r>
      <w:r>
        <w:rPr>
          <w:rFonts w:ascii="Arial" w:cs="Arial" w:eastAsia="Arial" w:hAnsi="Arial"/>
          <w:sz w:val="17"/>
          <w:szCs w:val="17"/>
          <w:color w:val="auto"/>
        </w:rPr>
        <w:t xml:space="preserve"> </w:t>
      </w:r>
      <w:r>
        <w:rPr>
          <w:rFonts w:ascii="Arial" w:cs="Arial" w:eastAsia="Arial" w:hAnsi="Arial"/>
          <w:sz w:val="17"/>
          <w:szCs w:val="17"/>
          <w:i w:val="1"/>
          <w:iCs w:val="1"/>
          <w:color w:val="auto"/>
        </w:rPr>
        <w:t>Capital Resources</w:t>
      </w:r>
      <w:r>
        <w:rPr>
          <w:rFonts w:ascii="Arial" w:cs="Arial" w:eastAsia="Arial" w:hAnsi="Arial"/>
          <w:sz w:val="17"/>
          <w:szCs w:val="17"/>
          <w:color w:val="auto"/>
        </w:rPr>
        <w:t>” below we expect that we will need to raise additional funds, including through the use of the ChEF Equity Facility and the issuance of</w:t>
      </w:r>
      <w:r>
        <w:rPr>
          <w:rFonts w:ascii="Arial" w:cs="Arial" w:eastAsia="Arial" w:hAnsi="Arial"/>
          <w:sz w:val="17"/>
          <w:szCs w:val="17"/>
          <w:i w:val="1"/>
          <w:iCs w:val="1"/>
          <w:color w:val="auto"/>
        </w:rPr>
        <w:t xml:space="preserve"> </w:t>
      </w:r>
      <w:r>
        <w:rPr>
          <w:rFonts w:ascii="Arial" w:cs="Arial" w:eastAsia="Arial" w:hAnsi="Arial"/>
          <w:sz w:val="17"/>
          <w:szCs w:val="17"/>
          <w:color w:val="auto"/>
        </w:rPr>
        <w:t>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financial position and results of operations depend to a significant extent on the following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 Consumers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demand for our products ultimately depends on demand from consumers in our current end markets. We generate sales through (1) DTC and (2) through OEMs, particularly in the RV market.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648"/>
        <w:spacing w:after="0" w:line="257" w:lineRule="auto"/>
        <w:rPr>
          <w:sz w:val="20"/>
          <w:szCs w:val="20"/>
          <w:color w:val="auto"/>
        </w:rPr>
      </w:pPr>
      <w:r>
        <w:rPr>
          <w:rFonts w:ascii="Arial" w:cs="Arial" w:eastAsia="Arial" w:hAnsi="Arial"/>
          <w:sz w:val="18"/>
          <w:szCs w:val="18"/>
          <w:color w:val="auto"/>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non-binding Memorandum of Understanding with a lithium mining company located in Nevada for the supply of lithium, which we expect will enable us to further manage our cost of goods.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Customer Mix</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Production Capacity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is primarily generated from the sale of our LFP batteries to OEMs and consumers, as well as chargers and other accessories, either individually or bundled.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goods sold includes the cost of cells and other components of our LFP batteries, labor and overhead, logistics and freight costs, and depreciation of manufacturing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(expense) consists primarily of interest expense, the change in fair value of the warrant liability and amortization of debt issuance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Three months ended March 31, 2023 and March 31, 2022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our results of operations for the quarters ended March 31, 2023, and March 31, 2022. This data should be read together with our financial statements and related notes included elsewhere in this Quarterly Report, and is qualified in its entirety by reference to such financial statements and related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jc w:val="right"/>
              <w:ind w:right="681"/>
              <w:spacing w:after="0"/>
              <w:rPr>
                <w:sz w:val="20"/>
                <w:szCs w:val="20"/>
                <w:color w:val="auto"/>
              </w:rPr>
            </w:pPr>
            <w:r>
              <w:rPr>
                <w:rFonts w:ascii="Arial" w:cs="Arial" w:eastAsia="Arial" w:hAnsi="Arial"/>
                <w:sz w:val="18"/>
                <w:szCs w:val="18"/>
                <w:b w:val="1"/>
                <w:bCs w:val="1"/>
                <w:color w:val="auto"/>
              </w:rPr>
              <w:t>Three months ended March 31,</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Net Sales</w:t>
            </w: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72"/>
              </w:rPr>
              <w:t>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18,791</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9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14,048</w:t>
            </w: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74.8</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12,808</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880</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9,495</w:t>
            </w: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50.5</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3,626</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4,184</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14,559</w:t>
            </w:r>
          </w:p>
        </w:tc>
        <w:tc>
          <w:tcPr>
            <w:tcW w:w="320" w:type="dxa"/>
            <w:vAlign w:val="bottom"/>
          </w:tcPr>
          <w:p>
            <w:pPr>
              <w:spacing w:after="0"/>
              <w:rPr>
                <w:sz w:val="19"/>
                <w:szCs w:val="19"/>
                <w:color w:val="auto"/>
              </w:rPr>
            </w:pP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77.5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7,057</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(9,816)</w:t>
            </w:r>
          </w:p>
        </w:tc>
        <w:tc>
          <w:tcPr>
            <w:tcW w:w="320" w:type="dxa"/>
            <w:vAlign w:val="bottom"/>
            <w:vMerge w:val="continue"/>
            <w:shd w:val="clear" w:color="auto" w:fill="CCEEFF"/>
          </w:tcPr>
          <w:p>
            <w:pPr>
              <w:spacing w:after="0"/>
              <w:rPr>
                <w:sz w:val="18"/>
                <w:szCs w:val="18"/>
                <w:color w:val="auto"/>
              </w:rPr>
            </w:pPr>
          </w:p>
        </w:tc>
        <w:tc>
          <w:tcPr>
            <w:tcW w:w="18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(52.2)</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32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(3,815)</w:t>
            </w: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(20.3)</w:t>
            </w:r>
          </w:p>
        </w:tc>
        <w:tc>
          <w:tcPr>
            <w:tcW w:w="48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(1,263)</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18,523</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98.6</w:t>
            </w:r>
          </w:p>
        </w:tc>
        <w:tc>
          <w:tcPr>
            <w:tcW w:w="4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Other Income (Expense)</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14,708</w:t>
            </w:r>
          </w:p>
        </w:tc>
        <w:tc>
          <w:tcPr>
            <w:tcW w:w="3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78.3</w:t>
            </w:r>
          </w:p>
        </w:tc>
        <w:tc>
          <w:tcPr>
            <w:tcW w:w="34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Taxes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b w:val="1"/>
                <w:bCs w:val="1"/>
                <w:color w:val="auto"/>
              </w:rPr>
              <w:t>Income Tax Benefit</w:t>
            </w:r>
          </w:p>
        </w:tc>
        <w:tc>
          <w:tcPr>
            <w:tcW w:w="9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(527)</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9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w w:val="72"/>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Retailer</w:t>
            </w:r>
          </w:p>
        </w:tc>
        <w:tc>
          <w:tcPr>
            <w:tcW w:w="2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7,069</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100" w:type="dxa"/>
            <w:vAlign w:val="bottom"/>
            <w:shd w:val="clear" w:color="auto" w:fill="CCEEFF"/>
          </w:tcPr>
          <w:p>
            <w:pPr>
              <w:spacing w:after="0"/>
              <w:rPr>
                <w:sz w:val="18"/>
                <w:szCs w:val="18"/>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8"/>
                <w:szCs w:val="18"/>
                <w:color w:val="auto"/>
              </w:rPr>
              <w:t>Distributor</w:t>
            </w:r>
          </w:p>
        </w:tc>
        <w:tc>
          <w:tcPr>
            <w:tcW w:w="2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2,969</w:t>
            </w: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0"/>
                <w:szCs w:val="20"/>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29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 Net Sales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53.4</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2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8,754</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 Net Sales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46.6</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r>
      <w:tr>
        <w:trPr>
          <w:trHeight w:val="22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2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18,791</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00" w:type="dxa"/>
            <w:vAlign w:val="bottom"/>
            <w:shd w:val="clear" w:color="auto" w:fill="CCEEFF"/>
          </w:tcPr>
          <w:p>
            <w:pPr>
              <w:spacing w:after="0"/>
              <w:rPr>
                <w:sz w:val="19"/>
                <w:szCs w:val="19"/>
                <w:color w:val="auto"/>
              </w:rPr>
            </w:pPr>
          </w:p>
        </w:tc>
      </w:tr>
      <w:tr>
        <w:trPr>
          <w:trHeight w:val="27"/>
        </w:trPr>
        <w:tc>
          <w:tcPr>
            <w:tcW w:w="40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sales increased by $0.5 million, or 2.7%, to $18.8 million for the quarter ended March 31, 2023, as compared to $18.3 million for the quarter ended March 31, 2022. This increase was primarily due to higher OEM battery and accessory sales partially offset by lower DTC sales. For the quarter ended March 31, 2023, OEM revenue increased by $5.6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$5.1 million as a result of decreased customer demand for our products due to rising interest rates and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 of revenue increased by $1.2 million, or 9.7%, to $14.0 million for the quarter ended March 31, 2023, as compared to $12.8 million for the quarter ended March 31, 2022. This increase was primarily due to higher material costs associated with growth in the number of units sold.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profit decreased by $0.8 million, or 13.7%, to $4.7 million for the quarter ended March 31, 2023, as compared to $5.5 million for the quarter ended March 31, 2022. The decrease in gross profit was primarily due to a change in revenue mix that included a larger percentage of lower margin OEM sales and a lower percentage of higher margin DTC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increased by $0.6 million or 159.6%, to $0.9 million for the quarter ended March 31, 2023, as compared to $0.3 million for the quarter ended March 31, 2022. The increase was primarily due to higher wage expense of $0.4 million associated with increased headcount, higher materials and supply costs associated with development work and increased patent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increased by $5.9 million, or 161.8%, to $9.5 million for the quarter ended March 31, 2023, as compared to $3.6 million for the quarter ended March 31, 2022. This increase was primarily due to a $3.5 million increase in stock-based compensation costs and a $2.1 million increase in professional fees, compliance, and insurance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increased by $1.1 million, or 35.3%, to $4.2 million for the quarter ended March 31, 2023, as compared to $3.1 million for the quarter ended March 31, 2022. This increase was primarily due to a $1.6 million increase in wage-related expenses primarily due to the addition of sales and marketing personnel to support growth in our existing end markets, as well as to drive growth in the new, adjacent end markets we are targeting. This increase was partially offset by lower spending in outsourced advertising costs along with lower shipping costs, due to the change in revenue mix.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income totaled $14.7 million for the quarter ended March 31, 2023 as compared to total other expense of $1.3 million for the quarter ended March 31, 2022. Other income in quarter ended March 31, 2023 is comprised of a change in fair market value of our warrants in the amount of $18.5 million offset by $3.8 million in interest expense related to the debt securities of $75 million. The $1.3 million expense in the quarter ended March 31, 2022 was comprised of interest expense related to the senior secured notes of $45 million which were retired as a result of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was no tax expense recorded for the quarter ended March 31, 2023, as compared to $0.5 million benefit for the quarter ended March 31, 2022. No tax expense was recorded in the quarter ended March 31, 2023 due to utilization of a portion of the $10.6 million valuation allowance. The income tax benefit of $0.5 million for the quarter ended March 31, 2022 was expected to be used against future tax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generated net income of $4.9 million for the quarter ended March 31, 2023, as compared to net loss of $2.3 million for the quarter ended March 31, 2022. As described above, this result was driven primarily by higher sales offset by increased cost of goods sold, higher operating expenses, and increased other income (primarily as a result of a change in fair market value of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Years Ended December 31, 2022 and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our results of operations for the years ended December 31, 2022 and 2021. This data should be read together with our financial statements and related notes included elsewhere in this Registration Statement, and is qualified in its entirety by reference to such financial statements and related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761"/>
              <w:spacing w:after="0"/>
              <w:rPr>
                <w:sz w:val="20"/>
                <w:szCs w:val="20"/>
                <w:color w:val="auto"/>
              </w:rPr>
            </w:pPr>
            <w:r>
              <w:rPr>
                <w:rFonts w:ascii="Arial" w:cs="Arial" w:eastAsia="Arial" w:hAnsi="Arial"/>
                <w:sz w:val="18"/>
                <w:szCs w:val="18"/>
                <w:b w:val="1"/>
                <w:bCs w:val="1"/>
                <w:color w:val="auto"/>
              </w:rPr>
              <w:t>Years ended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Net Sales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340" w:type="dxa"/>
            <w:vAlign w:val="bottom"/>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78"/>
              </w:rPr>
              <w:t>thousands)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86,251</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5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62,247</w:t>
            </w:r>
          </w:p>
        </w:tc>
        <w:tc>
          <w:tcPr>
            <w:tcW w:w="320" w:type="dxa"/>
            <w:vAlign w:val="bottom"/>
          </w:tcPr>
          <w:p>
            <w:pPr>
              <w:spacing w:after="0"/>
              <w:rPr>
                <w:sz w:val="19"/>
                <w:szCs w:val="19"/>
                <w:color w:val="auto"/>
              </w:rPr>
            </w:pP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48,375</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41,566</w:t>
            </w:r>
          </w:p>
        </w:tc>
        <w:tc>
          <w:tcPr>
            <w:tcW w:w="32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10,621</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58,001</w:t>
            </w:r>
          </w:p>
        </w:tc>
        <w:tc>
          <w:tcPr>
            <w:tcW w:w="32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23,158</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Income From Operations</w:t>
            </w:r>
          </w:p>
        </w:tc>
        <w:tc>
          <w:tcPr>
            <w:tcW w:w="3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32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w:t>
            </w: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(6,945)</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(519)</w:t>
            </w: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market value of warrant liability</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00"/>
              <w:spacing w:after="0"/>
              <w:rPr>
                <w:sz w:val="20"/>
                <w:szCs w:val="20"/>
                <w:color w:val="auto"/>
              </w:rPr>
            </w:pPr>
            <w:r>
              <w:rPr>
                <w:rFonts w:ascii="Arial" w:cs="Arial" w:eastAsia="Arial" w:hAnsi="Arial"/>
                <w:sz w:val="18"/>
                <w:szCs w:val="18"/>
                <w:color w:val="auto"/>
              </w:rPr>
              <w:t>Debt extinguishment</w:t>
            </w:r>
          </w:p>
        </w:tc>
        <w:tc>
          <w:tcPr>
            <w:tcW w:w="30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(4,824)</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Expense</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3" w:lineRule="exact"/>
              <w:rPr>
                <w:sz w:val="20"/>
                <w:szCs w:val="20"/>
                <w:color w:val="auto"/>
              </w:rPr>
            </w:pPr>
            <w:r>
              <w:rPr>
                <w:rFonts w:ascii="Arial" w:cs="Arial" w:eastAsia="Arial" w:hAnsi="Arial"/>
                <w:sz w:val="18"/>
                <w:szCs w:val="18"/>
                <w:b w:val="1"/>
                <w:bCs w:val="1"/>
                <w:color w:val="auto"/>
              </w:rPr>
              <w:t>(Loss) Income Before Taxes</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(40,280)</w:t>
            </w:r>
          </w:p>
        </w:tc>
        <w:tc>
          <w:tcPr>
            <w:tcW w:w="3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5,949</w:t>
            </w:r>
          </w:p>
        </w:tc>
        <w:tc>
          <w:tcPr>
            <w:tcW w:w="3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(709)</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Income</w:t>
            </w: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(39,571</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(45.9</w:t>
            </w:r>
          </w:p>
        </w:tc>
        <w:tc>
          <w:tcPr>
            <w:tcW w:w="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4,338</w:t>
            </w:r>
          </w:p>
        </w:tc>
        <w:tc>
          <w:tcPr>
            <w:tcW w:w="34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jc w:val="right"/>
              <w:ind w:right="818"/>
              <w:spacing w:after="0"/>
              <w:rPr>
                <w:sz w:val="20"/>
                <w:szCs w:val="20"/>
                <w:color w:val="auto"/>
              </w:rPr>
            </w:pPr>
            <w:r>
              <w:rPr>
                <w:rFonts w:ascii="Arial" w:cs="Arial" w:eastAsia="Arial" w:hAnsi="Arial"/>
                <w:sz w:val="18"/>
                <w:szCs w:val="18"/>
                <w:b w:val="1"/>
                <w:bCs w:val="1"/>
                <w:color w:val="auto"/>
                <w:w w:val="72"/>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Retailer</w:t>
            </w:r>
          </w:p>
        </w:tc>
        <w:tc>
          <w:tcPr>
            <w:tcW w:w="2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43,344</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59,042</w:t>
            </w:r>
          </w:p>
        </w:tc>
        <w:tc>
          <w:tcPr>
            <w:tcW w:w="100" w:type="dxa"/>
            <w:vAlign w:val="bottom"/>
            <w:shd w:val="clear" w:color="auto" w:fill="CCEEFF"/>
          </w:tcPr>
          <w:p>
            <w:pPr>
              <w:spacing w:after="0"/>
              <w:rPr>
                <w:sz w:val="18"/>
                <w:szCs w:val="18"/>
                <w:color w:val="auto"/>
              </w:rPr>
            </w:pPr>
          </w:p>
        </w:tc>
      </w:tr>
      <w:tr>
        <w:trPr>
          <w:trHeight w:val="223"/>
        </w:trPr>
        <w:tc>
          <w:tcPr>
            <w:tcW w:w="4020" w:type="dxa"/>
            <w:vAlign w:val="bottom"/>
          </w:tcPr>
          <w:p>
            <w:pPr>
              <w:ind w:left="200"/>
              <w:spacing w:after="0"/>
              <w:rPr>
                <w:sz w:val="20"/>
                <w:szCs w:val="20"/>
                <w:color w:val="auto"/>
              </w:rPr>
            </w:pPr>
            <w:r>
              <w:rPr>
                <w:rFonts w:ascii="Arial" w:cs="Arial" w:eastAsia="Arial" w:hAnsi="Arial"/>
                <w:sz w:val="18"/>
                <w:szCs w:val="18"/>
                <w:color w:val="auto"/>
              </w:rPr>
              <w:t>Distributor</w:t>
            </w:r>
          </w:p>
        </w:tc>
        <w:tc>
          <w:tcPr>
            <w:tcW w:w="2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9,102</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10,733</w:t>
            </w:r>
          </w:p>
        </w:tc>
        <w:tc>
          <w:tcPr>
            <w:tcW w:w="100" w:type="dxa"/>
            <w:vAlign w:val="bottom"/>
          </w:tcPr>
          <w:p>
            <w:pPr>
              <w:spacing w:after="0"/>
              <w:rPr>
                <w:sz w:val="19"/>
                <w:szCs w:val="19"/>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29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52,446</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 Net Sales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60.8</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2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33,805</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 Net Sales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39.2</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2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86,251</w:t>
            </w:r>
          </w:p>
        </w:tc>
        <w:tc>
          <w:tcPr>
            <w:tcW w:w="1280" w:type="dxa"/>
            <w:vAlign w:val="bottom"/>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shd w:val="clear" w:color="auto" w:fill="CCEEFF"/>
          </w:tcPr>
          <w:p>
            <w:pPr>
              <w:spacing w:after="0"/>
              <w:rPr>
                <w:sz w:val="18"/>
                <w:szCs w:val="18"/>
                <w:color w:val="auto"/>
              </w:rPr>
            </w:pPr>
          </w:p>
        </w:tc>
      </w:tr>
      <w:tr>
        <w:trPr>
          <w:trHeight w:val="27"/>
        </w:trPr>
        <w:tc>
          <w:tcPr>
            <w:tcW w:w="40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(Expense) Income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following accounting policies are those most critical to the judgments and estimates used in the preparation of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12—Warrants” in our accompanying consolidated financial statements for information on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uses the Black-Scholes option-pricing model to determine the fair value of option grants. In estimating fair value, management is required to make certain assumptions and estimates such as the expected life of units, volatility of the Company’s future share price, risk-free rates, future dividend yields and estimated forfeitures at the initial grant date. Restricted stock unit awards are valued based on the closing trading value of the Company’s common stock on the date of grant. Changes in assumptions used to estimate fair value could result in materially different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ind w:firstLine="648"/>
        <w:spacing w:after="0" w:line="255" w:lineRule="auto"/>
        <w:rPr>
          <w:sz w:val="20"/>
          <w:szCs w:val="20"/>
          <w:color w:val="auto"/>
        </w:rPr>
      </w:pPr>
      <w:r>
        <w:rPr>
          <w:rFonts w:ascii="Arial" w:cs="Arial" w:eastAsia="Arial" w:hAnsi="Arial"/>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presents our adjusted EBITDA, reconciled to net income (loss) for the quarters ended March 31, 2023, and March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920" w:type="dxa"/>
            <w:vAlign w:val="bottom"/>
            <w:gridSpan w:val="2"/>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4,892</w:t>
            </w:r>
          </w:p>
        </w:tc>
        <w:tc>
          <w:tcPr>
            <w:tcW w:w="1280" w:type="dxa"/>
            <w:vAlign w:val="bottom"/>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(2,298)</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3,815</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w:t>
            </w:r>
          </w:p>
        </w:tc>
      </w:tr>
      <w:tr>
        <w:trPr>
          <w:trHeight w:val="223"/>
        </w:trPr>
        <w:tc>
          <w:tcPr>
            <w:tcW w:w="5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297</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r>
      <w:tr>
        <w:trPr>
          <w:trHeight w:val="216"/>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6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3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16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4,487</w:t>
            </w:r>
          </w:p>
        </w:tc>
        <w:tc>
          <w:tcPr>
            <w:tcW w:w="1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2"/>
                <w:szCs w:val="22"/>
                <w:color w:val="auto"/>
              </w:rPr>
            </w:pPr>
          </w:p>
        </w:tc>
      </w:tr>
      <w:tr>
        <w:trPr>
          <w:trHeight w:val="270"/>
        </w:trPr>
        <w:tc>
          <w:tcPr>
            <w:tcW w:w="5300" w:type="dxa"/>
            <w:vAlign w:val="bottom"/>
          </w:tcPr>
          <w:p>
            <w:pPr>
              <w:ind w:left="180"/>
              <w:spacing w:after="0" w:line="270" w:lineRule="exact"/>
              <w:rPr>
                <w:sz w:val="20"/>
                <w:szCs w:val="20"/>
                <w:color w:val="auto"/>
              </w:rPr>
            </w:pPr>
            <w:r>
              <w:rPr>
                <w:rFonts w:ascii="Arial" w:cs="Arial" w:eastAsia="Arial" w:hAnsi="Arial"/>
                <w:sz w:val="18"/>
                <w:szCs w:val="18"/>
                <w:color w:val="auto"/>
              </w:rPr>
              <w:t>ERP Implementation</w:t>
            </w:r>
            <w:r>
              <w:rPr>
                <w:rFonts w:ascii="Arial" w:cs="Arial" w:eastAsia="Arial" w:hAnsi="Arial"/>
                <w:sz w:val="29"/>
                <w:szCs w:val="29"/>
                <w:color w:val="auto"/>
                <w:vertAlign w:val="superscript"/>
              </w:rPr>
              <w:t>(2)</w:t>
            </w:r>
          </w:p>
        </w:tc>
        <w:tc>
          <w:tcPr>
            <w:tcW w:w="1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r>
      <w:tr>
        <w:trPr>
          <w:trHeight w:val="257"/>
        </w:trPr>
        <w:tc>
          <w:tcPr>
            <w:tcW w:w="53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(3)</w:t>
            </w:r>
          </w:p>
        </w:tc>
        <w:tc>
          <w:tcPr>
            <w:tcW w:w="16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2"/>
                <w:szCs w:val="22"/>
                <w:color w:val="auto"/>
              </w:rPr>
            </w:pPr>
          </w:p>
        </w:tc>
      </w:tr>
      <w:tr>
        <w:trPr>
          <w:trHeight w:val="263"/>
        </w:trPr>
        <w:tc>
          <w:tcPr>
            <w:tcW w:w="5300" w:type="dxa"/>
            <w:vAlign w:val="bottom"/>
          </w:tcPr>
          <w:p>
            <w:pPr>
              <w:spacing w:after="0" w:line="256" w:lineRule="exact"/>
              <w:rPr>
                <w:sz w:val="20"/>
                <w:szCs w:val="20"/>
                <w:color w:val="auto"/>
              </w:rPr>
            </w:pPr>
            <w:r>
              <w:rPr>
                <w:rFonts w:ascii="Arial" w:cs="Arial" w:eastAsia="Arial" w:hAnsi="Arial"/>
                <w:sz w:val="18"/>
                <w:szCs w:val="18"/>
                <w:color w:val="auto"/>
              </w:rPr>
              <w:t xml:space="preserve">Change in fair market value of warrant liability </w:t>
            </w:r>
            <w:r>
              <w:rPr>
                <w:rFonts w:ascii="Arial" w:cs="Arial" w:eastAsia="Arial" w:hAnsi="Arial"/>
                <w:sz w:val="29"/>
                <w:szCs w:val="29"/>
                <w:color w:val="auto"/>
                <w:vertAlign w:val="superscript"/>
              </w:rPr>
              <w:t>(4)</w:t>
            </w:r>
          </w:p>
        </w:tc>
        <w:tc>
          <w:tcPr>
            <w:tcW w:w="1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(18,523)</w:t>
            </w:r>
          </w:p>
        </w:tc>
        <w:tc>
          <w:tcPr>
            <w:tcW w:w="1280" w:type="dxa"/>
            <w:vAlign w:val="bottom"/>
          </w:tcPr>
          <w:p>
            <w:pPr>
              <w:spacing w:after="0"/>
              <w:rPr>
                <w:sz w:val="22"/>
                <w:szCs w:val="22"/>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5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Stock-Based Compensation is comprised of costs associated with option and RSU grants made to our employees, consultants and board members.</w:t>
      </w:r>
    </w:p>
    <w:p>
      <w:pPr>
        <w:spacing w:after="0" w:line="248"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ERP Implementation is comprised of costs and expenses associated with our implementation of an ERP system in anticipation of the Business Combination and becoming a public company.</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Chief Financial Officer.</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from January 1, 2023 through March 31,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The table below presents our adjusted EBITDA, reconciled to net (loss) income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8"/>
                <w:szCs w:val="18"/>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820" w:type="dxa"/>
            <w:vAlign w:val="bottom"/>
            <w:gridSpan w:val="2"/>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(39,571)</w:t>
            </w:r>
          </w:p>
        </w:tc>
        <w:tc>
          <w:tcPr>
            <w:tcW w:w="1320" w:type="dxa"/>
            <w:vAlign w:val="bottom"/>
            <w:shd w:val="clear" w:color="auto" w:fill="CCEEFF"/>
          </w:tcPr>
          <w:p>
            <w:pPr>
              <w:jc w:val="right"/>
              <w:ind w:right="116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6,945</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(709)</w:t>
            </w: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8"/>
                <w:szCs w:val="18"/>
                <w:color w:val="auto"/>
              </w:rPr>
            </w:pPr>
          </w:p>
        </w:tc>
      </w:tr>
      <w:tr>
        <w:trPr>
          <w:trHeight w:val="223"/>
        </w:trPr>
        <w:tc>
          <w:tcPr>
            <w:tcW w:w="5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891</w:t>
            </w: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5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(32,444)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4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15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2,467</w:t>
            </w:r>
          </w:p>
        </w:tc>
        <w:tc>
          <w:tcPr>
            <w:tcW w:w="13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2"/>
                <w:szCs w:val="22"/>
                <w:color w:val="auto"/>
              </w:rPr>
            </w:pPr>
          </w:p>
        </w:tc>
      </w:tr>
      <w:tr>
        <w:trPr>
          <w:trHeight w:val="270"/>
        </w:trPr>
        <w:tc>
          <w:tcPr>
            <w:tcW w:w="5400" w:type="dxa"/>
            <w:vAlign w:val="bottom"/>
          </w:tcPr>
          <w:p>
            <w:pPr>
              <w:ind w:left="200"/>
              <w:spacing w:after="0" w:line="270" w:lineRule="exact"/>
              <w:rPr>
                <w:sz w:val="20"/>
                <w:szCs w:val="20"/>
                <w:color w:val="auto"/>
              </w:rPr>
            </w:pPr>
            <w:r>
              <w:rPr>
                <w:rFonts w:ascii="Arial" w:cs="Arial" w:eastAsia="Arial" w:hAnsi="Arial"/>
                <w:sz w:val="18"/>
                <w:szCs w:val="18"/>
                <w:color w:val="auto"/>
              </w:rPr>
              <w:t>ERP Implementation</w:t>
            </w:r>
            <w:r>
              <w:rPr>
                <w:rFonts w:ascii="Arial" w:cs="Arial" w:eastAsia="Arial" w:hAnsi="Arial"/>
                <w:sz w:val="29"/>
                <w:szCs w:val="29"/>
                <w:color w:val="auto"/>
                <w:vertAlign w:val="superscript"/>
              </w:rPr>
              <w:t>(2)</w:t>
            </w:r>
          </w:p>
        </w:tc>
        <w:tc>
          <w:tcPr>
            <w:tcW w:w="15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r>
      <w:tr>
        <w:trPr>
          <w:trHeight w:val="256"/>
        </w:trPr>
        <w:tc>
          <w:tcPr>
            <w:tcW w:w="54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(3)</w:t>
            </w:r>
          </w:p>
        </w:tc>
        <w:tc>
          <w:tcPr>
            <w:tcW w:w="15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469</w:t>
            </w:r>
          </w:p>
        </w:tc>
        <w:tc>
          <w:tcPr>
            <w:tcW w:w="13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Loss on Disposal of Assets</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56</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70"/>
        </w:trPr>
        <w:tc>
          <w:tcPr>
            <w:tcW w:w="54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(4)</w:t>
            </w:r>
          </w:p>
        </w:tc>
        <w:tc>
          <w:tcPr>
            <w:tcW w:w="15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1,197</w:t>
            </w:r>
          </w:p>
        </w:tc>
        <w:tc>
          <w:tcPr>
            <w:tcW w:w="13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r>
      <w:tr>
        <w:trPr>
          <w:trHeight w:val="256"/>
        </w:trPr>
        <w:tc>
          <w:tcPr>
            <w:tcW w:w="5400" w:type="dxa"/>
            <w:vAlign w:val="bottom"/>
          </w:tcPr>
          <w:p>
            <w:pPr>
              <w:ind w:left="200"/>
              <w:spacing w:after="0" w:line="256" w:lineRule="exact"/>
              <w:rPr>
                <w:sz w:val="20"/>
                <w:szCs w:val="20"/>
                <w:color w:val="auto"/>
              </w:rPr>
            </w:pPr>
            <w:r>
              <w:rPr>
                <w:rFonts w:ascii="Arial" w:cs="Arial" w:eastAsia="Arial" w:hAnsi="Arial"/>
                <w:sz w:val="18"/>
                <w:szCs w:val="18"/>
                <w:color w:val="auto"/>
              </w:rPr>
              <w:t>Business Combination Expenses</w:t>
            </w:r>
            <w:r>
              <w:rPr>
                <w:rFonts w:ascii="Arial" w:cs="Arial" w:eastAsia="Arial" w:hAnsi="Arial"/>
                <w:sz w:val="29"/>
                <w:szCs w:val="29"/>
                <w:color w:val="auto"/>
                <w:vertAlign w:val="superscript"/>
              </w:rPr>
              <w:t>(5)</w:t>
            </w:r>
          </w:p>
        </w:tc>
        <w:tc>
          <w:tcPr>
            <w:tcW w:w="1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21,337</w:t>
            </w:r>
          </w:p>
        </w:tc>
        <w:tc>
          <w:tcPr>
            <w:tcW w:w="1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r>
      <w:tr>
        <w:trPr>
          <w:trHeight w:val="270"/>
        </w:trPr>
        <w:tc>
          <w:tcPr>
            <w:tcW w:w="54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Debt extinguishment </w:t>
            </w:r>
            <w:r>
              <w:rPr>
                <w:rFonts w:ascii="Arial" w:cs="Arial" w:eastAsia="Arial" w:hAnsi="Arial"/>
                <w:sz w:val="29"/>
                <w:szCs w:val="29"/>
                <w:color w:val="auto"/>
                <w:vertAlign w:val="superscript"/>
              </w:rPr>
              <w:t>(6)</w:t>
            </w:r>
          </w:p>
        </w:tc>
        <w:tc>
          <w:tcPr>
            <w:tcW w:w="15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4,824</w:t>
            </w:r>
          </w:p>
        </w:tc>
        <w:tc>
          <w:tcPr>
            <w:tcW w:w="13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r>
      <w:tr>
        <w:trPr>
          <w:trHeight w:val="250"/>
        </w:trPr>
        <w:tc>
          <w:tcPr>
            <w:tcW w:w="5400" w:type="dxa"/>
            <w:vAlign w:val="bottom"/>
          </w:tcPr>
          <w:p>
            <w:pPr>
              <w:ind w:left="200"/>
              <w:spacing w:after="0" w:line="243" w:lineRule="exact"/>
              <w:rPr>
                <w:sz w:val="20"/>
                <w:szCs w:val="20"/>
                <w:color w:val="auto"/>
              </w:rPr>
            </w:pPr>
            <w:r>
              <w:rPr>
                <w:rFonts w:ascii="Arial" w:cs="Arial" w:eastAsia="Arial" w:hAnsi="Arial"/>
                <w:sz w:val="17"/>
                <w:szCs w:val="17"/>
                <w:color w:val="auto"/>
              </w:rPr>
              <w:t xml:space="preserve">Change in fair market value of warrant liability </w:t>
            </w:r>
            <w:r>
              <w:rPr>
                <w:rFonts w:ascii="Arial" w:cs="Arial" w:eastAsia="Arial" w:hAnsi="Arial"/>
                <w:sz w:val="28"/>
                <w:szCs w:val="28"/>
                <w:color w:val="auto"/>
                <w:vertAlign w:val="superscript"/>
              </w:rPr>
              <w:t>(7)</w:t>
            </w:r>
          </w:p>
        </w:tc>
        <w:tc>
          <w:tcPr>
            <w:tcW w:w="1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(5,446)</w:t>
            </w:r>
          </w:p>
        </w:tc>
        <w:tc>
          <w:tcPr>
            <w:tcW w:w="1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6"/>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58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ind w:right="116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Stock-Based Compensation is comprised of costs associated with option and RSU grants made to our employees, consultants and board members.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ERP Implementation is comprised of costs and expenses associated with our implementation of an Enterprise Resource Planning (ERP) system in anticipation of the Business Combination and becoming a public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Chief Financial Officer.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Separation Agreement is comprised of $1.2 million in cash severance associated with the Separation Agreement, dated October 25, 2022, as amended on November 14, 2022, between us and Sean Nichols, our former Chief Operating Officer.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Combination Expenses is comprised of fees and expenses, including legal, accounting, and others associated with the Business Combination.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extinguishment expenses are comprised of expenses incurred in connection with the early debt repayment of the Series 2021-6 Notes that occurred in conjunction with the Business Combination.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from the date the warrants were issued through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2023, we had cash totaling $15.8 million.</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fourth quarter of 2022, we continued to increase our inventory purchasing activities. As a result, our inventory balance at March 31, 2023 increased by $1.9 million to $51.8 million, compared to $49.9 million at December 31, 2022.</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Requirements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55" w:lineRule="auto"/>
        <w:rPr>
          <w:sz w:val="20"/>
          <w:szCs w:val="20"/>
          <w:color w:val="auto"/>
        </w:rPr>
      </w:pPr>
      <w:r>
        <w:rPr>
          <w:rFonts w:ascii="Arial" w:cs="Arial" w:eastAsia="Arial" w:hAnsi="Arial"/>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which represents approximately 50% of the shares of our common stock outstanding as of December 31, 2022. During the year ended December 31, 2023, we did not sell any shares of our common stock under the ChEF Equity Facility. From January 1, 2023 to May 24, 2023, we issued and sold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2022, we incurred losses and had a negative cash flow from operations. As of December 31, 2022, we had approximately $17.8 million in cash and cash equivalents and working capital of $32.9 million. For the quarter ended March 31, 2023, we generated net income of $4.9 million but had a negative cash flow from operations. As of March 31, 2023, we had approximately $15.8 million in cash and cash equivalents and working capital of $24.5 million.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firstLine="648"/>
        <w:spacing w:after="0" w:line="291" w:lineRule="auto"/>
        <w:rPr>
          <w:sz w:val="20"/>
          <w:szCs w:val="20"/>
          <w:color w:val="auto"/>
        </w:rPr>
      </w:pPr>
      <w:r>
        <w:rPr>
          <w:rFonts w:ascii="Arial" w:cs="Arial" w:eastAsia="Arial" w:hAnsi="Arial"/>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b w:val="1"/>
                <w:bCs w:val="1"/>
                <w:i w:val="1"/>
                <w:iCs w:val="1"/>
                <w:color w:val="auto"/>
                <w:w w:val="97"/>
              </w:rPr>
              <w:t>Cash Flows for the Three months ended March 31, 2023, and March 31, 2022</w:t>
            </w: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8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Net Cash provided by/(used in):</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2"/>
          </w:tcPr>
          <w:p>
            <w:pPr>
              <w:jc w:val="right"/>
              <w:ind w:right="783"/>
              <w:spacing w:after="0"/>
              <w:rPr>
                <w:sz w:val="20"/>
                <w:szCs w:val="20"/>
                <w:color w:val="auto"/>
              </w:rPr>
            </w:pPr>
            <w:r>
              <w:rPr>
                <w:rFonts w:ascii="Arial" w:cs="Arial" w:eastAsia="Arial" w:hAnsi="Arial"/>
                <w:sz w:val="18"/>
                <w:szCs w:val="18"/>
                <w:b w:val="1"/>
                <w:bCs w:val="1"/>
                <w:color w:val="auto"/>
                <w:w w:val="72"/>
              </w:rPr>
              <w:t>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8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(3,838)</w:t>
            </w:r>
          </w:p>
        </w:tc>
        <w:tc>
          <w:tcPr>
            <w:tcW w:w="124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Investing activities</w:t>
            </w:r>
          </w:p>
        </w:tc>
        <w:tc>
          <w:tcPr>
            <w:tcW w:w="188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(589)</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(4,524)</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8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2,437</w:t>
            </w:r>
          </w:p>
        </w:tc>
        <w:tc>
          <w:tcPr>
            <w:tcW w:w="124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was $3.8 million for three months ended March 31, 2023, primarily due to a net operating loss of $9.8 million during the period offset by an increase in accounts payable and accrued expenses as a result of extended payments for the large influx of cells received late in 2022 and early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$11.1 million for the three months ended March 31, 2022, primarily due to a net loss during the period in addition to an increase in inventory and reduction of accounts payable and accrued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$0.6 million for the three months ended March 31, 2023, as compared to net cash used in investing activities of $4.5 million for the three months ended March 31, 2022. The decrease in cash used in investing activities was primarily due to a decrease in capital equipment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$2.4 million for the three months ended March 31, 2023, as compared to net cash provided by financing activities of $0.1 million for the three months ended March 31, 2022, and was primarily due to proceeds from a $1.0 million note payable and proceeds from public offering and warrants.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w w:val="96"/>
              </w:rPr>
              <w:t>Cash Flows for the Years ended December 31, 2022 and 2021</w:t>
            </w:r>
          </w:p>
        </w:tc>
        <w:tc>
          <w:tcPr>
            <w:tcW w:w="1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8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8"/>
                <w:szCs w:val="18"/>
                <w:b w:val="1"/>
                <w:bCs w:val="1"/>
                <w:color w:val="auto"/>
              </w:rPr>
              <w:t>Years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Net Cash provided by/(used in):</w:t>
            </w:r>
          </w:p>
        </w:tc>
        <w:tc>
          <w:tcPr>
            <w:tcW w:w="1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ind w:left="28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2"/>
          </w:tcPr>
          <w:p>
            <w:pPr>
              <w:jc w:val="right"/>
              <w:ind w:right="783"/>
              <w:spacing w:after="0"/>
              <w:rPr>
                <w:sz w:val="20"/>
                <w:szCs w:val="20"/>
                <w:color w:val="auto"/>
              </w:rPr>
            </w:pPr>
            <w:r>
              <w:rPr>
                <w:rFonts w:ascii="Arial" w:cs="Arial" w:eastAsia="Arial" w:hAnsi="Arial"/>
                <w:sz w:val="18"/>
                <w:szCs w:val="18"/>
                <w:b w:val="1"/>
                <w:bCs w:val="1"/>
                <w:color w:val="auto"/>
                <w:w w:val="72"/>
              </w:rPr>
              <w:t>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1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(45,696)</w:t>
            </w:r>
          </w:p>
        </w:tc>
        <w:tc>
          <w:tcPr>
            <w:tcW w:w="124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(13,573)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Investing activities</w:t>
            </w:r>
          </w:p>
        </w:tc>
        <w:tc>
          <w:tcPr>
            <w:tcW w:w="31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(6,827)</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(2,909)</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1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41,674</w:t>
            </w:r>
          </w:p>
        </w:tc>
        <w:tc>
          <w:tcPr>
            <w:tcW w:w="124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38,906</w:t>
            </w:r>
          </w:p>
        </w:tc>
        <w:tc>
          <w:tcPr>
            <w:tcW w:w="100" w:type="dxa"/>
            <w:vAlign w:val="bottom"/>
            <w:shd w:val="clear" w:color="auto" w:fill="CCEEFF"/>
          </w:tcPr>
          <w:p>
            <w:pPr>
              <w:spacing w:after="0"/>
              <w:rPr>
                <w:sz w:val="18"/>
                <w:szCs w:val="18"/>
                <w:color w:val="auto"/>
              </w:rPr>
            </w:pPr>
          </w:p>
        </w:tc>
      </w:tr>
      <w:tr>
        <w:trPr>
          <w:trHeight w:val="439"/>
        </w:trPr>
        <w:tc>
          <w:tcPr>
            <w:tcW w:w="50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48</w:t>
            </w:r>
          </w:p>
        </w:tc>
        <w:tc>
          <w:tcPr>
            <w:tcW w:w="1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$38.9 million for the year ended December 31, 2021, primarily as a result of $45.0 million in proceeds from the senior secured notes, partially offset by associated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estimated future obligations consist of short-term and long-term operating lease liabilities. As of March 31, 2023, we had $1.2 million in short-term operating lease liabilities and $3.2 million in long-term operating lease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disclosed above, we have a Term Loan and as of March 31, 2023, the principal amount outstanding under the Term Loan was $77.4 million.</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CNTQ Lender backstopped its commitment under the Debt Commitment Letter by entering into a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references in this Registration Statement to “Dragonfly,” the “Company,” “we,” “us,” or “our” mean Dragonfly Energy Holdings Corp. and its subsidiaries unless stated otherwise or the context otherwise indicates.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manufacturer of non-toxic deep cycle lithium-ion batteries that caters to customers in the consumer (including the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dual-brand strategy for battery products, Dragonfly Energy and Battle Born. Battle Born branded products are primarily sold direct to consumers,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2020, we have sold over 246,000 batteries. For the quarters ended March 31, 2023 and 2022, we sold 20,331 and 19,664 batteries, respectively, and had $18.8 million and $18.3 million in net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fulfills certain of its LFP battery requirements exclusively through us (with potential annual renewals), THOR,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offer a line of batteries across our “Battle Born” and “Dragonfly”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Wakespeed of Thomason Jones, allowing us to include our own alternator regulator in systems that we sell.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648"/>
        <w:spacing w:after="0" w:line="255" w:lineRule="auto"/>
        <w:rPr>
          <w:sz w:val="20"/>
          <w:szCs w:val="20"/>
          <w:color w:val="auto"/>
        </w:rPr>
      </w:pPr>
      <w:r>
        <w:rPr>
          <w:rFonts w:ascii="Arial" w:cs="Arial" w:eastAsia="Arial" w:hAnsi="Arial"/>
          <w:sz w:val="18"/>
          <w:szCs w:val="18"/>
          <w:color w:val="auto"/>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decades, lead-acid batteries have been the dominant player in power and energy markets worldwide. Since the introduction of the absorbed glass mat (“AGM”) lead-acid battery in the mid-1970s, the technological advancements in lead-acid battery technology have been limited. LFP batteries have numerous advantages over the incumbent lead-acid batteries used in today’s markets: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left="66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Environmentally Friendly, Socially Responsible and Safer. </w:t>
      </w:r>
      <w:r>
        <w:rPr>
          <w:rFonts w:ascii="Arial" w:cs="Arial" w:eastAsia="Arial" w:hAnsi="Arial"/>
          <w:sz w:val="18"/>
          <w:szCs w:val="18"/>
          <w:color w:val="auto"/>
        </w:rPr>
        <w:t>Lead-acid batteries that are not recycled or disposed of properly are extremely toxic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91"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Longer Lifespan. </w:t>
      </w:r>
      <w:r>
        <w:rPr>
          <w:rFonts w:ascii="Arial" w:cs="Arial" w:eastAsia="Arial" w:hAnsi="Arial"/>
          <w:sz w:val="16"/>
          <w:szCs w:val="16"/>
          <w:color w:val="auto"/>
        </w:rPr>
        <w:t>Lithium-ion batteries have longer lifecycles compared to lead-acid batteries. LFP batteries are able to cycle (i.e., discharge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66"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 and Performance. </w:t>
      </w:r>
      <w:r>
        <w:rPr>
          <w:rFonts w:ascii="Arial" w:cs="Arial" w:eastAsia="Arial" w:hAnsi="Arial"/>
          <w:sz w:val="17"/>
          <w:szCs w:val="17"/>
          <w:color w:val="auto"/>
        </w:rPr>
        <w:t>As new technologies evolve and people consume more electricity, the importance of battery power and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77"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Charging. </w:t>
      </w:r>
      <w:r>
        <w:rPr>
          <w:rFonts w:ascii="Arial" w:cs="Arial" w:eastAsia="Arial" w:hAnsi="Arial"/>
          <w:sz w:val="17"/>
          <w:szCs w:val="17"/>
          <w:color w:val="auto"/>
        </w:rPr>
        <w:t>Lead-acid batteries were the first rechargeable batteries on the market. However, due to new advancements in energy density (i.e.,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7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Maintenance-Free. </w:t>
      </w:r>
      <w:r>
        <w:rPr>
          <w:rFonts w:ascii="Arial" w:cs="Arial" w:eastAsia="Arial" w:hAnsi="Arial"/>
          <w:sz w:val="18"/>
          <w:szCs w:val="18"/>
          <w:color w:val="auto"/>
        </w:rPr>
        <w:t>LFP batteries provide the benefit of being a maintenance-free option compared to lead-acid batteries. Unlike lead-acid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 to a Frost and Sullivan report commissioned by us (“Frost &amp; Sullivan”), the total addressable market (“TAM”) of our three current end markets is estimated to be approximately $12 billion by 2025.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ind w:left="660" w:hanging="328"/>
        <w:spacing w:after="0" w:line="287"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Recreational Vehicles. </w:t>
      </w:r>
      <w:r>
        <w:rPr>
          <w:rFonts w:ascii="Arial" w:cs="Arial" w:eastAsia="Arial" w:hAnsi="Arial"/>
          <w:sz w:val="16"/>
          <w:szCs w:val="16"/>
          <w:color w:val="auto"/>
        </w:rPr>
        <w:t>The growth of the RV market is expected to continue to drive demand for LFP storage batteries. According to the 2022 RV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Association (“RVIA”)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(“CAGR”)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67"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Marine Vessels. </w:t>
      </w:r>
      <w:r>
        <w:rPr>
          <w:rFonts w:ascii="Arial" w:cs="Arial" w:eastAsia="Arial" w:hAnsi="Arial"/>
          <w:sz w:val="17"/>
          <w:szCs w:val="17"/>
          <w:color w:val="auto"/>
        </w:rPr>
        <w:t>As boating becomes more popular in North America, the need for a reliable, non-flammable energy storage system is becoming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77"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Off-Grid Residences. </w:t>
      </w:r>
      <w:r>
        <w:rPr>
          <w:rFonts w:ascii="Arial" w:cs="Arial" w:eastAsia="Arial" w:hAnsi="Arial"/>
          <w:sz w:val="17"/>
          <w:szCs w:val="17"/>
          <w:color w:val="auto"/>
        </w:rPr>
        <w:t>Many people are turning to off-grid housing and, as individuals and governments become more conscious of their carbon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(“SEIA”),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Addressable Adjacent Markets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87" w:lineRule="exact"/>
        <w:rPr>
          <w:sz w:val="20"/>
          <w:szCs w:val="20"/>
          <w:color w:val="auto"/>
        </w:rPr>
      </w:pPr>
    </w:p>
    <w:p>
      <w:pPr>
        <w:jc w:val="both"/>
        <w:ind w:left="66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Industrial / Material Handlings / Work Truck. </w:t>
      </w:r>
      <w:r>
        <w:rPr>
          <w:rFonts w:ascii="Arial" w:cs="Arial" w:eastAsia="Arial" w:hAnsi="Arial"/>
          <w:sz w:val="18"/>
          <w:szCs w:val="18"/>
          <w:color w:val="auto"/>
        </w:rPr>
        <w:t>The industrial vehicle market includes work trucks, material handling and warehousing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9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Specialty Vehicles. </w:t>
      </w:r>
      <w:r>
        <w:rPr>
          <w:rFonts w:ascii="Arial" w:cs="Arial" w:eastAsia="Arial" w:hAnsi="Arial"/>
          <w:sz w:val="17"/>
          <w:szCs w:val="17"/>
          <w:color w:val="auto"/>
        </w:rPr>
        <w:t>According to Mordor Intelligence, as of 2019, approximately 40% of the specialty vehicle market in the United States consists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ind w:left="328" w:hanging="328"/>
        <w:spacing w:after="0" w:line="254"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Emergency and Standby Power. </w:t>
      </w:r>
      <w:r>
        <w:rPr>
          <w:rFonts w:ascii="Arial" w:cs="Arial" w:eastAsia="Arial" w:hAnsi="Arial"/>
          <w:sz w:val="18"/>
          <w:szCs w:val="18"/>
          <w:color w:val="auto"/>
        </w:rPr>
        <w:t>Demand for reliable emergency and standby power sources is expected to continue to drive demand for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91" w:lineRule="exact"/>
        <w:rPr>
          <w:rFonts w:ascii="Arial" w:cs="Arial" w:eastAsia="Arial" w:hAnsi="Arial"/>
          <w:sz w:val="18"/>
          <w:szCs w:val="18"/>
          <w:color w:val="auto"/>
        </w:rPr>
      </w:pPr>
    </w:p>
    <w:p>
      <w:pPr>
        <w:jc w:val="both"/>
        <w:ind w:left="328" w:hanging="328"/>
        <w:spacing w:after="0" w:line="291" w:lineRule="auto"/>
        <w:tabs>
          <w:tab w:leader="none" w:pos="328"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Telecom. </w:t>
      </w:r>
      <w:r>
        <w:rPr>
          <w:rFonts w:ascii="Arial" w:cs="Arial" w:eastAsia="Arial" w:hAnsi="Arial"/>
          <w:sz w:val="16"/>
          <w:szCs w:val="16"/>
          <w:color w:val="auto"/>
        </w:rPr>
        <w:t>Demand for mobile data continues to increase and network providers are investing heavily in 5G networks, particularly in unserved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66" w:lineRule="exact"/>
        <w:rPr>
          <w:rFonts w:ascii="Arial" w:cs="Arial" w:eastAsia="Arial" w:hAnsi="Arial"/>
          <w:sz w:val="16"/>
          <w:szCs w:val="16"/>
          <w:color w:val="auto"/>
        </w:rPr>
      </w:pPr>
    </w:p>
    <w:p>
      <w:pPr>
        <w:jc w:val="both"/>
        <w:ind w:left="328" w:hanging="328"/>
        <w:spacing w:after="0" w:line="254"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Rail. </w:t>
      </w:r>
      <w:r>
        <w:rPr>
          <w:rFonts w:ascii="Arial" w:cs="Arial" w:eastAsia="Arial" w:hAnsi="Arial"/>
          <w:sz w:val="18"/>
          <w:szCs w:val="18"/>
          <w:color w:val="auto"/>
        </w:rPr>
        <w:t>Rail transportation is a large potential market, with an estimated U.S. market size of $110.1 billion in 2023, according to IBISWorld. Many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91"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Centers. </w:t>
      </w:r>
      <w:r>
        <w:rPr>
          <w:rFonts w:ascii="Arial" w:cs="Arial" w:eastAsia="Arial" w:hAnsi="Arial"/>
          <w:sz w:val="17"/>
          <w:szCs w:val="17"/>
          <w:color w:val="auto"/>
        </w:rPr>
        <w:t>Data centers have seen strong growth in recent years, with over 2,700 data centers in the United States as of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60" w:name="page61"/>
    <w:bookmarkEnd w:id="60"/>
    <w:p>
      <w:pPr>
        <w:jc w:val="both"/>
        <w:ind w:left="660" w:hanging="328"/>
        <w:spacing w:after="0" w:line="27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On-grid Storage. </w:t>
      </w:r>
      <w:r>
        <w:rPr>
          <w:rFonts w:ascii="Arial" w:cs="Arial" w:eastAsia="Arial" w:hAnsi="Arial"/>
          <w:sz w:val="17"/>
          <w:szCs w:val="17"/>
          <w:color w:val="auto"/>
        </w:rPr>
        <w:t>On-grid energy storage is used on a large-scale platform within an electrical power grid in conjunction with variable renewable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450 MWh in 2020.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70" w:lineRule="exact"/>
        <w:rPr>
          <w:sz w:val="20"/>
          <w:szCs w:val="20"/>
          <w:color w:val="auto"/>
        </w:rPr>
      </w:pPr>
    </w:p>
    <w:p>
      <w:pPr>
        <w:jc w:val="both"/>
        <w:ind w:left="660" w:hanging="328"/>
        <w:spacing w:after="0" w:line="25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Premier Lithium-Ion Battery Technology. </w:t>
      </w:r>
      <w:r>
        <w:rPr>
          <w:rFonts w:ascii="Arial" w:cs="Arial" w:eastAsia="Arial" w:hAnsi="Arial"/>
          <w:sz w:val="18"/>
          <w:szCs w:val="18"/>
          <w:color w:val="auto"/>
        </w:rPr>
        <w:t>Each of our innovative batteries features custom designed components to enhance 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9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Growing Patent Portfolio. </w:t>
      </w:r>
      <w:r>
        <w:rPr>
          <w:rFonts w:ascii="Arial" w:cs="Arial" w:eastAsia="Arial" w:hAnsi="Arial"/>
          <w:sz w:val="18"/>
          <w:szCs w:val="18"/>
          <w:color w:val="auto"/>
        </w:rPr>
        <w:t>We have developed and filed patent applications on commercially relevant aspects of our business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compositions systems and production processes. To date, we have owned 26 issued patents, with an additional 22 patent applications pending, in the United States, China, Europe, Australia, Canada and other regions.</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Go-To-Market Strategy. </w:t>
      </w:r>
      <w:r>
        <w:rPr>
          <w:rFonts w:ascii="Arial" w:cs="Arial" w:eastAsia="Arial" w:hAnsi="Arial"/>
          <w:sz w:val="17"/>
          <w:szCs w:val="17"/>
          <w:color w:val="auto"/>
        </w:rPr>
        <w:t>We have successfully established a direct-to-consumer platform and have developed strong working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76"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Customer Base with Brand Recognition. </w:t>
      </w:r>
      <w:r>
        <w:rPr>
          <w:rFonts w:ascii="Arial" w:cs="Arial" w:eastAsia="Arial" w:hAnsi="Arial"/>
          <w:sz w:val="16"/>
          <w:szCs w:val="16"/>
          <w:color w:val="auto"/>
        </w:rPr>
        <w:t>We have a growing customer base of more than 15,000 customers featuring OEMs,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Quality Manufacturing Process. </w:t>
      </w:r>
      <w:r>
        <w:rPr>
          <w:rFonts w:ascii="Arial" w:cs="Arial" w:eastAsia="Arial" w:hAnsi="Arial"/>
          <w:sz w:val="18"/>
          <w:szCs w:val="18"/>
          <w:color w:val="auto"/>
        </w:rPr>
        <w:t>Unlike competitors that outsource their manufacturing processes, our batteries are designed, assembled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tested in the United States, ensuring that our manufacturing process is thoroughly tested and our batteries are of the highest quality as a result of governmental regulations for performance and safety.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ind w:left="660" w:hanging="328"/>
        <w:spacing w:after="0" w:line="293"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Drop-in Replacement. </w:t>
      </w:r>
      <w:r>
        <w:rPr>
          <w:rFonts w:ascii="Arial" w:cs="Arial" w:eastAsia="Arial" w:hAnsi="Arial"/>
          <w:sz w:val="16"/>
          <w:szCs w:val="16"/>
          <w:color w:val="auto"/>
        </w:rPr>
        <w:t>Our battery modules are largely designed to be “drop-in replacements” for traditional lead-acid batteries, which means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intend to leverage our competitive strengths, technology leadership and market share position to pursue our growth strategy through the following:</w:t>
      </w:r>
    </w:p>
    <w:p>
      <w:pPr>
        <w:spacing w:after="0" w:line="170" w:lineRule="exact"/>
        <w:rPr>
          <w:sz w:val="20"/>
          <w:szCs w:val="20"/>
          <w:color w:val="auto"/>
        </w:rPr>
      </w:pPr>
    </w:p>
    <w:p>
      <w:pPr>
        <w:jc w:val="both"/>
        <w:ind w:left="66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Product Offerings. </w:t>
      </w:r>
      <w:r>
        <w:rPr>
          <w:rFonts w:ascii="Arial" w:cs="Arial" w:eastAsia="Arial" w:hAnsi="Arial"/>
          <w:sz w:val="18"/>
          <w:szCs w:val="18"/>
          <w:color w:val="auto"/>
        </w:rPr>
        <w:t>In the short-term, our aim is to further diversify our product offerings to give consumers, as well as OEMs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9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End Markets. </w:t>
      </w:r>
      <w:r>
        <w:rPr>
          <w:rFonts w:ascii="Arial" w:cs="Arial" w:eastAsia="Arial" w:hAnsi="Arial"/>
          <w:sz w:val="18"/>
          <w:szCs w:val="18"/>
          <w:color w:val="auto"/>
        </w:rPr>
        <w:t>We have identified additional end markets that we believe in the medium- to longer-term will increasingly look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86"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Commercialize Solid-State Technology. </w:t>
      </w:r>
      <w:r>
        <w:rPr>
          <w:rFonts w:ascii="Arial" w:cs="Arial" w:eastAsia="Arial" w:hAnsi="Arial"/>
          <w:sz w:val="16"/>
          <w:szCs w:val="16"/>
          <w:color w:val="auto"/>
        </w:rPr>
        <w:t>We believe solid-state technology presents a significant advantage to all products currently on the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Chemistry Comparison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are several dominant battery chemistries in the lithium-ion market that can be used for different purposes. Two widely adopted chemistries found in the market today are nickel manganese cobalt (“NMC”), and nickel cobalt aluminum (“NCA”). The higher energy density and shorter cycle life found in NMC and NCA batteries are suitable for markets where fast charging and high energy density are required, such as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448945</wp:posOffset>
            </wp:positionV>
            <wp:extent cx="4937760" cy="129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9377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Arial" w:cs="Arial" w:eastAsia="Arial" w:hAnsi="Arial"/>
          <w:sz w:val="17"/>
          <w:szCs w:val="17"/>
          <w:i w:val="1"/>
          <w:iCs w:val="1"/>
          <w:color w:val="auto"/>
        </w:rPr>
        <w:t>Lithium and Cobalt: A</w:t>
      </w:r>
      <w:r>
        <w:rPr>
          <w:rFonts w:ascii="Arial" w:cs="Arial" w:eastAsia="Arial" w:hAnsi="Arial"/>
          <w:sz w:val="17"/>
          <w:szCs w:val="17"/>
          <w:color w:val="auto"/>
        </w:rPr>
        <w:t xml:space="preserve"> </w:t>
      </w:r>
      <w:r>
        <w:rPr>
          <w:rFonts w:ascii="Arial" w:cs="Arial" w:eastAsia="Arial" w:hAnsi="Arial"/>
          <w:sz w:val="17"/>
          <w:szCs w:val="17"/>
          <w:i w:val="1"/>
          <w:iCs w:val="1"/>
          <w:color w:val="auto"/>
        </w:rPr>
        <w:t>tale of two commodities</w:t>
      </w:r>
      <w:r>
        <w:rPr>
          <w:rFonts w:ascii="Arial" w:cs="Arial" w:eastAsia="Arial" w:hAnsi="Arial"/>
          <w:sz w:val="17"/>
          <w:szCs w:val="17"/>
          <w:color w:val="auto"/>
        </w:rPr>
        <w:t>”, global forecasts for cobalt show supply shortages arising as early as 2022, slowing down NMC battery growth. Both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compared to NMC and NCA batteries, making LFP batteries less flammable and safer.</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Solid-State Cells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Arial" w:cs="Arial" w:eastAsia="Arial" w:hAnsi="Arial"/>
          <w:sz w:val="16"/>
          <w:szCs w:val="16"/>
          <w:i w:val="1"/>
          <w:iCs w:val="1"/>
          <w:color w:val="auto"/>
        </w:rPr>
        <w:t>Research and Development</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5349240" cy="24771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color w:val="auto"/>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117475</wp:posOffset>
            </wp:positionV>
            <wp:extent cx="4937760" cy="2108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3776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117475</wp:posOffset>
            </wp:positionV>
            <wp:extent cx="4937760" cy="1911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3776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Battery Management System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8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it enables batteries to draw power under 135 degrees Fahrenheit, and is designed to cut off charging at 24 degrees Fahrenheit to protect cells;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actively monitors the rate of change of currents to detect and prevent short circuiting, and also protects against potential ground faults;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it allows for up to an average of 300 amps continuously, 500 amp surges for 30 seconds, and momentary, half second maximum capacity surges;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enables batteries to recharge even if completely drained;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utilizes larger resistors to ensure balanced loads to improve performance and extend useful life;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facilitates scalability by enabling batteries to be combined in parallel and in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Communication System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second half of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Alternator Regulation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Beyond our current battery modules, we have several LFP products in development that will enable us to access additional end markets.</w:t>
      </w:r>
    </w:p>
    <w:p>
      <w:pPr>
        <w:spacing w:after="0" w:line="237" w:lineRule="exact"/>
        <w:rPr>
          <w:sz w:val="20"/>
          <w:szCs w:val="20"/>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Products. </w:t>
      </w:r>
      <w:r>
        <w:rPr>
          <w:rFonts w:ascii="Arial" w:cs="Arial" w:eastAsia="Arial" w:hAnsi="Arial"/>
          <w:sz w:val="18"/>
          <w:szCs w:val="18"/>
          <w:color w:val="auto"/>
        </w:rPr>
        <w:t>Our current offerings feature battery products that serve the RV, marine vessel and off-grid markets. Although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were previously capacity constrained the expansion into our manufacturing facility will allow us to add production capacity and increase product offerings and scale based on demand.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both"/>
        <w:ind w:left="660" w:hanging="328"/>
        <w:spacing w:after="0" w:line="27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71"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76"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57"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System Integrator. </w:t>
      </w:r>
      <w:r>
        <w:rPr>
          <w:rFonts w:ascii="Arial" w:cs="Arial" w:eastAsia="Arial" w:hAnsi="Arial"/>
          <w:sz w:val="17"/>
          <w:szCs w:val="17"/>
          <w:color w:val="auto"/>
        </w:rPr>
        <w:t>A natural evolution of our business is to offer customers a system integration solution providing more efficient power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2317115</wp:posOffset>
            </wp:positionH>
            <wp:positionV relativeFrom="page">
              <wp:posOffset>448945</wp:posOffset>
            </wp:positionV>
            <wp:extent cx="2914650" cy="19716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91465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114935</wp:posOffset>
            </wp:positionV>
            <wp:extent cx="3171825" cy="2280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71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jc w:val="both"/>
        <w:ind w:firstLine="648"/>
        <w:spacing w:after="0" w:line="286" w:lineRule="auto"/>
        <w:rPr>
          <w:sz w:val="20"/>
          <w:szCs w:val="20"/>
          <w:color w:val="auto"/>
        </w:rPr>
      </w:pPr>
      <w:r>
        <w:rPr>
          <w:rFonts w:ascii="Arial" w:cs="Arial" w:eastAsia="Arial" w:hAnsi="Arial"/>
          <w:sz w:val="17"/>
          <w:szCs w:val="17"/>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Manufacturing and Production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151765</wp:posOffset>
            </wp:positionV>
            <wp:extent cx="4937760" cy="934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3776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8, 2022, we entered into a 124-month lease for an additional 390,240 square foot warehouse, which, once built, we intend to utilize for the manufacture of our solid-state batteries.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Relationships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jc w:val="both"/>
        <w:ind w:firstLine="648"/>
        <w:spacing w:after="0" w:line="277" w:lineRule="auto"/>
        <w:rPr>
          <w:sz w:val="20"/>
          <w:szCs w:val="20"/>
          <w:color w:val="auto"/>
        </w:rPr>
      </w:pPr>
      <w:r>
        <w:rPr>
          <w:rFonts w:ascii="Arial" w:cs="Arial" w:eastAsia="Arial" w:hAnsi="Arial"/>
          <w:sz w:val="18"/>
          <w:szCs w:val="18"/>
          <w:color w:val="auto"/>
        </w:rPr>
        <w:t>As we look toward the production of our solid-state cells, we have signed a non-binding Memorandum of Understanding with a lithium mining company and a lithium recycling company, both located in Nevada for the supply of lithium.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RV OEM Strategic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“Supply Agreement”). Under the Supply Agreement, we will be the exclusive supplier to Keystone for certain of its future LFP battery requirements, solidifying our long-standing relationship with Keystone.</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Compliance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2023, we have 173 employees; 171 full-time, 1 part-time and 1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65" w:lineRule="exact"/>
        <w:rPr>
          <w:sz w:val="20"/>
          <w:szCs w:val="20"/>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 Employees are regularly educated in safety around their workspaces, and employees participate in volunteer roles on a safety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in emergency readiness roles. We have a dedicated safety coordinator who tracks and measures our performance, and helps us benchmark our safety programs against our peers.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Diversity, Equity &amp; Inclusion</w:t>
      </w:r>
      <w:r>
        <w:rPr>
          <w:rFonts w:ascii="Arial" w:cs="Arial" w:eastAsia="Arial" w:hAnsi="Arial"/>
          <w:sz w:val="16"/>
          <w:szCs w:val="16"/>
          <w:color w:val="auto"/>
        </w:rPr>
        <w:t> — Our culture has benefitted from the diversity of our workforce from the very beginning. Inclusion and equity are</w:t>
      </w:r>
      <w:r>
        <w:rPr>
          <w:rFonts w:ascii="Arial" w:cs="Arial" w:eastAsia="Arial" w:hAnsi="Arial"/>
          <w:sz w:val="16"/>
          <w:szCs w:val="16"/>
          <w:i w:val="1"/>
          <w:iCs w:val="1"/>
          <w:color w:val="auto"/>
        </w:rPr>
        <w:t xml:space="preserve"> </w:t>
      </w:r>
      <w:r>
        <w:rPr>
          <w:rFonts w:ascii="Arial" w:cs="Arial" w:eastAsia="Arial" w:hAnsi="Arial"/>
          <w:sz w:val="16"/>
          <w:szCs w:val="16"/>
          <w:color w:val="auto"/>
        </w:rPr>
        <w:t>“baked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48"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Collaboration</w:t>
      </w:r>
      <w:r>
        <w:rPr>
          <w:rFonts w:ascii="Arial" w:cs="Arial" w:eastAsia="Arial" w:hAnsi="Arial"/>
          <w:sz w:val="16"/>
          <w:szCs w:val="16"/>
          <w:color w:val="auto"/>
        </w:rPr>
        <w:t> — As we grow, opportunities for cross-functional collaboration are not as organic as they used to be. We have responded to that</w:t>
      </w:r>
      <w:r>
        <w:rPr>
          <w:rFonts w:ascii="Arial" w:cs="Arial" w:eastAsia="Arial" w:hAnsi="Arial"/>
          <w:sz w:val="16"/>
          <w:szCs w:val="16"/>
          <w:i w:val="1"/>
          <w:iCs w:val="1"/>
          <w:color w:val="auto"/>
        </w:rPr>
        <w:t xml:space="preserve"> </w:t>
      </w:r>
      <w:r>
        <w:rPr>
          <w:rFonts w:ascii="Arial" w:cs="Arial" w:eastAsia="Arial" w:hAnsi="Arial"/>
          <w:sz w:val="16"/>
          <w:szCs w:val="16"/>
          <w:color w:val="auto"/>
        </w:rPr>
        <w:t>change by staying mindful and acting intentionally to gather cross-functional input on new initiatives and continuous improvement efforts.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Continuous Improvement</w:t>
      </w:r>
      <w:r>
        <w:rPr>
          <w:rFonts w:ascii="Arial" w:cs="Arial" w:eastAsia="Arial" w:hAnsi="Arial"/>
          <w:sz w:val="18"/>
          <w:szCs w:val="18"/>
          <w:color w:val="auto"/>
        </w:rPr>
        <w:t> — We apply continuous improvement measures to processes as well as people. We encourage professional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through ongoing learning, credentialing, and collaboration with their industry peers.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7, 2022 (the “Closing Date”), CNTQ and Legacy Dragonfly consummated the merger (the “Closing”) pursuant to the Agreement and Plan of Merger, dated as of May 15, 2022 (as amended, the “Business Combination Agreement”), by and among CNTQ, Bronco Merger Sub, Inc., a Delaware corporation and wholly-owned subsidiary of CNTQ (“Merger Sub”), and Legacy Dragonfly. Pursuant to the Business Combination Agreement, Merger Sub merged with and into Legacy Dragonfly (the “Merger” and, together with the other transactions contemplated by the Business Combination Agreement, the “Business Combination”), with Legacy Dragonfly continuing as the surviving corporation in the Merger and as our wholly owned subsidiary. In connection with the Business Combination, CNTQ changed its name to Dragonfly Energy Holdings Corp.</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the completion of the Business Combination, CNTQ was a shell company. CNTQ was incorporated in the state of Delaware on June 23, 2020. CNTQ consummated its initial public offering at a price of $10 per unit on August 13, 2021 (the “CNTQ IPO”).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Closing, by virtue of the Merger and without any action on the part of CNTQ, Merger Sub, Legacy Dragonfly or the holders of any of the following securities:</w:t>
      </w:r>
    </w:p>
    <w:p>
      <w:pPr>
        <w:spacing w:after="0" w:line="170" w:lineRule="exact"/>
        <w:rPr>
          <w:sz w:val="20"/>
          <w:szCs w:val="20"/>
          <w:color w:val="auto"/>
        </w:rPr>
      </w:pPr>
    </w:p>
    <w:p>
      <w:pPr>
        <w:jc w:val="both"/>
        <w:ind w:firstLine="8"/>
        <w:spacing w:after="0" w:line="279" w:lineRule="auto"/>
        <w:tabs>
          <w:tab w:leader="none" w:pos="258"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outstanding share of Legacy Dragonfly’s common stock, par value $0.001 per share (“Legacy Dragonfly Common Stock”), converted into (i) a certain number of shares of our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spacing w:after="0" w:line="171" w:lineRule="exact"/>
        <w:rPr>
          <w:rFonts w:ascii="Arial" w:cs="Arial" w:eastAsia="Arial" w:hAnsi="Arial"/>
          <w:sz w:val="17"/>
          <w:szCs w:val="17"/>
          <w:color w:val="auto"/>
        </w:rPr>
      </w:pPr>
    </w:p>
    <w:p>
      <w:pPr>
        <w:jc w:val="both"/>
        <w:ind w:firstLine="8"/>
        <w:spacing w:after="0" w:line="273" w:lineRule="auto"/>
        <w:tabs>
          <w:tab w:leader="none" w:pos="261"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Earnout Merger Consideration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our common stock in three tranches.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Investment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subscription agreement, dated as of May 15, 2022 (the “Subscription Agreement”), by and between CNTQ and the Sponsor, the Sponsor agreed to purchase, and CNTQ agreed to sell to the Sponsor, an aggregate of 500,000 shares of CNTQ Common Stock for gross proceeds to CNTQ of $5 million in a private placement (the “PIPE Investment”). On September 28, 2022, the Sponsor and CCM, entered into an assignment, assumption and joinder agreement, pursuant to which the Sponsor assigned all of the Sponsor’s rights, benefits and obligations under the Subscription Agreement to CCM.</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“Offset”). During the week of September 26, 2022 CCM acquired in the open market in total 485,000 shares of our common stock at purchase prices per share ranging from $10.33 to $10.38 (such shares, the “Purchased Shares”).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Consistent with the commitment letter (the “Debt Commitment Letter”) dated May 15, 2022 by and between CNTQ and Legacy Dragonfly, CCM Investments 5 LLC, an affiliate of CCM (“CCM 5”, and in connection with the Term Loan, the “CNTQ Lender”), and EICF Agent LLC (“EIP” and, collectively with the CNTQ Lender, the “Initial Term Loan Lenders”), in connection with the Closing, CNTQ, Legacy Dragonfly and the Initial Term Loan Lenders entered into the Term Loan, Guarantee and Security Agreement (the “Term Loan Agreement”) setting forth the terms of a senior secured term loan facility in an aggregate principal amount of $75 million (the “Term Loan”). The CNTQ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CNTQ Lender the aggregate amount of the Term Loan held by the CNTQ Lender (the “Backstopped Loans”) immediately following the issuance of the Term Loan on the Closing Date. Pursuant to an assignment agreement, the Backstopped Loans were assigned by CCM 5 to the Backstop Lender on the Closing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jc w:val="both"/>
        <w:ind w:firstLine="648"/>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elect to prepay all or any portion of the amounts owed prior to the Maturity Date; provided that we provide notice to Alter Domus (US) LLC, as administrative agent for the lenders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“Pledge Agreement”) pursuant to which we pledged to the Administrative Agent our equity interests in Legacy Dragonfly as further collateral security for the obligations under the Term Loan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95" w:lineRule="auto"/>
        <w:tabs>
          <w:tab w:leader="none" w:pos="25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Warrant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“Penny Warrants”), and (ii) warrants to the Term Loan Lenders under the Term Loan exercisable to purchase 1,600,000 shares of our common stock at an exercise price of $10.00 per share (the “$10 Warrants” and, together with the Penny Warrants, the “Warrants”).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Penny Warrants have an exercise period of 10 years from the date of issuance. As of May 24, 2023, 1,750,000 shares of common stock have been issued upon the exercise of Penny Warrants.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Purchase Agreement and a Registration Rights Agreement (the “ChEF RRA”) with CCM in connection with the Closing. Pursuant to and on the terms of the Purchase Agreement, we have the right to sell and direct CCM to purchase an amount of shares of our common stock, over the term of the ChEF Equity Facility. In addition, we appointed LifeSci Capital, LLC as a “qualified independent underwriter” with respect to the transactions contemplated by the Purchase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Purchase Agreement, CCM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May 24, 2023, 98,500 shares have been issued pursuant to the Purchase Agreement with CCM for aggregate net proceeds to us of $670,593.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jc w:val="both"/>
        <w:ind w:firstLine="648"/>
        <w:spacing w:after="0" w:line="263" w:lineRule="auto"/>
        <w:rPr>
          <w:sz w:val="20"/>
          <w:szCs w:val="20"/>
          <w:color w:val="auto"/>
        </w:rPr>
      </w:pPr>
      <w:r>
        <w:rPr>
          <w:rFonts w:ascii="Arial" w:cs="Arial" w:eastAsia="Arial" w:hAnsi="Arial"/>
          <w:sz w:val="18"/>
          <w:szCs w:val="18"/>
          <w:color w:val="auto"/>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CCM is an affiliate of the Sponsor. In light of the beneficial ownership limitation set forth above, the Sponsor has agreed that the private placement warrants held by Chardan NexTech 2 Warrant Holdings, also an affiliate of the Sponsor, may not be exercised to the extent an affiliate of the Sponsor (including CCM) is deemed to beneficially own, or it would cause such affiliate to be deemed to beneficially own, more than 7.5% of our common stock.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pursuant to the ChEF RRA, we have agreed to provide CCM with certain registration rights with respect to the shares of common stock issued subject to the Purchase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Concurrently with the execution of the Business Combination Agreement, CNTQ, Legacy Dragonfly and the Sponsor entered into a sponsor support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Directors and Officers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Closing Date, in connection with the consummation of the Business Combination Agreement, we entered into the Amended and Restated Registration Rights Agreement (the “Insider Registration Rights Agreement”) with the Sponsor, CNTQ’s officers, directors, initial stockholders, CCM and Warrant Holdings, an affiliate of the Sponsor (collectively, the “Insiders”) and certain Legacy Dragonfly stockholders for the registration of certain securities held by the Insiders.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 2022, we entered into an asset purchase agreement (the “Bourns APA”) with Bourns Productions, Inc., a Nevada corporation (“Bourns Production”), pursuant to which we acquired machinery, equipment and a lease for a podcast studio from Bourns Production as set forth in the Bourns APA for a purchase price of approximately $197,000, which was the approximated fair market value. Tyler Bourns, who has served as our Chief Marketing Officer since November 2022, is the owner and president of Bourns Productions.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jc w:val="both"/>
        <w:ind w:firstLine="648"/>
        <w:spacing w:after="0" w:line="259" w:lineRule="auto"/>
        <w:rPr>
          <w:sz w:val="20"/>
          <w:szCs w:val="20"/>
          <w:color w:val="auto"/>
        </w:rPr>
      </w:pPr>
      <w:r>
        <w:rPr>
          <w:rFonts w:ascii="Arial" w:cs="Arial" w:eastAsia="Arial" w:hAnsi="Arial"/>
          <w:sz w:val="18"/>
          <w:szCs w:val="18"/>
          <w:color w:val="auto"/>
        </w:rPr>
        <w:t>On April 4, 2022, we entered into an asset purchase agreement (the “TJC APA”) with Thomason Jones Company, LLC, a Washington limited liability company (“TJC”), pursuant to which we acquired intellectual property rights and inventory for a purchase price of approximately $444,000 which was the approximated fair market value. William Thomason and Richard Jones, our engineer and sales representatives, each of whom were hired in connection with the entry into the TJC APA, are the managing members of TJC.</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4, 2022, we announced that Sean Nichols, our former Chief Operating Officer, would be leaving the Company to pursue other interests. His last day of employment was November 7, 2022 (the “Separation Date”). On October 25, 2022, we entered into a separation and release agreement with Mr. Nichols that became effective and fully irrevocable on November 2, 2022, which was subsequently amended on November 14, 2022 (as amended, the “Separation Agreement”).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24, 2023, we entered into the First Amended and Restated Employment Agreement (the “Restated Agreement”) with John Marchetti, our Chief Financial Officer. The Restated Agreement amended and restated the employment agreement, dated October 11, 2022, by and between us and Mr. Marchetti (the “Original Agreement”). The Restated Agreement provides that Mr. Marchetti will receive a minimum annual bonus of $175,000 for the fiscal year ending December 31, 2023. All other terms of the Restated Agreement remain the same as the Original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5, 2023, we issued an unsecured convertible promissory note (the “Note”) in the principal amount of $1.0 million (the “Principal Amount”) to Brian Nelson, one of our directors, in a private placement in exchange for cash in an equal amount. The Note became due and payable in full on April 1, 2023. We were also obligated to pay $100,000 (the “Loan Fee”) to Mr. Nelson on April 4, 2023. We paid the Principal Amount and the Loan Fee in full on April 1, 2023 and April 4, 2023,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31, 2023 (the “Effective Date”), we changed our state of incorporation from the State of Delaware to the State of Nevada (the “Reincorporation”) pursuant to a plan of conversion dated March 30, 2023 (the “Plan of Conversion”). The Reincorporation was accomplished by filing: (i) a certificate of conversion with the Secretary of State of the State of Delaware; (ii) articles of conversion with the Secretary of State of the State of Nevada; and (iii) articles of incorporation (the “Articles of Incorporation”) with the Secretary of State of the State of Nevada. In connection with the Reincorporation, our board of directors adopted new bylaws in the form attached to the Plan of Conversion (the “Bylaws”).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Reincorporation was previously submitted to a vote of, and approved by, the Company’s stockholders at a special meeting of stockholders held on February 28, 2023 (the “Special Meeting”).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26, 2023, Ms. Harvey’s employment with us ended and her employment agreement was deemed terminated as of that date by us without cause for purposes of determining severance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24, 2023, 98,500 shares have been issued under the ChEF Equity Facility for aggregate net proceeds to us of $670,593.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executive officers and directors as of the date of this prospectus.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Borders>
              <w:bottom w:val="single" w:sz="8" w:color="CCEEFF"/>
            </w:tcBorders>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Position(s) Held</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Founder, Chief Executive Officer and Chairman of the Board</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John Marchetti</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Tyler Bourns</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34</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Chief Marketing Officer</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Luisa Ingargiola</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Lead Independent Director</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Brian Nelson</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Perry Boyle</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Jonathan Bellows</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Rick Parod</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Karina Montilla Edmonds</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Dr. Denis Phares </w:t>
      </w:r>
      <w:r>
        <w:rPr>
          <w:rFonts w:ascii="Arial" w:cs="Arial" w:eastAsia="Arial" w:hAnsi="Arial"/>
          <w:sz w:val="16"/>
          <w:szCs w:val="16"/>
          <w:color w:val="auto"/>
        </w:rPr>
        <w:t>has served as our Chief Executive Officer and Chairman of our board of directors since October 2022.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John Marchetti </w:t>
      </w:r>
      <w:r>
        <w:rPr>
          <w:rFonts w:ascii="Arial" w:cs="Arial" w:eastAsia="Arial" w:hAnsi="Arial"/>
          <w:sz w:val="16"/>
          <w:szCs w:val="16"/>
          <w:color w:val="auto"/>
        </w:rPr>
        <w:t>has served as our Chief Financial Officer since October 2022. Mr. Marchetti has also served as the Chief Financial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Dragonfly since September 2021. Mr. Marchetti has over 20 years of experience in the technology and financial services industries. Previously, Mr. Marchetti served as a Managing Director and senior research analyst at Stifel Financial Corp. from April 2018 until September 2021, where he was focused on communications infrastructure and applied technology markets, including advanced battery technologies. From 2016 to May 2018, Mr. Marchetti served as Senior Vice President for Strategy and Business Development of Cloudbus, a technology research and development company, and, from 2012 to 2015, he served as Chief Strategy Officer and Executive Vice President at Fabrinet, a publicly-traded manufacturing services company.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Tyler Bourns </w:t>
      </w:r>
      <w:r>
        <w:rPr>
          <w:rFonts w:ascii="Arial" w:cs="Arial" w:eastAsia="Arial" w:hAnsi="Arial"/>
          <w:sz w:val="17"/>
          <w:szCs w:val="17"/>
          <w:color w:val="auto"/>
        </w:rPr>
        <w:t>has served as our Chief Marketing Officer since November 2022. Prior to the Business Combination, Mr. Bourns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Luisa Ingargiola </w:t>
      </w:r>
      <w:r>
        <w:rPr>
          <w:rFonts w:ascii="Arial" w:cs="Arial" w:eastAsia="Arial" w:hAnsi="Arial"/>
          <w:sz w:val="17"/>
          <w:szCs w:val="17"/>
          <w:color w:val="auto"/>
        </w:rPr>
        <w:t>has served as a member of our board since October 2022. Prior to the Business Combination, Ms. Ingargiola served on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Brian Nelson </w:t>
      </w:r>
      <w:r>
        <w:rPr>
          <w:rFonts w:ascii="Arial" w:cs="Arial" w:eastAsia="Arial" w:hAnsi="Arial"/>
          <w:sz w:val="16"/>
          <w:szCs w:val="16"/>
          <w:color w:val="auto"/>
        </w:rPr>
        <w:t>has served as a member of our board since October 2022. Prior to the Business Combination, Mr. Nelson served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has served as a member of our board since October 2022. Prior to the Business Combination, he served on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Jonathan Bellows </w:t>
      </w:r>
      <w:r>
        <w:rPr>
          <w:rFonts w:ascii="Arial" w:cs="Arial" w:eastAsia="Arial" w:hAnsi="Arial"/>
          <w:sz w:val="17"/>
          <w:szCs w:val="17"/>
          <w:color w:val="auto"/>
        </w:rPr>
        <w:t>has served as a member of our board since October 2022. Mr. Bellows currently serves as President of KORE Power,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Rick Parod </w:t>
      </w:r>
      <w:r>
        <w:rPr>
          <w:rFonts w:ascii="Arial" w:cs="Arial" w:eastAsia="Arial" w:hAnsi="Arial"/>
          <w:sz w:val="17"/>
          <w:szCs w:val="17"/>
          <w:color w:val="auto"/>
        </w:rPr>
        <w:t>has served as a member of our board since October 2022. Mr. Parod currently serves as the CEO of AdeptAg, a company that serves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Karina Montilla Edmonds, Ph.D</w:t>
      </w:r>
      <w:r>
        <w:rPr>
          <w:rFonts w:ascii="Arial" w:cs="Arial" w:eastAsia="Arial" w:hAnsi="Arial"/>
          <w:sz w:val="17"/>
          <w:szCs w:val="17"/>
          <w:color w:val="auto"/>
        </w:rPr>
        <w:t>. has served as a member of our board since October 2022. Dr. Edmonds currently serves as the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and affairs are managed by or under the direction of our board. Our Articles of Incorporation provide for a staggered, or classified, board of directors consisting of three classes of directors, each serving a staggered three-year term and with one class being elected at each year’s annual meeting of stockholders, as follows:</w:t>
      </w:r>
    </w:p>
    <w:p>
      <w:pPr>
        <w:spacing w:after="0" w:line="18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 A, which consists of Rick Parod and Karina Edmonds, whose terms will expire at the 2023 annual meeting of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Class B, which consists of Brian Nelson and Jonathan Bellows, whose terms will expire at the 2024 annual meeting of stockholders;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Class C, which consists of Denis Phares, Luisa Ingargiola and Perry Boyle, whose terms will expire at the 2025 annual meeting of stockholders.</w:t>
      </w:r>
    </w:p>
    <w:p>
      <w:pPr>
        <w:spacing w:after="0" w:line="2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each annual meeting of stockholders,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our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our control or management. Our directors may be removed for cause by the affirmative vote of the holders of at least two-thirds of our voting securities.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Dr. Denis Phares serves as the Chairman of our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our independent Lead Director.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has determined that Rick Parod, Perry Boyle, Jonathan Bellows, Karina Montilla Edmonds, Brian Nelson and Luisa Ingargiola qualify as independent directors, as defined under the rules of the Nasdaq, and our board consists of a majority of “independent directors,” as defined under the rules of the SEC and the Nasdaq relating to director independence requirements. In addition, we are subject to the rules of the SEC and the Nasdaq relating to the membership, qualifications, and operations of the audit committee, as discussed below. Luisa Ingargiola is our lead independent director under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Oversight/Risk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also monitors compliance with legal and regulatory requirements. Our compensation committee also assess and monitors whether our compensation plans, policies and programs comply with applicable legal and regulatory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has three standing committees — an audit committee, a compensation committee, and a nominating and corporate governance committee. Copies of the charters for each committee are available on our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consists of Luisa Ingargiola, Rick Parod and Perry Boyle. Our board has determined that each of the members of the audit committee satisfy the independence requirements of Nasdaq and Rule 10A-3 under the Exchange Act and are able to read and understand fundamental financial statements in accordance with Nasdaq’s audit committee requirements. In arriving at this determination, our board examined each audit committee member’s scope of experience and the nature of their prior and/or current employment.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Luisa Ingargiola serves as the chair of the audit committee. Our board has determined that Luisa Ingargiola qualifies as an audit committee financial expert within the meaning of SEC regulations and meets the financial sophistication requirements of the Nasdaq rules. In making this determination, our board considered Luisa Ingargiola’s formal education and previous experience in financial roles. Both our independent registered public accounting firm and management periodically meet privately with our audit committee.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composition and function of the audit committee complies with all applicable requirements of the Sarbanes-Oxley Act and all applicable SEC rules and regulations.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compensation committee consists of Luisa Ingargiola, Brian Nelson and Rick Parod. Brian Nelson serves as the chair of the compensation committee. Our board determined that each of the members of the compensation committee are a non-employee director, as defined in Rule 16b-3 promulgated under the Exchange Act and satisfies the independence requirements of Nasdaq.</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composition and function of our compensation committee complies with all applicable requirements of the Sarbanes-Oxley Act and all applicable SEC and the Nasdaq rules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nominating and corporate governance committee consists of Brian Nelson, Jonathan Bellows and Karina Edmonds. Karina Edmonds serves as the chair of the nominating and corporate governance committee. Our board determined that each of the members of the nominating and corporate governance committee satisfies the independence requirements of Nasdaq.</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composition and function of the nominating and corporate governance committee comply with all applicable requirements of the Sarbanes-Oxley Act and all applicable SEC and Nasdaq’s rules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board adopted a code of conduct (“Code of Conduct”) and a code of ethics (“Code of Ethics”) that applies to all of our directors, officers and employees. The full text of the Code of Conduct and Code of Ethics is posted on the investor relations page on our website at </w:t>
      </w:r>
      <w:r>
        <w:rPr>
          <w:rFonts w:ascii="Arial" w:cs="Arial" w:eastAsia="Arial" w:hAnsi="Arial"/>
          <w:sz w:val="18"/>
          <w:szCs w:val="18"/>
          <w:i w:val="1"/>
          <w:iCs w:val="1"/>
          <w:color w:val="auto"/>
        </w:rPr>
        <w:t>https://dragonflyenergy.com/investors/</w:t>
      </w:r>
      <w:r>
        <w:rPr>
          <w:rFonts w:ascii="Arial" w:cs="Arial" w:eastAsia="Arial" w:hAnsi="Arial"/>
          <w:sz w:val="18"/>
          <w:szCs w:val="18"/>
          <w:color w:val="auto"/>
        </w:rPr>
        <w:t>. We will disclose any amendments to our Code of Conduct and Code of Ethics, or waivers of its requirements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identified above, or in filings under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3" w:name="page84"/>
    <w:bookmarkEnd w:id="83"/>
    <w:p>
      <w:pPr>
        <w:jc w:val="both"/>
        <w:ind w:firstLine="648"/>
        <w:spacing w:after="0" w:line="269" w:lineRule="auto"/>
        <w:rPr>
          <w:sz w:val="20"/>
          <w:szCs w:val="20"/>
          <w:color w:val="auto"/>
        </w:rPr>
      </w:pPr>
      <w:r>
        <w:rPr>
          <w:rFonts w:ascii="Arial" w:cs="Arial" w:eastAsia="Arial" w:hAnsi="Arial"/>
          <w:sz w:val="17"/>
          <w:szCs w:val="17"/>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Articles of Incorporation provide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Articles of Incorporation and the Bylaws and these indemnification agreements are necessary to attract and retain qualified persons as directors and officers.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compensation earned by, or awarded to, our NEOs for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Fiscal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Non-Qualified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and</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Incentive Plan</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Salary</w:t>
            </w: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Bonus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2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Compensation</w:t>
            </w:r>
          </w:p>
        </w:tc>
        <w:tc>
          <w:tcPr>
            <w:tcW w:w="2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Earnings</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Compensation</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41"/>
        </w:trPr>
        <w:tc>
          <w:tcPr>
            <w:tcW w:w="200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8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5"/>
              </w:rPr>
              <w:t>($)(3)</w:t>
            </w:r>
          </w:p>
        </w:tc>
        <w:tc>
          <w:tcPr>
            <w:tcW w:w="120" w:type="dxa"/>
            <w:vAlign w:val="bottom"/>
          </w:tcPr>
          <w:p>
            <w:pPr>
              <w:spacing w:after="0"/>
              <w:rPr>
                <w:sz w:val="20"/>
                <w:szCs w:val="20"/>
                <w:color w:val="auto"/>
              </w:rPr>
            </w:pPr>
          </w:p>
        </w:tc>
        <w:tc>
          <w:tcPr>
            <w:tcW w:w="12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2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($)(4)</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16"/>
        </w:trPr>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682,000</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806,207</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1,531,545</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3,019,752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w w:val="97"/>
              </w:rPr>
              <w:t>Chief Executive Officer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579,593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362,137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963,964</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Sean Nichols(5)</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2022</w:t>
            </w:r>
          </w:p>
        </w:tc>
        <w:tc>
          <w:tcPr>
            <w:tcW w:w="106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598,462</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655,587</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157,693</w:t>
            </w:r>
          </w:p>
        </w:tc>
        <w:tc>
          <w:tcPr>
            <w:tcW w:w="10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1,411,742</w:t>
            </w: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i w:val="1"/>
                <w:iCs w:val="1"/>
                <w:color w:val="auto"/>
                <w:w w:val="94"/>
              </w:rPr>
              <w:t>Former Chief Operating</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00" w:type="dxa"/>
            <w:vAlign w:val="bottom"/>
          </w:tcPr>
          <w:p>
            <w:pPr>
              <w:ind w:left="200"/>
              <w:spacing w:after="0"/>
              <w:rPr>
                <w:sz w:val="20"/>
                <w:szCs w:val="20"/>
                <w:color w:val="auto"/>
              </w:rPr>
            </w:pPr>
            <w:r>
              <w:rPr>
                <w:rFonts w:ascii="Arial" w:cs="Arial" w:eastAsia="Arial" w:hAnsi="Arial"/>
                <w:sz w:val="18"/>
                <w:szCs w:val="18"/>
                <w:i w:val="1"/>
                <w:iCs w:val="1"/>
                <w:color w:val="auto"/>
              </w:rPr>
              <w:t>Officer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579,593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362,137</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20,244</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961,974</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John Marchetti(6)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316,153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769,366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645,998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1,742,574</w:t>
            </w: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91,154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399,999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283,249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856,402</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Nicole Harvey(7)</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2022</w:t>
            </w:r>
          </w:p>
        </w:tc>
        <w:tc>
          <w:tcPr>
            <w:tcW w:w="106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242,461</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80,000</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561,000</w:t>
            </w: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883,461</w:t>
            </w: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i w:val="1"/>
                <w:iCs w:val="1"/>
                <w:color w:val="auto"/>
              </w:rPr>
              <w:t>Former Chief Legal</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00" w:type="dxa"/>
            <w:vAlign w:val="bottom"/>
          </w:tcPr>
          <w:p>
            <w:pPr>
              <w:ind w:left="200"/>
              <w:spacing w:after="0"/>
              <w:rPr>
                <w:sz w:val="20"/>
                <w:szCs w:val="20"/>
                <w:color w:val="auto"/>
              </w:rPr>
            </w:pPr>
            <w:r>
              <w:rPr>
                <w:rFonts w:ascii="Arial" w:cs="Arial" w:eastAsia="Arial" w:hAnsi="Arial"/>
                <w:sz w:val="18"/>
                <w:szCs w:val="18"/>
                <w:i w:val="1"/>
                <w:iCs w:val="1"/>
                <w:color w:val="auto"/>
              </w:rPr>
              <w:t>Officer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66,346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341,621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432,967</w:t>
            </w:r>
          </w:p>
        </w:tc>
      </w:tr>
      <w:tr>
        <w:trPr>
          <w:trHeight w:val="439"/>
        </w:trPr>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5" w:name="page86"/>
    <w:bookmarkEnd w:id="85"/>
    <w:p>
      <w:pPr>
        <w:ind w:left="66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reported in this column represent discretionary bonuses awarded to each executive for performance during the fiscal years ended December 31, 2022 and December 31, 2021.</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amounts reported in this column reflect the grant date fair value of restricted stock awards granted to the NEOs for performance during the fiscal year ended December 31, 2022 under the 2022 Plan (as defined herein) and are accounted for in accordance with FASB ASC Topic 718. Please see the section titled “</w:t>
      </w:r>
      <w:r>
        <w:rPr>
          <w:rFonts w:ascii="Arial" w:cs="Arial" w:eastAsia="Arial" w:hAnsi="Arial"/>
          <w:sz w:val="17"/>
          <w:szCs w:val="17"/>
          <w:i w:val="1"/>
          <w:iCs w:val="1"/>
          <w:color w:val="auto"/>
        </w:rPr>
        <w:t>Stock-Based Compensation</w:t>
      </w:r>
      <w:r>
        <w:rPr>
          <w:rFonts w:ascii="Arial" w:cs="Arial" w:eastAsia="Arial" w:hAnsi="Arial"/>
          <w:sz w:val="17"/>
          <w:szCs w:val="17"/>
          <w:color w:val="auto"/>
        </w:rPr>
        <w:t>” beginning on page F-11 of our Notes to Consolidated Financial Statements included elsewhere in this prospectus for a discussion of the relevant assumptions used in calculating these amounts.</w:t>
      </w:r>
    </w:p>
    <w:p>
      <w:pPr>
        <w:jc w:val="both"/>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Arial" w:cs="Arial" w:eastAsia="Arial" w:hAnsi="Arial"/>
          <w:sz w:val="18"/>
          <w:szCs w:val="18"/>
          <w:i w:val="1"/>
          <w:iCs w:val="1"/>
          <w:color w:val="auto"/>
        </w:rPr>
        <w:t>Stock-Based Compensation</w:t>
      </w:r>
      <w:r>
        <w:rPr>
          <w:rFonts w:ascii="Arial" w:cs="Arial" w:eastAsia="Arial" w:hAnsi="Arial"/>
          <w:sz w:val="18"/>
          <w:szCs w:val="18"/>
          <w:color w:val="auto"/>
        </w:rPr>
        <w:t>” beginning on page F-11 of our Notes to Consolidated Financial Statements included elsewhere in this prospectus for a discussion of the relevant assumptions used in calculating these amounts.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reflects our matching contribution to the executive’s account under our 401(k)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November 4, 2022, we announced that Mr. Nichols would be stepping down as our Chief Operating Officer on November 7, 2022.</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Marchetti commenced employment as Legacy Dragonfly’s Chief Financial Officer on September 6,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Harvey’s employment with us ended on April 26,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2022</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provides information regarding outstanding options to acquire our common stock held by each of the NEOs as of December 31, 2022, including the vesting dates for the portions of these awards that had not vested as of that date. The NEOs did not hold any other outstanding equity awards as of that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Option Awards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Plan Awards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Number of</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Securities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Underlying</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Underlying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Unexercised</w:t>
            </w: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Unexercised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3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Options (#)</w:t>
            </w: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Options (#)</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41"/>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4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4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59,108(1)</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12/5/2029</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Sean Nichols</w:t>
            </w:r>
          </w:p>
        </w:tc>
        <w:tc>
          <w:tcPr>
            <w:tcW w:w="1120" w:type="dxa"/>
            <w:vAlign w:val="bottom"/>
          </w:tcPr>
          <w:p>
            <w:pPr>
              <w:jc w:val="right"/>
              <w:spacing w:after="0"/>
              <w:rPr>
                <w:sz w:val="20"/>
                <w:szCs w:val="20"/>
                <w:color w:val="auto"/>
              </w:rPr>
            </w:pPr>
            <w:r>
              <w:rPr>
                <w:rFonts w:ascii="Arial" w:cs="Arial" w:eastAsia="Arial" w:hAnsi="Arial"/>
                <w:sz w:val="18"/>
                <w:szCs w:val="18"/>
                <w:color w:val="auto"/>
              </w:rPr>
              <w:t>177,316</w:t>
            </w:r>
          </w:p>
        </w:tc>
        <w:tc>
          <w:tcPr>
            <w:tcW w:w="4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0.32</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11/7/2023</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Marchetti</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93,587(2)</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142,831</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9/13/2031</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Nicole Harvey</w:t>
            </w:r>
          </w:p>
        </w:tc>
        <w:tc>
          <w:tcPr>
            <w:tcW w:w="1120" w:type="dxa"/>
            <w:vAlign w:val="bottom"/>
          </w:tcPr>
          <w:p>
            <w:pPr>
              <w:jc w:val="right"/>
              <w:spacing w:after="0"/>
              <w:rPr>
                <w:sz w:val="20"/>
                <w:szCs w:val="20"/>
                <w:color w:val="auto"/>
              </w:rPr>
            </w:pPr>
            <w:r>
              <w:rPr>
                <w:rFonts w:ascii="Arial" w:cs="Arial" w:eastAsia="Arial" w:hAnsi="Arial"/>
                <w:sz w:val="18"/>
                <w:szCs w:val="18"/>
                <w:color w:val="auto"/>
              </w:rPr>
              <w:t>51,497</w:t>
            </w:r>
          </w:p>
        </w:tc>
        <w:tc>
          <w:tcPr>
            <w:tcW w:w="42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57,257</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2.89</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10/22/2031</w:t>
            </w:r>
          </w:p>
        </w:tc>
      </w:tr>
    </w:tbl>
    <w:p>
      <w:pPr>
        <w:spacing w:after="0" w:line="18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unvested portion of this option vests in 20 monthly installments from January 12, 2022 and August 12, 2023.</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unvested portion of this option vests as to 25% of the option on September 10, 2022 and as to 75% of the option in 36 monthly installments from October 10, 2022 through September 10,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2021,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services performed during the year ended December 31, 2022, on February 10, 2023, Dr. Phares was granted 204,266 restricted stock units (“RSUs”), Mr. Marchetti was granted 86,133 RSUs, and Ms. Harvey was granted 74,800 RSUs. Each grant vested in full on the date of grant.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“2019 Plan”) and the Dragonfly Energy Corp. 2021 Stock Incentive Plan (the “2021 Plan”).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Plan and 2021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the 2022 Equity Incentive Plan (the “2022 Plan”) for purposes of granting equity-based awards to attract, motivate, retain and reward selected employees and other eligible persons. Our board of directors administers the 2022 Plan. The plan administrator has broad authority to (without limitation):</w:t>
      </w:r>
    </w:p>
    <w:p>
      <w:pPr>
        <w:spacing w:after="0" w:line="18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select participants and determine the types of awards that they are to receive;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cancel, modify or waive our rights with respect to, or modify, discontinue, suspend or terminate any or all outstanding awards, subject to any required consents;</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construe and interpret the terms of the 2022 Plan and any agreements relating to the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accelerate or extend the vesting or exercisability or extend the term of any or all outstanding awards subject to any required consent;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the other provisions of the 2022 Plan, make certain adjustments to an outstanding award and authorize the termination, conversion, substitution or succession of an award; and</w:t>
      </w:r>
    </w:p>
    <w:p>
      <w:pPr>
        <w:jc w:val="both"/>
        <w:ind w:left="660" w:hanging="328"/>
        <w:spacing w:after="0" w:line="25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ind w:firstLine="648"/>
        <w:spacing w:after="0" w:line="290" w:lineRule="auto"/>
        <w:rPr>
          <w:sz w:val="20"/>
          <w:szCs w:val="20"/>
          <w:color w:val="auto"/>
        </w:rPr>
      </w:pPr>
      <w:r>
        <w:rPr>
          <w:rFonts w:ascii="Arial" w:cs="Arial" w:eastAsia="Arial" w:hAnsi="Arial"/>
          <w:sz w:val="16"/>
          <w:szCs w:val="16"/>
          <w:color w:val="auto"/>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cancelled or terminated, or otherwise fail to vest, will become available for other award grants under the 2022 Plan. As of May 24, 2023, 787,434 awards have been granted under the 2022 Plan, and 4,179,110 shares authorized under the 2022 Plan are available for award purposes.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2022 Plan will terminate on May 13, 2032. However, the plan administrator will retain its authority until all outstanding awards are exercised or terminated.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the Employee Stock Purchase Plan (the “ESPP”)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 total of 2,464,400 shares of our common stock have been initially authorized for issuance under the ESPP. The share limit will</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We currently expect the ESPP will have a series of successive six-month offering periods. However, the ESPP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Eligible Employees</w:t>
      </w:r>
      <w:r>
        <w:rPr>
          <w:rFonts w:ascii="Arial" w:cs="Arial" w:eastAsia="Arial" w:hAnsi="Arial"/>
          <w:sz w:val="18"/>
          <w:szCs w:val="18"/>
          <w:color w:val="auto"/>
        </w:rPr>
        <w:t>. Individuals scheduled to work more than 20 hours per week for more than five calendar months per year may join an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the start date of that period. Employees may participate in only one offering period at a time.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A participant may contribute up to 15% of his or her cash earnings through payroll deductions, and the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Other plan provisions</w:t>
      </w:r>
      <w:r>
        <w:rPr>
          <w:rFonts w:ascii="Arial" w:cs="Arial" w:eastAsia="Arial" w:hAnsi="Arial"/>
          <w:sz w:val="18"/>
          <w:szCs w:val="18"/>
          <w:color w:val="auto"/>
        </w:rPr>
        <w:t>. No new offering periods will commence on or after May 13, 2032. The board of directors may at any time amend, suspend</w:t>
      </w:r>
      <w:r>
        <w:rPr>
          <w:rFonts w:ascii="Arial" w:cs="Arial" w:eastAsia="Arial" w:hAnsi="Arial"/>
          <w:sz w:val="18"/>
          <w:szCs w:val="18"/>
          <w:i w:val="1"/>
          <w:iCs w:val="1"/>
          <w:color w:val="auto"/>
        </w:rPr>
        <w:t xml:space="preserve"> </w:t>
      </w:r>
      <w:r>
        <w:rPr>
          <w:rFonts w:ascii="Arial" w:cs="Arial" w:eastAsia="Arial" w:hAnsi="Arial"/>
          <w:sz w:val="18"/>
          <w:szCs w:val="18"/>
          <w:color w:val="auto"/>
        </w:rPr>
        <w:t>or discontinue the ESPP. However, certain amendments may require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us through the date the bonus is paid (or if the executive’s employment terminates due to his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w:t>
      </w:r>
    </w:p>
    <w:p>
      <w:pPr>
        <w:jc w:val="both"/>
        <w:ind w:firstLine="8"/>
        <w:spacing w:after="0" w:line="252" w:lineRule="auto"/>
        <w:tabs>
          <w:tab w:leader="none" w:pos="2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jc w:val="both"/>
        <w:ind w:firstLine="648"/>
        <w:spacing w:after="0" w:line="290" w:lineRule="auto"/>
        <w:rPr>
          <w:sz w:val="20"/>
          <w:szCs w:val="20"/>
          <w:color w:val="auto"/>
        </w:rPr>
      </w:pPr>
      <w:r>
        <w:rPr>
          <w:rFonts w:ascii="Arial" w:cs="Arial" w:eastAsia="Arial" w:hAnsi="Arial"/>
          <w:sz w:val="16"/>
          <w:szCs w:val="16"/>
          <w:color w:val="auto"/>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each case, the executive’s right to receive the severance benefits described above is subject to his or her providing a release of claims to us and his or her continued compliance with the restrictive covenants in favor of us in the agreement.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4, 2022, we announced that Sean Nichols, our Chief Operating Officer, would be stepping down to pursue other interests. His last day of employment was November 7, 2022. We have entered into a separation and release agreement (the “Separation Agreement”)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previously entered into an employment agreement, dated as of October 11, 2022 with Ms. Harvey. The agreement provided for a three-year initial employment term, with automatic three-year renewal terms thereafter, subject to 90 days’ notice of non-renewal by either party. The agreement also provided for Ms. Harvey to receive an annual base salary of $334,000. The agreement also included non-competition and non-solicitation covenants that apply for 12 months following Ms. Harvey’s termination of employment, and certain confidentiality and other covenants.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26, 2023, Ms. Harvey’s employment with us ended and her employment agreement was deemed terminated as of that date by us without cause for purposes of determining severance thereunder. As a result, Ms. Harvey is entitled to receive (i) cash severance equal to 1.5 times her annual base salary, payable in installments over two years following the termination date, (ii) reimbursement of monthly COBRA premiums for the executive and her dependents for up to 12 months, and (iii) vesting in full of any time-based equity awards granted by us to Ms. Harvey. If, during the period commencing three months before a change in control of the Company and ending 12 months after a change in control, the executive’s employment is terminated by us without cause (or as a result of us not renewing the term of the agreement), Ms. Harvey would be entitled to receive the severance benefits described in the preceding sentence. In addition, Ms. Harvey’s outstanding stock options granted by us would fully vest and be exercisable for the remainder of the term of the option. In the event any of Ms. Harvey’s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 Ms. Harvey’s right to receive the severance benefits described above was subject to her providing a release of claims to us and remains subject to her continued compliance with the restrictive covenants in favor of us in the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Closing, we adopted a policy that provides for cash and equity compensation for members of our board of directors who are not employed by us or any of our subsidiaries (our “Non-Employee Directors”). The policy provides that each Non-Employee Director is entitled to receive the following cash compensation for board service, as applicable:</w:t>
      </w:r>
    </w:p>
    <w:p>
      <w:pPr>
        <w:spacing w:after="0" w:line="18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$58,800 annual retainer for service as a board member;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$20,000 additional annual retainer for service as Lead Independent Director; and</w:t>
      </w:r>
    </w:p>
    <w:p>
      <w:pPr>
        <w:spacing w:after="0" w:line="9"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board of directors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may change the terms of our director compensation policy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Director Compensation Table — Fiscal 2022</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Fees Earned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or Paid in</w:t>
            </w:r>
          </w:p>
        </w:tc>
        <w:tc>
          <w:tcPr>
            <w:tcW w:w="3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3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Cash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2"/>
              </w:rPr>
              <w:t xml:space="preserve">Awards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32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 xml:space="preserve">Awards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w:t>
            </w:r>
          </w:p>
        </w:tc>
      </w:tr>
      <w:tr>
        <w:trPr>
          <w:trHeight w:val="216"/>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Bellows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Perry Boyle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13,741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433,741</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Karina Montilla Edmonds, Ph.D.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436,078</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Luisa Ingargiola</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23,089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443,089</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Brian Nelson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245,401(3)</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682,648</w:t>
            </w:r>
          </w:p>
        </w:tc>
        <w:tc>
          <w:tcPr>
            <w:tcW w:w="100" w:type="dxa"/>
            <w:vAlign w:val="bottom"/>
            <w:shd w:val="clear" w:color="auto" w:fill="CCEEFF"/>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Rick Parod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13,741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433,741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left="66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Arial" w:cs="Arial" w:eastAsia="Arial" w:hAnsi="Arial"/>
          <w:sz w:val="18"/>
          <w:szCs w:val="18"/>
          <w:i w:val="1"/>
          <w:iCs w:val="1"/>
          <w:color w:val="auto"/>
        </w:rPr>
        <w:t>Stock-Based Compensation</w:t>
      </w:r>
      <w:r>
        <w:rPr>
          <w:rFonts w:ascii="Arial" w:cs="Arial" w:eastAsia="Arial" w:hAnsi="Arial"/>
          <w:sz w:val="18"/>
          <w:szCs w:val="18"/>
          <w:color w:val="auto"/>
        </w:rPr>
        <w:t>” beginning on page F-11 of our Notes to Consolidated Financial Statements included elsewhere in this prospectus for a discussion of the relevant assumptions used in calculating this amount. As of December 31, 2022, each Non-Employee Director held 30,000 unvested RSUs.</w:t>
      </w:r>
    </w:p>
    <w:p>
      <w:pPr>
        <w:spacing w:after="0" w:line="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number of shares of common stock underlying stock options and unvested RSUs outstanding as of December 31, 2022 held by Ms. Ingargiola was 127,521.</w:t>
      </w:r>
    </w:p>
    <w:p>
      <w:pPr>
        <w:ind w:left="660" w:hanging="328"/>
        <w:spacing w:after="0" w:line="26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stock option awards to purchase 70,925 shares of our common stock were granted to Mr. Nelson on May 9, 2022 and vest in 36 equal monthly installments beginning on May 15,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than compensation arrangements for our named executive officers and directors, we describe below each transaction or series of similar transactions, since January 1, 2021, to which we were a party or will be a party, in which:</w:t>
      </w:r>
    </w:p>
    <w:p>
      <w:pPr>
        <w:spacing w:after="0" w:line="17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8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Compensation arrangements for our named executive officers and directors are described in the section entitled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 with John Marchetti</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Sean Nichols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 million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with Brian Nelson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separate indemnification agreements with our directors and executive officers, in addition to the indemnification provided for in our Articles of Incorporation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limitation of liability and indemnification provisions in our Articles of Incorporation and our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Business Combination Agreements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Registration Rights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closing of the Business Combination, CNTQ, the Sponsor and certain other CNTQ shareholders parties thereto (collectively, the “Insiders”), Legacy Dragonfly, and certain Legacy Dragonfly stockholders entered into an Amended and Restated Registration Rights Agreement (the “Amended Registration Rights Agreement”).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“Purchased Shares”).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Consistent with the Debt Commitment Letter, in connection with the Closing, CNTQ, Legacy Dragonfly and the Initial Term Loan Lenders entered into the Term Loan Agreement setting forth the terms of the Term Loan in an aggregate principal amount of $75 million. The CNTQ Lender backstopped its commitment under the Debt Commitment Letter by entering into the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w:t>
      </w:r>
    </w:p>
    <w:p>
      <w:pPr>
        <w:spacing w:after="0" w:line="2" w:lineRule="exact"/>
        <w:rPr>
          <w:sz w:val="20"/>
          <w:szCs w:val="20"/>
          <w:color w:val="auto"/>
        </w:rPr>
      </w:pPr>
    </w:p>
    <w:p>
      <w:pPr>
        <w:jc w:val="both"/>
        <w:ind w:firstLine="8"/>
        <w:spacing w:after="0" w:line="253" w:lineRule="auto"/>
        <w:tabs>
          <w:tab w:leader="none" w:pos="2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ind w:firstLine="648"/>
        <w:spacing w:after="0" w:line="259" w:lineRule="auto"/>
        <w:rPr>
          <w:sz w:val="20"/>
          <w:szCs w:val="20"/>
          <w:color w:val="auto"/>
        </w:rPr>
      </w:pPr>
      <w:r>
        <w:rPr>
          <w:rFonts w:ascii="Arial" w:cs="Arial" w:eastAsia="Arial" w:hAnsi="Arial"/>
          <w:sz w:val="18"/>
          <w:szCs w:val="18"/>
          <w:color w:val="auto"/>
        </w:rPr>
        <w:t>Pursuant to the Term Loan Agreement, the obligations of Legacy Dragonfly are guaranteed by us and will be guaranteed by any of Legacy Dragonfly’s subsidiaries that are party thereto from time to time as guarantors. In addition, we entered into the Pledge Agreement pursuant to which we pledged to the Administrative Agent our equity interests in Legacy Dragonfly as further collateral security for the obligations under the Term Loan Agreement.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entry into the Term Loan Agreement, and as a required term and condition thereof, we issued (i) the Penny Warrants and (ii) the $10 Warrants.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ChEF Equity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Consistent with the equity facility letter agreement between Legacy Dragonfly and CCM 5, we and CCM entered into the Purchase Agreement and the ChEF RRA in connection with the Closing. In addition, we appointed LifeSci Capital, LLC as “qualified independent underwriter” with respect to the transactions contemplated by the Purchase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May 24, 2023, we have sold 98,500 shares under the ChEF Equity Facility for aggregate net proceeds to us of $670,593.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adopted a written Related Person Transactions Policy on October 7, 2022 (the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8"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transactions entered into since the adoption of the Policy have been approved by our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as of May 24, 2023, with respect to the beneficial ownership of common stock by the following:</w:t>
      </w:r>
    </w:p>
    <w:p>
      <w:pPr>
        <w:spacing w:after="0" w:line="46" w:lineRule="exact"/>
        <w:rPr>
          <w:sz w:val="20"/>
          <w:szCs w:val="20"/>
          <w:color w:val="auto"/>
        </w:rPr>
      </w:pPr>
    </w:p>
    <w:p>
      <w:pPr>
        <w:ind w:firstLine="8"/>
        <w:spacing w:after="0" w:line="260" w:lineRule="auto"/>
        <w:tabs>
          <w:tab w:leader="none" w:pos="2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current directors; (ii) each of our named executive officers; (iii) all of our current executive officers and directors as a group; and (iv) each other person known by us to own beneficially more than five percent (5%) of the outstanding shares of common stock.</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May 24, 2023 (“Presently Exercisable Securities”),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beneficial ownership of the common stock is based on 45,885,513 shares of common stock issued and outstanding as of May 24, 2023. The percentage of beneficial ownership after this offering assumes the sale and issuance of shares of common stock and accompanying investor warrants in this offering (based upon the sale of 10,000,000 shares of common stock and accompanying investor warrants in this offering at a combined public offering price of $2.00 per share of common stock and accompanying investor warrant) and assuming no exercise by the underwriters of their option to purchase additional shares of common stock and/or investor warrants.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Dragonfly Energy Holdings Corp., 1190 Trademark Drive #108, Reno, Nevada 89521.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c>
          <w:tcPr>
            <w:tcW w:w="3880" w:type="dxa"/>
            <w:vAlign w:val="bottom"/>
            <w:gridSpan w:val="4"/>
            <w:vMerge w:val="restart"/>
          </w:tcPr>
          <w:p>
            <w:pPr>
              <w:jc w:val="right"/>
              <w:ind w:right="440"/>
              <w:spacing w:after="0"/>
              <w:rPr>
                <w:sz w:val="20"/>
                <w:szCs w:val="20"/>
                <w:color w:val="auto"/>
              </w:rPr>
            </w:pPr>
            <w:r>
              <w:rPr>
                <w:rFonts w:ascii="Arial" w:cs="Arial" w:eastAsia="Arial" w:hAnsi="Arial"/>
                <w:sz w:val="18"/>
                <w:szCs w:val="18"/>
                <w:b w:val="1"/>
                <w:bCs w:val="1"/>
                <w:color w:val="auto"/>
                <w:w w:val="96"/>
              </w:rPr>
              <w:t>Percentage of Shares Beneficially Owned</w:t>
            </w: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Beneficially Owned</w:t>
            </w:r>
          </w:p>
        </w:tc>
        <w:tc>
          <w:tcPr>
            <w:tcW w:w="3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40" w:type="dxa"/>
            <w:vAlign w:val="bottom"/>
          </w:tcPr>
          <w:p>
            <w:pPr>
              <w:spacing w:after="0"/>
              <w:rPr>
                <w:sz w:val="20"/>
                <w:szCs w:val="20"/>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Prior to Offering</w:t>
            </w:r>
          </w:p>
        </w:tc>
        <w:tc>
          <w:tcPr>
            <w:tcW w:w="20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Prior to Offering</w:t>
            </w:r>
          </w:p>
        </w:tc>
        <w:tc>
          <w:tcPr>
            <w:tcW w:w="1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After Offering</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Holders:</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spacing w:after="0" w:line="256" w:lineRule="exact"/>
              <w:rPr>
                <w:sz w:val="20"/>
                <w:szCs w:val="20"/>
                <w:color w:val="auto"/>
              </w:rPr>
            </w:pPr>
            <w:r>
              <w:rPr>
                <w:rFonts w:ascii="Arial" w:cs="Arial" w:eastAsia="Arial" w:hAnsi="Arial"/>
                <w:sz w:val="18"/>
                <w:szCs w:val="18"/>
                <w:color w:val="auto"/>
              </w:rPr>
              <w:t>Dynavolt Technology (HK) Ltd.</w:t>
            </w:r>
            <w:r>
              <w:rPr>
                <w:rFonts w:ascii="Arial" w:cs="Arial" w:eastAsia="Arial" w:hAnsi="Arial"/>
                <w:sz w:val="29"/>
                <w:szCs w:val="29"/>
                <w:color w:val="auto"/>
                <w:vertAlign w:val="superscript"/>
              </w:rPr>
              <w:t>(1)</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11,820,900</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25.80%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Li Gong</w:t>
            </w:r>
            <w:r>
              <w:rPr>
                <w:rFonts w:ascii="Arial" w:cs="Arial" w:eastAsia="Arial" w:hAnsi="Arial"/>
                <w:sz w:val="29"/>
                <w:szCs w:val="29"/>
                <w:color w:val="auto"/>
                <w:vertAlign w:val="superscript"/>
              </w:rPr>
              <w:t>(2)</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3,073,434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Dr. Denis Phares</w:t>
            </w:r>
            <w:r>
              <w:rPr>
                <w:rFonts w:ascii="Arial" w:cs="Arial" w:eastAsia="Arial" w:hAnsi="Arial"/>
                <w:sz w:val="29"/>
                <w:szCs w:val="29"/>
                <w:color w:val="auto"/>
                <w:vertAlign w:val="superscript"/>
              </w:rPr>
              <w:t>(3)(4)</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16,277,124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70"/>
        </w:trPr>
        <w:tc>
          <w:tcPr>
            <w:tcW w:w="4900" w:type="dxa"/>
            <w:vAlign w:val="bottom"/>
          </w:tcPr>
          <w:p>
            <w:pPr>
              <w:spacing w:after="0" w:line="270" w:lineRule="exact"/>
              <w:rPr>
                <w:sz w:val="20"/>
                <w:szCs w:val="20"/>
                <w:color w:val="auto"/>
              </w:rPr>
            </w:pPr>
            <w:r>
              <w:rPr>
                <w:rFonts w:ascii="Arial" w:cs="Arial" w:eastAsia="Arial" w:hAnsi="Arial"/>
                <w:sz w:val="18"/>
                <w:szCs w:val="18"/>
                <w:color w:val="auto"/>
              </w:rPr>
              <w:t>Sean Nichols</w:t>
            </w:r>
            <w:r>
              <w:rPr>
                <w:rFonts w:ascii="Arial" w:cs="Arial" w:eastAsia="Arial" w:hAnsi="Arial"/>
                <w:sz w:val="29"/>
                <w:szCs w:val="29"/>
                <w:color w:val="auto"/>
                <w:vertAlign w:val="superscript"/>
              </w:rPr>
              <w:t>(3)(5)</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3,735,999</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Nicole Harvey</w:t>
            </w:r>
            <w:r>
              <w:rPr>
                <w:rFonts w:ascii="Arial" w:cs="Arial" w:eastAsia="Arial" w:hAnsi="Arial"/>
                <w:sz w:val="29"/>
                <w:szCs w:val="29"/>
                <w:color w:val="auto"/>
                <w:vertAlign w:val="superscript"/>
              </w:rPr>
              <w:t>(6)</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195,372</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line="270" w:lineRule="exact"/>
              <w:rPr>
                <w:sz w:val="20"/>
                <w:szCs w:val="20"/>
                <w:color w:val="auto"/>
              </w:rPr>
            </w:pPr>
            <w:r>
              <w:rPr>
                <w:rFonts w:ascii="Arial" w:cs="Arial" w:eastAsia="Arial" w:hAnsi="Arial"/>
                <w:sz w:val="18"/>
                <w:szCs w:val="18"/>
                <w:color w:val="auto"/>
              </w:rPr>
              <w:t>John Marchetti</w:t>
            </w:r>
            <w:r>
              <w:rPr>
                <w:rFonts w:ascii="Arial" w:cs="Arial" w:eastAsia="Arial" w:hAnsi="Arial"/>
                <w:sz w:val="29"/>
                <w:szCs w:val="29"/>
                <w:color w:val="auto"/>
                <w:vertAlign w:val="superscript"/>
              </w:rPr>
              <w:t>(7)</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194,157</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Tyler Bourns </w:t>
            </w:r>
            <w:r>
              <w:rPr>
                <w:rFonts w:ascii="Arial" w:cs="Arial" w:eastAsia="Arial" w:hAnsi="Arial"/>
                <w:sz w:val="29"/>
                <w:szCs w:val="29"/>
                <w:color w:val="auto"/>
                <w:vertAlign w:val="superscript"/>
              </w:rPr>
              <w:t>(8)</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60,490</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line="270" w:lineRule="exact"/>
              <w:rPr>
                <w:sz w:val="20"/>
                <w:szCs w:val="20"/>
                <w:color w:val="auto"/>
              </w:rPr>
            </w:pPr>
            <w:r>
              <w:rPr>
                <w:rFonts w:ascii="Arial" w:cs="Arial" w:eastAsia="Arial" w:hAnsi="Arial"/>
                <w:sz w:val="18"/>
                <w:szCs w:val="18"/>
                <w:color w:val="auto"/>
              </w:rPr>
              <w:t>Luisa Ingargiola</w:t>
            </w:r>
            <w:r>
              <w:rPr>
                <w:rFonts w:ascii="Arial" w:cs="Arial" w:eastAsia="Arial" w:hAnsi="Arial"/>
                <w:sz w:val="29"/>
                <w:szCs w:val="29"/>
                <w:color w:val="auto"/>
                <w:vertAlign w:val="superscript"/>
              </w:rPr>
              <w:t>(9)</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62,307</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Brian Nelson</w:t>
            </w:r>
            <w:r>
              <w:rPr>
                <w:rFonts w:ascii="Arial" w:cs="Arial" w:eastAsia="Arial" w:hAnsi="Arial"/>
                <w:sz w:val="29"/>
                <w:szCs w:val="29"/>
                <w:color w:val="auto"/>
                <w:vertAlign w:val="superscript"/>
              </w:rPr>
              <w:t>(10)</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29,565</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Perry Boyle</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22,000</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Jonathan Bellows</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Rick Parod</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Karina Montilla Edmonds</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All Directors and Officers as a Group (9 persons)</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16,645,643</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36.28%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the Schedule 13D filed by Dynavolt Technology (HK) Ltd. (“Dynavolt”) on October 12, 2022. The business address of Dynavolt is Flat/Room 02-03 26/F, Bea Tower Millennium City 5, 418 Kwun Tong Road, Kwun Tong, Hong Kong.</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May 24, 2023. The business address of Mr. Gong is 930 Tahoe Blvd. Suite 802, PMB 860, Incline Village, Nevada 89451.</w:t>
      </w:r>
    </w:p>
    <w:p>
      <w:pPr>
        <w:spacing w:after="0" w:line="18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40,000,000 shares of common stock not yet payable as the earnout contingencies have not yet been met and will not be met within 60 days of May 24, 2023.</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(i) 1,217,906 shares held on behalf of the Phares 2021 GRAT dated July 9, 2021, of which Dr. Phares is the trustee, and (ii) 173,748 shares of common stock issuable upon exercise of outstanding stock options exercisable within 60 days of May 24, 2023.</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May 24, 2023.</w:t>
      </w:r>
    </w:p>
    <w:p>
      <w:pPr>
        <w:spacing w:after="0" w:line="18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108,751 shares of common stock issuable upon exercise of outstanding stock options exercisable within 60 days of May 24, 2023. On April 26, 2023, Ms. Harvey’s employment with us ended.</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Includes 107,024 shares of common stock issuable upon exercise of outstanding stock options exercisable within 60 days of May 24, 2023.</w:t>
      </w:r>
    </w:p>
    <w:p>
      <w:pPr>
        <w:spacing w:after="0" w:line="236" w:lineRule="exact"/>
        <w:rPr>
          <w:rFonts w:ascii="Arial" w:cs="Arial" w:eastAsia="Arial" w:hAnsi="Arial"/>
          <w:sz w:val="17"/>
          <w:szCs w:val="17"/>
          <w:color w:val="auto"/>
        </w:rPr>
      </w:pPr>
    </w:p>
    <w:p>
      <w:pPr>
        <w:ind w:left="380" w:hanging="372"/>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Includes 21,931 shares of common stock issuable upon exercise of outstanding stock options exercisable within 60 days of May 24, 2023.</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Includes 62,307 shares of common stock issuable upon exercise of outstanding stock options exercisable within 60 days of May 24, 2023.</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Includes 29,565 shares of common stock issuable upon exercise of outstanding stock options exercisable within 60 days of May 24, 2023.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You are encouraged to read the applicable provisions of the NRS, our Articles of Incorporation and our Bylaws in their entirety for a complete description of the rights and preferences of our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24, 2023 there were 45,885,513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Warrants to be Issued in this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summary of the material terms and provisions of the investor warrants that are being offered hereby. This summary is subject to and qualified in its entirety by the form of warrant which is filed as an exhibit to the registration statement of which this prospectus forms a part. Prospective investors should carefully review the terms and provisions of the form of investor warrants for a complete description of the terms and conditions of the investor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Exercise Price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investor warrant offered hereby will have an exercise price of $2.00 per share. The investor warrants will be exercisable upon issuance and may be exercised until five years from the date of issuance. The exercise price and number of shares of common stock issuable upon exercise of the investor warrants is subject to appropriate adjustment in the event of stock dividends, stock splits, reorganizations or similar events affecting our common stock and the exercise price. The investor warrants will be issued separately from the common stock and may be transferred separately immediately thereafter. The investor warrants will be issued in certificated form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Exercisability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investor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investor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investor warrants.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Cashless Exercise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at the time a holder exercises its investor warrants, a registration statement registering the issuance or resale of the shares of common stock underlying the investor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investor warrant.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at any time while the investor warrants are outstanding and there is a fundamental transaction as described in the investor warrant where, we, directly or indirectly, (1) effect any merger or consolidation with or into another person, (2) effect any sale, lease, exclusive license, assignment, transfer, conveyance or other disposition of all or substantially all of our assets in one or a series of related transactions, (3) complete any direct or indirect purchase offer, tender offer or exchange offer (whether by us or another person) pursuant to which holders of our common stock are permitted to sell, tender or exchange their shares for other securities, cash or property and which has been accepted by the holders of 50% or more of the outstanding common stock,</w:t>
      </w:r>
    </w:p>
    <w:p>
      <w:pPr>
        <w:spacing w:after="0" w:line="2" w:lineRule="exact"/>
        <w:rPr>
          <w:sz w:val="20"/>
          <w:szCs w:val="20"/>
          <w:color w:val="auto"/>
        </w:rPr>
      </w:pPr>
    </w:p>
    <w:p>
      <w:pPr>
        <w:jc w:val="both"/>
        <w:ind w:firstLine="8"/>
        <w:spacing w:after="0" w:line="267" w:lineRule="auto"/>
        <w:tabs>
          <w:tab w:leader="none" w:pos="269" w:val="left"/>
        </w:tabs>
        <w:numPr>
          <w:ilvl w:val="0"/>
          <w:numId w:val="54"/>
        </w:numPr>
        <w:rPr>
          <w:rFonts w:ascii="Arial" w:cs="Arial" w:eastAsia="Arial" w:hAnsi="Arial"/>
          <w:sz w:val="17"/>
          <w:szCs w:val="17"/>
          <w:color w:val="auto"/>
        </w:rPr>
      </w:pPr>
      <w:r>
        <w:rPr>
          <w:rFonts w:ascii="Arial" w:cs="Arial" w:eastAsia="Arial" w:hAnsi="Arial"/>
          <w:sz w:val="17"/>
          <w:szCs w:val="17"/>
          <w:color w:val="auto"/>
        </w:rPr>
        <w:t>effect any reclassification, reorganization or recapitalization of the common stock or any compulsory share exchange pursuant to which the common stock is effectively converted into or exchanged for other securities, cash or property, or (5) in one or more related transactions consummate a stock or share purchase agreement or other business combination (including a reorganization, recapitalization, spin-off or scheme of arrangement) with another person or group of persons whereby such other person or group acquires more than 50% of the outstanding shares of common stock, or each, a Fundamental Transaction, then the holder shall have the right thereafter to receive, upon exercise of the investor warrant, the same amount and kind of securities, cash or property as it would have been entitled to receive upon the occurrence of such Fundamental Transaction if it had been, immediately prior to such Fundamental Transaction, the holder of the number of investor warrant shares then issuable upon exercise of the investor warrant. Any successor to us or surviving entity shall assume the obligations under the investor warrant. Notwithstanding the foregoing, in the event of a Fundamental Transaction approved by our board of directors, the holders of the investor warrants have the right to require us or a successor entity to redeem the investor warrants for cash in the amount of the Black Scholes Value (as defined in each investor warrant) of the unexercised portion of the investor warrants on the date of the consummation of the Fundamental Transaction, concurrently with or within 30 days following the consummation of a Fundamental Transaction. In the event of a Fundamental Transaction that is not within our control, including any Fundamental Transaction which is not approved by our board of directors, the holders of the investor warrants have the right to receive the same type or form of consideration paid to holders of common stock in the Fundamental Transaction in the amount of the Black Scholes Value of the unexercised portion of the investor warrants on the date of the consummation of the Fundamental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applicable laws, an investor warrant may be transferred at the option of the holder upon surrender of the investor warrant to us together with the appropriate instruments of transfer.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shares of common stock will be issued upon the exercise of the investor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Market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established trading market for the investor warrants, and we do not expect such a market to develop. We do not intend to apply to list the investor warrants on any securities exchange or other nationally recognized trading system. Without an active trading market, the liquidity of the investor warrants will be extremely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as a Stockholder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the investor warrants or by virtue of the holder’s ownership of shares of our common stock, such holder of investor warrants does not have the rights or privileges of a holder of our common stock, including any voting rights, until such holder exercises such holder’s investor warrants. The investor warrants will provide that the holders of the investor warrants have the right to participate in distributions or dividends paid on our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Waivers and Amendments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investor warrants may be modified or amended or the provisions of such warrants waived with our consent and the consent of the holders of at least a majority of the outstanding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to each warrant 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1" w:name="page102"/>
    <w:bookmarkEnd w:id="101"/>
    <w:p>
      <w:pPr>
        <w:jc w:val="both"/>
        <w:ind w:firstLine="648"/>
        <w:spacing w:after="0" w:line="296" w:lineRule="auto"/>
        <w:rPr>
          <w:sz w:val="20"/>
          <w:szCs w:val="20"/>
          <w:color w:val="auto"/>
        </w:rPr>
      </w:pPr>
      <w:r>
        <w:rPr>
          <w:rFonts w:ascii="Arial" w:cs="Arial" w:eastAsia="Arial" w:hAnsi="Arial"/>
          <w:sz w:val="16"/>
          <w:szCs w:val="16"/>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(“FINRA”) Rule 5110(g), as long as Sponsor or any of its related persons beneficially own the Private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Penny Warrants were issued on the Closing Date and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transfer agent for our shares of common stock and warrant agent for our Warrants is American Stock Transfer &amp; Trust Company, LLC.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Anti-Takeover Effects of the Charter, the Bylaws and Nevada Law</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Combinations with Interested Stockholders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Acquisition of Controlling Interests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Nevada law also protects the corporation and its stockholders from persons acquiring a “controlling interest” in a corporation. The provisions can be found in NRS 78.378 to 78.3793, inclusive.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8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for Amendment of Certificate of Incorporation and Bylaws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currently listed on The Nasdaq Global Market under the symbol “DFLI” and our Public Warrants are currently listed on The Nasdaq Capital Market under the symbol “DFLIW”.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entered into an underwriting agreement with Roth Capital Partners, LLC, as representative of the underwriters, with respect to the shares of common stock and investor warrants subject to this offering. Subject to certain conditions, we have agreed to sell to the underwriters, and the underwriters have severally agreed to purchase, the number of shares of common stock and investor warrants provided below opposite their names.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Number of Investor</w:t>
            </w:r>
          </w:p>
        </w:tc>
      </w:tr>
      <w:tr>
        <w:trPr>
          <w:trHeight w:val="241"/>
        </w:trPr>
        <w:tc>
          <w:tcPr>
            <w:tcW w:w="674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240" w:type="dxa"/>
            <w:vAlign w:val="bottom"/>
          </w:tcPr>
          <w:p>
            <w:pPr>
              <w:spacing w:after="0"/>
              <w:rPr>
                <w:sz w:val="20"/>
                <w:szCs w:val="20"/>
                <w:color w:val="auto"/>
              </w:rPr>
            </w:pPr>
          </w:p>
        </w:tc>
        <w:tc>
          <w:tcPr>
            <w:tcW w:w="2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Number of Shares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3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480" w:type="dxa"/>
            <w:vAlign w:val="bottom"/>
            <w:gridSpan w:val="3"/>
          </w:tcPr>
          <w:p>
            <w:pPr>
              <w:jc w:val="right"/>
              <w:ind w:right="340"/>
              <w:spacing w:after="0"/>
              <w:rPr>
                <w:sz w:val="20"/>
                <w:szCs w:val="20"/>
                <w:color w:val="auto"/>
              </w:rPr>
            </w:pPr>
            <w:r>
              <w:rPr>
                <w:rFonts w:ascii="Arial" w:cs="Arial" w:eastAsia="Arial" w:hAnsi="Arial"/>
                <w:sz w:val="18"/>
                <w:szCs w:val="18"/>
                <w:color w:val="auto"/>
              </w:rPr>
              <w:t>2,000,000</w:t>
            </w:r>
          </w:p>
        </w:tc>
        <w:tc>
          <w:tcPr>
            <w:tcW w:w="1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10,000,000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underwriters are offering the shares of common stock and investor warrants subject to their acceptance of the shares of common stock and investor warrants from us and subject to prior sale. The underwriting agreement provides that the obligations of the underwriters to pay for and accept delivery of the shares of common stock and investor warrants offered by this prospectus are subject to the approval of certain legal matters by their counsel and to certain other conditions. The underwriters are obligated, severally and not jointly, to take and pay for all of the shares of common stock and investor warrants if any such shares are taken. However, the underwriters are not required to take or pay for the shares of common stock covered by the underwriters’ over-allotment option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granted the underwriters an option, exercisable for 45 days from the date of this prospectus, to purchase up to an aggregate of additional shares of common stock to cover over-allotments and/or additional investor warrants to purchase up to 1,500,000 shares of common stock, if any, in any combinations thereof. The purchase price to be paid by the underwriters per additional share of common stock will be $1.99, less underwriting discounts and commissions, and the purchase price to be paid by the underwriters per additional investor warrant will be $0.01, less underwriting discounts and commissions. The underwriters may exercise this option solely for the purpose of covering over-allotments, if any, made in connection with the offering of the shares of common stock and investor warrants offered by this prospectus. If the underwriters exercise this option, the underwriters will be obligated, severally and not jointly, subject to certain conditions, to purchase the additional shares and/or investor warrants for which the option has been exercised in approximately the same proportion as shown in the table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 Commissions and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underwriters have advised us that they propose to offer the shares of common stock and/or accompanying investor warrants to the public at the combined public offering price set forth on the cover page of this prospectus and to certain dealers at that price less a concession not in excess of $0.07 per share and related investor warrant. After this offering, the public offering price, concession and reallowance to dealers may be changed by the underwriters. No such change will change the amount of proceeds to be received by us as set forth on the cover page of this prospectus. The shares of common stock and investor warrants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spacing w:after="0" w:line="19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shows the underwriting discount payable to the underwriters by us in connection with this offering. Such amounts are shown assuming both no exercise and full exercise of the underwriters’ over-allotment option to purchase additional shares and investor warrants.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Total Without Exercise of</w:t>
            </w:r>
          </w:p>
        </w:tc>
        <w:tc>
          <w:tcPr>
            <w:tcW w:w="8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2"/>
              </w:rPr>
              <w:t>Total With Exercise of</w:t>
            </w: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w w:val="88"/>
              </w:rPr>
              <w:t>Per share and related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Over- Allotment Option</w:t>
            </w:r>
          </w:p>
        </w:tc>
        <w:tc>
          <w:tcPr>
            <w:tcW w:w="8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5"/>
              </w:rPr>
              <w:t>Over- Allotment Option</w:t>
            </w:r>
          </w:p>
        </w:tc>
        <w:tc>
          <w:tcPr>
            <w:tcW w:w="100" w:type="dxa"/>
            <w:vAlign w:val="bottom"/>
          </w:tcPr>
          <w:p>
            <w:pPr>
              <w:spacing w:after="0"/>
              <w:rPr>
                <w:sz w:val="18"/>
                <w:szCs w:val="18"/>
                <w:color w:val="auto"/>
              </w:rPr>
            </w:pPr>
          </w:p>
        </w:tc>
      </w:tr>
      <w:tr>
        <w:trPr>
          <w:trHeight w:val="237"/>
        </w:trPr>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investor warrant</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Combined Public offering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1,400,000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1,610,000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Does not include the Underwriters’ Warrants as described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both"/>
        <w:ind w:firstLine="648"/>
        <w:spacing w:after="0" w:line="301" w:lineRule="auto"/>
        <w:rPr>
          <w:sz w:val="20"/>
          <w:szCs w:val="20"/>
          <w:color w:val="auto"/>
        </w:rPr>
      </w:pPr>
      <w:r>
        <w:rPr>
          <w:rFonts w:ascii="Arial" w:cs="Arial" w:eastAsia="Arial" w:hAnsi="Arial"/>
          <w:sz w:val="16"/>
          <w:szCs w:val="16"/>
          <w:color w:val="auto"/>
        </w:rPr>
        <w:t>We have also agreed to reimburse the underwriters for reasonable out-of-pocket expenses, including the fees and disbursements of their counsel, up to an aggregate of $100,000, plus up to $10,000 for counsel fees related to FINRA clearance of the offering. The costs, fees and expenses to be paid by the Company to the underwriters as provided in the underwriting agreement shall not exceed $115,000 in the aggregate. We estimate that the total expenses payable by us in connection with this offering, other than the underwriting discount and commissions referred to above, will be approximately $430,000.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Warrants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also agreed to issue to the Underwriters the Underwriters’ Warrants to purchase a number of shares of our common stock equal to an aggregate of 5% of the common stock sold in this offering. The Underwriters’ Warrants will have an exercise price equal to 125% of the combined public offering price of the common stock and accompanying investor warrant sold in this offering and may be exercised on a cashless basis. The Underwriters’ Warrants are not redeemable by us, and will expire on the fifth anniversary of the effectiveness of the registration statement of which this prospectus is a part. The Underwriters’ Warrants will provide for adjustment in the number and price of the Underwriters’ Warrants (and the shares of common stock underlying the Underwriters’ Warrants) in the event of recapitalization, merger or other fundamental transaction. The Underwriters’ Warrants and the underlying shares of common stock have been deemed compensation by FINRA and are therefore subject to FINRA Rule 5110(g)(1). In accordance with FINRA Rule 5110(g)(1), neither the Underwriters’ Warrants nor any shares of common stock issued upon exercise of the Underwriters’ Warrants may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the Underwriters’ Warrants are being issued, except the transfer of any security:</w:t>
      </w:r>
    </w:p>
    <w:p>
      <w:pPr>
        <w:spacing w:after="0" w:line="17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any FINRA member firm participating in this offering and the officers or partners thereof, if all securities so transferred remain subject to the lock-up restriction described above for the remainder of the time period;</w:t>
      </w:r>
    </w:p>
    <w:p>
      <w:pPr>
        <w:ind w:left="66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either an underwriter or a related person do not exceed 1% of the securities being offered;</w:t>
      </w:r>
    </w:p>
    <w:p>
      <w:pPr>
        <w:ind w:left="660" w:hanging="328"/>
        <w:spacing w:after="0" w:line="28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set forth above for the remainder of the time period.</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Underwriters’ Warrants will contain provisions for demand registration of the shares underlying the Underwriters’ Warrants at the Company’s expense for a period of five (5) years following the effectiveness of the registration statement of which this prospectus is a part and unlimited piggyback registration rights for a period of seven (7) years following the effectiveness of the registration statement of which this prospectus is a part, in each case at the Company’s expense. The holders of the Underwriters’ Warrants shall pay any and all underwriting commissions and the expenses of any legal counsel selected by such holders to represent them in connection with such registration. The Underwriters’ Warrants will contain provisions for registration rights for a period of five years at the Company’s expense. The registration rights relating to Underwriters’ Warrants shall comply with the requirements of FINRA Rule 5110(g)(8).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and our officers and directors and have agreed, subject to limited exceptions, for a period of 90 days after the date of the underwriting agreement, not to offer, sell, contract to sell, pledge, grant any option to purchase, make any short sale or otherwise dispose of, directly or indirectly any shares of common stock or any securities convertible into or exchangeable for our common stock either owned as of the date of the underwriting agreement or thereafter acquired without the prior written consent of the representative. The representative may, in its sole discretion and at any time or from time to time before the termination of the lock-up period, without notice, release all or any portion of the securities subject to lock-up agreements.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7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are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92"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shares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underwriters may also engage in passive market making transactions in our common stock. Passive market making may stabilize the market price of the common stock at a level above that which might otherwise prevail in the open market and, if commenced, may be discontinued at any time.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Neither we nor the underwriters make any representation or prediction as to the direction or magnitude of any effect that the transactions described above may have on the price of the common stock. In addition, neither we nor the underwriters make any representations that the underwriters will engage in these stabilizing transactions or that any transaction, once commenced, will not be discontinued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prospectus in electronic format may be made available on websites or through other online services maintained by an underwriter, or by their affiliates. Other than this prospectus in electronic format, the information on each underwriter’s website and any information contained in any other website maintained by an underwriter is not part of this prospectus or the registration statement of which this prospectus form a part, has not been approved and/or endorsed by us or any of the underwriters in their capacity as underwriters, and should not be relied upon by investors.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Relationships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From time to time, each underwriter and/or their respective affiliates have provided, and may in the future provide, various investment banking and other financial services for us for which services they have received and, may in the future receive, customary fees. In the course of their businesses, each underwriter and their respective affiliates may actively trade our securities or loans for their own account or for the accounts of customers, and, accordingly, an underwriter and its affiliates may at any time hold long or short positions in such securities or loans. Specifically, Chardan Capital Markets, LLC (“Chardan”), directly or through affiliates has provided, and continues to provide, services and financing arrangements to us,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ChEF Equity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Consistent with the equity facility letter agreement between Legacy Dragonfly and affiliates of Chardan, CCM 5, we and CCM entered into the Purchase Agreement and the ChEF RRA in connection with the Closing. In addition, we appointed LifeSci Capital, LLC as “qualified independent underwriter” with respect to the transactions contemplated by the Purchase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May 24, 2023, we have sold 98,500 shares under the ChEF Equity Facility for aggregate net proceeds to us of $670,593.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regarding the foregoing transactions and our relationship with Chardan, see “Certain Relationships and Related Transactions, and Director Independence – Business Combination Agreement” and “– Debt Financing.”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for services provided in connection with this offering or described herein,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7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NOTICE TO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shares of common stock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8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particular, this document does not constitute an approved prospectus in accordance with European Commission’s Regulation on Prospectuses no. 809/2004 and no such prospectus is to be prepared and approved in connection with this offering. Accordingly, in relation to each Member State of the European Economic Area which has implemented the Prospectus Directive (being the Directive of the European Parliament and of the Council 2003/71/EC and including any relevant implementing measure in each Relevant Member State) (each, a Relevant Member State), with effect from and including the date on which the Prospectus Directive is implemented in that Relevant Member State (the Relevant Implementation Date) an offer of securities to the public may not be made in that Relevant Member State prior to the publication of a prospectus in relation to such securities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securities to the public in that Relevant Member State at any time:</w:t>
      </w:r>
    </w:p>
    <w:p>
      <w:pPr>
        <w:spacing w:after="0" w:line="166" w:lineRule="exact"/>
        <w:rPr>
          <w:sz w:val="20"/>
          <w:szCs w:val="20"/>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the last annual or consolidated accounts; or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purposes of this provision, the expression an “offer of securities to the public” in relation to any of the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For these purposes the shares offered hereby are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validity of the securities offered hereby will be passed upon for us by Parsons Behle &amp; Latimer, Reno, Nevada and Lowenstein Sandler LLP, New York, New York. The underwriters are being represented by Duane Morris LLP, New York, New York, in connection with this offering.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Borders>
              <w:bottom w:val="single" w:sz="8" w:color="0000EE"/>
            </w:tcBorders>
            <w:gridSpan w:val="3"/>
            <w:shd w:val="clear" w:color="auto" w:fill="CCECFF"/>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4840" w:type="dxa"/>
            <w:vAlign w:val="bottom"/>
            <w:tcBorders>
              <w:bottom w:val="single" w:sz="8" w:color="CCECFF"/>
            </w:tcBorders>
            <w:gridSpan w:val="8"/>
            <w:shd w:val="clear" w:color="auto" w:fill="CCECFF"/>
          </w:tcPr>
          <w:p>
            <w:pPr>
              <w:spacing w:after="0"/>
              <w:rPr>
                <w:sz w:val="19"/>
                <w:szCs w:val="19"/>
                <w:color w:val="auto"/>
              </w:rPr>
            </w:pPr>
          </w:p>
        </w:tc>
        <w:tc>
          <w:tcPr>
            <w:tcW w:w="2180" w:type="dxa"/>
            <w:vAlign w:val="bottom"/>
            <w:tcBorders>
              <w:bottom w:val="single" w:sz="8" w:color="CCECFF"/>
            </w:tcBorders>
            <w:shd w:val="clear" w:color="auto" w:fill="CCECFF"/>
          </w:tcPr>
          <w:p>
            <w:pPr>
              <w:jc w:val="center"/>
              <w:ind w:left="1450"/>
              <w:spacing w:after="0"/>
              <w:rPr>
                <w:sz w:val="20"/>
                <w:szCs w:val="20"/>
                <w:color w:val="auto"/>
              </w:rPr>
            </w:pPr>
            <w:r>
              <w:rPr>
                <w:rFonts w:ascii="Arial" w:cs="Arial" w:eastAsia="Arial" w:hAnsi="Arial"/>
                <w:sz w:val="18"/>
                <w:szCs w:val="18"/>
                <w:color w:val="auto"/>
                <w:w w:val="88"/>
              </w:rPr>
              <w:t>F-2</w:t>
            </w:r>
          </w:p>
        </w:tc>
      </w:tr>
      <w:tr>
        <w:trPr>
          <w:trHeight w:val="176"/>
        </w:trPr>
        <w:tc>
          <w:tcPr>
            <w:tcW w:w="9060" w:type="dxa"/>
            <w:vAlign w:val="bottom"/>
            <w:gridSpan w:val="11"/>
          </w:tcPr>
          <w:p>
            <w:pPr>
              <w:spacing w:after="0" w:line="176" w:lineRule="exact"/>
              <w:rPr>
                <w:sz w:val="20"/>
                <w:szCs w:val="20"/>
                <w:color w:val="auto"/>
              </w:rPr>
            </w:pPr>
            <w:r>
              <w:rPr>
                <w:rFonts w:ascii="Arial" w:cs="Arial" w:eastAsia="Arial" w:hAnsi="Arial"/>
                <w:sz w:val="18"/>
                <w:szCs w:val="18"/>
                <w:color w:val="0000EE"/>
              </w:rPr>
              <w:t>Consolidated Balance Sheets as of December 31, 2022 and 2021</w:t>
            </w:r>
          </w:p>
        </w:tc>
        <w:tc>
          <w:tcPr>
            <w:tcW w:w="2180" w:type="dxa"/>
            <w:vAlign w:val="bottom"/>
          </w:tcPr>
          <w:p>
            <w:pPr>
              <w:jc w:val="center"/>
              <w:ind w:left="1450"/>
              <w:spacing w:after="0" w:line="176" w:lineRule="exact"/>
              <w:rPr>
                <w:sz w:val="20"/>
                <w:szCs w:val="20"/>
                <w:color w:val="auto"/>
              </w:rPr>
            </w:pPr>
            <w:r>
              <w:rPr>
                <w:rFonts w:ascii="Arial" w:cs="Arial" w:eastAsia="Arial" w:hAnsi="Arial"/>
                <w:sz w:val="18"/>
                <w:szCs w:val="18"/>
                <w:color w:val="auto"/>
                <w:w w:val="88"/>
              </w:rPr>
              <w:t>F-3</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9060" w:type="dxa"/>
            <w:vAlign w:val="bottom"/>
            <w:gridSpan w:val="11"/>
            <w:shd w:val="clear" w:color="auto" w:fill="CCECFF"/>
          </w:tcPr>
          <w:p>
            <w:pPr>
              <w:spacing w:after="0" w:line="176" w:lineRule="exact"/>
              <w:rPr>
                <w:sz w:val="20"/>
                <w:szCs w:val="20"/>
                <w:color w:val="auto"/>
              </w:rPr>
            </w:pPr>
            <w:r>
              <w:rPr>
                <w:rFonts w:ascii="Arial" w:cs="Arial" w:eastAsia="Arial" w:hAnsi="Arial"/>
                <w:sz w:val="18"/>
                <w:szCs w:val="18"/>
                <w:color w:val="0000EE"/>
              </w:rPr>
              <w:t>Consolidated Statements of Operations for the years ended December 31, 2022 and 2021</w:t>
            </w:r>
          </w:p>
        </w:tc>
        <w:tc>
          <w:tcPr>
            <w:tcW w:w="2180" w:type="dxa"/>
            <w:vAlign w:val="bottom"/>
            <w:shd w:val="clear" w:color="auto" w:fill="CCECFF"/>
          </w:tcPr>
          <w:p>
            <w:pPr>
              <w:jc w:val="center"/>
              <w:ind w:left="1450"/>
              <w:spacing w:after="0" w:line="176" w:lineRule="exact"/>
              <w:rPr>
                <w:sz w:val="20"/>
                <w:szCs w:val="20"/>
                <w:color w:val="auto"/>
              </w:rPr>
            </w:pPr>
            <w:r>
              <w:rPr>
                <w:rFonts w:ascii="Arial" w:cs="Arial" w:eastAsia="Arial" w:hAnsi="Arial"/>
                <w:sz w:val="18"/>
                <w:szCs w:val="18"/>
                <w:color w:val="auto"/>
                <w:w w:val="88"/>
              </w:rPr>
              <w:t>F-4</w:t>
            </w:r>
          </w:p>
        </w:tc>
      </w:tr>
      <w:tr>
        <w:trPr>
          <w:trHeight w:val="20"/>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800" w:type="dxa"/>
            <w:vAlign w:val="bottom"/>
            <w:tcBorders>
              <w:top w:val="single" w:sz="8" w:color="0000EE"/>
            </w:tcBorders>
            <w:shd w:val="clear" w:color="auto" w:fill="CCECFF"/>
          </w:tcPr>
          <w:p>
            <w:pPr>
              <w:spacing w:after="0" w:line="20" w:lineRule="exact"/>
              <w:rPr>
                <w:sz w:val="1"/>
                <w:szCs w:val="1"/>
                <w:color w:val="auto"/>
              </w:rPr>
            </w:pPr>
          </w:p>
        </w:tc>
        <w:tc>
          <w:tcPr>
            <w:tcW w:w="1260" w:type="dxa"/>
            <w:vAlign w:val="bottom"/>
            <w:tcBorders>
              <w:top w:val="single" w:sz="8" w:color="0000EE"/>
            </w:tcBorders>
            <w:shd w:val="clear" w:color="auto" w:fill="CCECFF"/>
          </w:tcPr>
          <w:p>
            <w:pPr>
              <w:spacing w:after="0" w:line="20" w:lineRule="exact"/>
              <w:rPr>
                <w:sz w:val="1"/>
                <w:szCs w:val="1"/>
                <w:color w:val="auto"/>
              </w:rPr>
            </w:pPr>
          </w:p>
        </w:tc>
        <w:tc>
          <w:tcPr>
            <w:tcW w:w="440" w:type="dxa"/>
            <w:vAlign w:val="bottom"/>
            <w:tcBorders>
              <w:top w:val="single" w:sz="8" w:color="0000EE"/>
            </w:tcBorders>
            <w:shd w:val="clear" w:color="auto" w:fill="CCECFF"/>
          </w:tcPr>
          <w:p>
            <w:pPr>
              <w:spacing w:after="0" w:line="20" w:lineRule="exact"/>
              <w:rPr>
                <w:sz w:val="1"/>
                <w:szCs w:val="1"/>
                <w:color w:val="auto"/>
              </w:rPr>
            </w:pPr>
          </w:p>
        </w:tc>
        <w:tc>
          <w:tcPr>
            <w:tcW w:w="800" w:type="dxa"/>
            <w:vAlign w:val="bottom"/>
            <w:tcBorders>
              <w:top w:val="single" w:sz="8" w:color="0000EE"/>
            </w:tcBorders>
            <w:shd w:val="clear" w:color="auto" w:fill="CCECFF"/>
          </w:tcPr>
          <w:p>
            <w:pPr>
              <w:spacing w:after="0" w:line="20" w:lineRule="exact"/>
              <w:rPr>
                <w:sz w:val="1"/>
                <w:szCs w:val="1"/>
                <w:color w:val="auto"/>
              </w:rPr>
            </w:pPr>
          </w:p>
        </w:tc>
        <w:tc>
          <w:tcPr>
            <w:tcW w:w="940" w:type="dxa"/>
            <w:vAlign w:val="bottom"/>
            <w:tcBorders>
              <w:top w:val="single" w:sz="8" w:color="0000EE"/>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1080" w:type="dxa"/>
            <w:vAlign w:val="bottom"/>
            <w:tcBorders>
              <w:top w:val="single" w:sz="8" w:color="CCECFF"/>
            </w:tcBorders>
            <w:shd w:val="clear" w:color="auto" w:fill="CCECFF"/>
          </w:tcPr>
          <w:p>
            <w:pPr>
              <w:spacing w:after="0" w:line="20" w:lineRule="exact"/>
              <w:rPr>
                <w:sz w:val="1"/>
                <w:szCs w:val="1"/>
                <w:color w:val="auto"/>
              </w:rPr>
            </w:pPr>
          </w:p>
        </w:tc>
        <w:tc>
          <w:tcPr>
            <w:tcW w:w="2180" w:type="dxa"/>
            <w:vAlign w:val="bottom"/>
            <w:tcBorders>
              <w:top w:val="single" w:sz="8" w:color="CCECFF"/>
            </w:tcBorders>
            <w:shd w:val="clear" w:color="auto" w:fill="CCECFF"/>
          </w:tcPr>
          <w:p>
            <w:pPr>
              <w:spacing w:after="0" w:line="20" w:lineRule="exact"/>
              <w:rPr>
                <w:sz w:val="1"/>
                <w:szCs w:val="1"/>
                <w:color w:val="auto"/>
              </w:rPr>
            </w:pPr>
          </w:p>
        </w:tc>
      </w:tr>
      <w:tr>
        <w:trPr>
          <w:trHeight w:val="176"/>
        </w:trPr>
        <w:tc>
          <w:tcPr>
            <w:tcW w:w="9060" w:type="dxa"/>
            <w:vAlign w:val="bottom"/>
            <w:gridSpan w:val="11"/>
          </w:tcPr>
          <w:p>
            <w:pPr>
              <w:spacing w:after="0" w:line="176" w:lineRule="exact"/>
              <w:rPr>
                <w:sz w:val="20"/>
                <w:szCs w:val="20"/>
                <w:color w:val="auto"/>
              </w:rPr>
            </w:pPr>
            <w:r>
              <w:rPr>
                <w:rFonts w:ascii="Arial" w:cs="Arial" w:eastAsia="Arial" w:hAnsi="Arial"/>
                <w:sz w:val="18"/>
                <w:szCs w:val="18"/>
                <w:color w:val="0000EE"/>
              </w:rPr>
              <w:t>Consolidated Statements of Changes in Stockholders’ Equity for the years ended December 31, 2022 and 2021</w:t>
            </w:r>
          </w:p>
        </w:tc>
        <w:tc>
          <w:tcPr>
            <w:tcW w:w="2180" w:type="dxa"/>
            <w:vAlign w:val="bottom"/>
          </w:tcPr>
          <w:p>
            <w:pPr>
              <w:jc w:val="center"/>
              <w:ind w:left="1450"/>
              <w:spacing w:after="0" w:line="176" w:lineRule="exact"/>
              <w:rPr>
                <w:sz w:val="20"/>
                <w:szCs w:val="20"/>
                <w:color w:val="auto"/>
              </w:rPr>
            </w:pPr>
            <w:r>
              <w:rPr>
                <w:rFonts w:ascii="Arial" w:cs="Arial" w:eastAsia="Arial" w:hAnsi="Arial"/>
                <w:sz w:val="18"/>
                <w:szCs w:val="18"/>
                <w:color w:val="auto"/>
                <w:w w:val="88"/>
              </w:rPr>
              <w:t>F-5</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6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Statements of Cash Flows for the years ended December 31, 2022 and 2021</w:t>
            </w:r>
          </w:p>
        </w:tc>
        <w:tc>
          <w:tcPr>
            <w:tcW w:w="2180" w:type="dxa"/>
            <w:vAlign w:val="bottom"/>
            <w:shd w:val="clear" w:color="auto" w:fill="CCEEFF"/>
          </w:tcPr>
          <w:p>
            <w:pPr>
              <w:jc w:val="center"/>
              <w:ind w:left="1450"/>
              <w:spacing w:after="0" w:line="176" w:lineRule="exact"/>
              <w:rPr>
                <w:sz w:val="20"/>
                <w:szCs w:val="20"/>
                <w:color w:val="auto"/>
              </w:rPr>
            </w:pPr>
            <w:r>
              <w:rPr>
                <w:rFonts w:ascii="Arial" w:cs="Arial" w:eastAsia="Arial" w:hAnsi="Arial"/>
                <w:sz w:val="18"/>
                <w:szCs w:val="18"/>
                <w:color w:val="auto"/>
                <w:w w:val="88"/>
              </w:rPr>
              <w:t>F-6</w:t>
            </w:r>
          </w:p>
        </w:tc>
      </w:tr>
      <w:tr>
        <w:trPr>
          <w:trHeight w:val="175"/>
        </w:trPr>
        <w:tc>
          <w:tcPr>
            <w:tcW w:w="546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Notes to Financial Statements</w:t>
            </w:r>
          </w:p>
        </w:tc>
        <w:tc>
          <w:tcPr>
            <w:tcW w:w="3600" w:type="dxa"/>
            <w:vAlign w:val="bottom"/>
            <w:tcBorders>
              <w:top w:val="single" w:sz="8" w:color="CCEEFF"/>
            </w:tcBorders>
            <w:gridSpan w:val="6"/>
          </w:tcPr>
          <w:p>
            <w:pPr>
              <w:spacing w:after="0"/>
              <w:rPr>
                <w:sz w:val="15"/>
                <w:szCs w:val="15"/>
                <w:color w:val="auto"/>
              </w:rPr>
            </w:pPr>
          </w:p>
        </w:tc>
        <w:tc>
          <w:tcPr>
            <w:tcW w:w="2180" w:type="dxa"/>
            <w:vAlign w:val="bottom"/>
            <w:tcBorders>
              <w:top w:val="single" w:sz="8" w:color="CCEEFF"/>
            </w:tcBorders>
          </w:tcPr>
          <w:p>
            <w:pPr>
              <w:jc w:val="center"/>
              <w:ind w:left="1450"/>
              <w:spacing w:after="0" w:line="176" w:lineRule="exact"/>
              <w:rPr>
                <w:sz w:val="20"/>
                <w:szCs w:val="20"/>
                <w:color w:val="auto"/>
              </w:rPr>
            </w:pPr>
            <w:r>
              <w:rPr>
                <w:rFonts w:ascii="Arial" w:cs="Arial" w:eastAsia="Arial" w:hAnsi="Arial"/>
                <w:sz w:val="18"/>
                <w:szCs w:val="18"/>
                <w:color w:val="auto"/>
                <w:w w:val="88"/>
              </w:rPr>
              <w:t>F-7</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906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Unaudited Consolidated Balance Sheets as of March 31, 2023 (unaudited) and December 31, 2022</w:t>
            </w:r>
          </w:p>
        </w:tc>
        <w:tc>
          <w:tcPr>
            <w:tcW w:w="2180" w:type="dxa"/>
            <w:vAlign w:val="bottom"/>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91"/>
              </w:rPr>
              <w:t>F-33</w:t>
            </w:r>
          </w:p>
        </w:tc>
      </w:tr>
      <w:tr>
        <w:trPr>
          <w:trHeight w:val="20"/>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060" w:type="dxa"/>
            <w:vAlign w:val="bottom"/>
            <w:gridSpan w:val="11"/>
          </w:tcPr>
          <w:p>
            <w:pPr>
              <w:spacing w:after="0" w:line="176" w:lineRule="exact"/>
              <w:rPr>
                <w:sz w:val="20"/>
                <w:szCs w:val="20"/>
                <w:color w:val="auto"/>
              </w:rPr>
            </w:pPr>
            <w:r>
              <w:rPr>
                <w:rFonts w:ascii="Arial" w:cs="Arial" w:eastAsia="Arial" w:hAnsi="Arial"/>
                <w:sz w:val="18"/>
                <w:szCs w:val="18"/>
                <w:color w:val="0000EE"/>
              </w:rPr>
              <w:t>Unaudited Consolidated Statements of Operations for the three months ended March 31, 2023 and 2022</w:t>
            </w:r>
          </w:p>
        </w:tc>
        <w:tc>
          <w:tcPr>
            <w:tcW w:w="2180" w:type="dxa"/>
            <w:vAlign w:val="bottom"/>
          </w:tcPr>
          <w:p>
            <w:pPr>
              <w:jc w:val="center"/>
              <w:ind w:left="1430"/>
              <w:spacing w:after="0" w:line="176" w:lineRule="exact"/>
              <w:rPr>
                <w:sz w:val="20"/>
                <w:szCs w:val="20"/>
                <w:color w:val="auto"/>
              </w:rPr>
            </w:pPr>
            <w:r>
              <w:rPr>
                <w:rFonts w:ascii="Arial" w:cs="Arial" w:eastAsia="Arial" w:hAnsi="Arial"/>
                <w:sz w:val="18"/>
                <w:szCs w:val="18"/>
                <w:color w:val="auto"/>
                <w:w w:val="91"/>
              </w:rPr>
              <w:t>F-34</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1"/>
        </w:trPr>
        <w:tc>
          <w:tcPr>
            <w:tcW w:w="90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0"/>
              </w:rPr>
              <w:t>Unaudited Consolidated Statements of Changes in Stockholders’ Equity for the three months ended March 31, 2023 and 2022</w:t>
            </w:r>
          </w:p>
        </w:tc>
        <w:tc>
          <w:tcPr>
            <w:tcW w:w="218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91"/>
              </w:rPr>
              <w:t>F-35</w:t>
            </w:r>
          </w:p>
        </w:tc>
      </w:tr>
      <w:tr>
        <w:trPr>
          <w:trHeight w:val="175"/>
        </w:trPr>
        <w:tc>
          <w:tcPr>
            <w:tcW w:w="9060" w:type="dxa"/>
            <w:vAlign w:val="bottom"/>
            <w:tcBorders>
              <w:top w:val="single" w:sz="8" w:color="CCEEFF"/>
            </w:tcBorders>
            <w:gridSpan w:val="11"/>
          </w:tcPr>
          <w:p>
            <w:pPr>
              <w:spacing w:after="0" w:line="176" w:lineRule="exact"/>
              <w:rPr>
                <w:sz w:val="20"/>
                <w:szCs w:val="20"/>
                <w:color w:val="auto"/>
              </w:rPr>
            </w:pPr>
            <w:r>
              <w:rPr>
                <w:rFonts w:ascii="Arial" w:cs="Arial" w:eastAsia="Arial" w:hAnsi="Arial"/>
                <w:sz w:val="18"/>
                <w:szCs w:val="18"/>
                <w:color w:val="0000EE"/>
              </w:rPr>
              <w:t>Unaudited Statements of Cash Flows for the three months ended March 31, 2023 and 2022</w:t>
            </w:r>
          </w:p>
        </w:tc>
        <w:tc>
          <w:tcPr>
            <w:tcW w:w="2180" w:type="dxa"/>
            <w:vAlign w:val="bottom"/>
            <w:tcBorders>
              <w:top w:val="single" w:sz="8" w:color="CCEEFF"/>
            </w:tcBorders>
          </w:tcPr>
          <w:p>
            <w:pPr>
              <w:jc w:val="center"/>
              <w:ind w:left="1430"/>
              <w:spacing w:after="0" w:line="176" w:lineRule="exact"/>
              <w:rPr>
                <w:sz w:val="20"/>
                <w:szCs w:val="20"/>
                <w:color w:val="auto"/>
              </w:rPr>
            </w:pPr>
            <w:r>
              <w:rPr>
                <w:rFonts w:ascii="Arial" w:cs="Arial" w:eastAsia="Arial" w:hAnsi="Arial"/>
                <w:sz w:val="18"/>
                <w:szCs w:val="18"/>
                <w:color w:val="auto"/>
                <w:w w:val="91"/>
              </w:rPr>
              <w:t>F-36</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6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Financial Statements</w:t>
            </w:r>
          </w:p>
        </w:tc>
        <w:tc>
          <w:tcPr>
            <w:tcW w:w="2180" w:type="dxa"/>
            <w:vAlign w:val="bottom"/>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91"/>
              </w:rPr>
              <w:t>F-38</w:t>
            </w:r>
          </w:p>
        </w:tc>
      </w:tr>
      <w:tr>
        <w:trPr>
          <w:trHeight w:val="439"/>
        </w:trPr>
        <w:tc>
          <w:tcPr>
            <w:tcW w:w="21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600" w:type="dxa"/>
            <w:vAlign w:val="bottom"/>
            <w:tcBorders>
              <w:top w:val="single" w:sz="8" w:color="CCEEFF"/>
              <w:bottom w:val="single" w:sz="8" w:color="auto"/>
            </w:tcBorders>
            <w:gridSpan w:val="6"/>
          </w:tcPr>
          <w:p>
            <w:pPr>
              <w:ind w:left="40"/>
              <w:spacing w:after="0"/>
              <w:rPr>
                <w:sz w:val="20"/>
                <w:szCs w:val="20"/>
                <w:color w:val="auto"/>
              </w:rPr>
            </w:pPr>
            <w:r>
              <w:rPr>
                <w:rFonts w:ascii="Arial" w:cs="Arial" w:eastAsia="Arial" w:hAnsi="Arial"/>
                <w:sz w:val="18"/>
                <w:szCs w:val="18"/>
                <w:color w:val="auto"/>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17,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Cash</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17,781</w:t>
            </w:r>
          </w:p>
        </w:tc>
        <w:tc>
          <w:tcPr>
            <w:tcW w:w="2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25,586</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income tax</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42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73,489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66,081</w:t>
            </w:r>
          </w:p>
        </w:tc>
        <w:tc>
          <w:tcPr>
            <w:tcW w:w="100" w:type="dxa"/>
            <w:vAlign w:val="bottom"/>
            <w:tcBorders>
              <w:bottom w:val="single" w:sz="8" w:color="CCEEFF"/>
            </w:tcBorders>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furniture and equipment</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Vehicle</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7420" w:type="dxa"/>
            <w:vAlign w:val="bottom"/>
          </w:tcPr>
          <w:p>
            <w:pPr>
              <w:ind w:left="360"/>
              <w:spacing w:after="0" w:line="203" w:lineRule="exact"/>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12,393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5,318</w:t>
            </w:r>
          </w:p>
        </w:tc>
        <w:tc>
          <w:tcPr>
            <w:tcW w:w="100" w:type="dxa"/>
            <w:vAlign w:val="bottom"/>
          </w:tcPr>
          <w:p>
            <w:pPr>
              <w:spacing w:after="0"/>
              <w:rPr>
                <w:sz w:val="17"/>
                <w:szCs w:val="17"/>
                <w:color w:val="auto"/>
              </w:rPr>
            </w:pPr>
          </w:p>
        </w:tc>
      </w:tr>
      <w:tr>
        <w:trPr>
          <w:trHeight w:val="24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w:t>
            </w:r>
          </w:p>
        </w:tc>
      </w:tr>
      <w:tr>
        <w:trPr>
          <w:trHeight w:val="203"/>
        </w:trPr>
        <w:tc>
          <w:tcPr>
            <w:tcW w:w="74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10,760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4,461</w:t>
            </w:r>
          </w:p>
        </w:tc>
        <w:tc>
          <w:tcPr>
            <w:tcW w:w="100" w:type="dxa"/>
            <w:vAlign w:val="bottom"/>
            <w:tcBorders>
              <w:top w:val="single" w:sz="8" w:color="CCEEFF"/>
            </w:tcBorders>
          </w:tcPr>
          <w:p>
            <w:pPr>
              <w:spacing w:after="0"/>
              <w:rPr>
                <w:sz w:val="17"/>
                <w:szCs w:val="17"/>
                <w:color w:val="auto"/>
              </w:rPr>
            </w:pPr>
          </w:p>
        </w:tc>
      </w:tr>
      <w:tr>
        <w:trPr>
          <w:trHeight w:val="24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 of use asset</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88,762</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76,251</w:t>
            </w:r>
          </w:p>
        </w:tc>
        <w:tc>
          <w:tcPr>
            <w:tcW w:w="100" w:type="dxa"/>
            <w:vAlign w:val="bottom"/>
            <w:tcBorders>
              <w:bottom w:val="single" w:sz="8" w:color="CCEEFF"/>
            </w:tcBorders>
          </w:tcPr>
          <w:p>
            <w:pPr>
              <w:spacing w:after="0"/>
              <w:rPr>
                <w:sz w:val="22"/>
                <w:szCs w:val="22"/>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current portion, net of debt issuance costs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8"/>
                <w:szCs w:val="18"/>
                <w:color w:val="auto"/>
              </w:rPr>
            </w:pPr>
          </w:p>
        </w:tc>
      </w:tr>
      <w:tr>
        <w:trPr>
          <w:trHeight w:val="236"/>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20"/>
                <w:szCs w:val="20"/>
                <w:color w:val="auto"/>
              </w:rPr>
            </w:pPr>
          </w:p>
        </w:tc>
      </w:tr>
      <w:tr>
        <w:trPr>
          <w:trHeight w:val="236"/>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Long-Term Liabilities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payable-noncurrent, net of debt issuance costs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37,053</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Accrued expenses, long-term</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42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Long-Term Liabilities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42,200</w:t>
            </w:r>
          </w:p>
        </w:tc>
        <w:tc>
          <w:tcPr>
            <w:tcW w:w="100" w:type="dxa"/>
            <w:vAlign w:val="bottom"/>
            <w:tcBorders>
              <w:bottom w:val="single" w:sz="8" w:color="CCEEFF"/>
            </w:tcBorders>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60,190</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42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170,000,000 shares, $0.0001 par value, authorized, 43,272,728 and 36,496,998</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shares issued and outstanding as of December 31, 2022 and 2021, respectively</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02"/>
        </w:trPr>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5,000,000 shares, $0.0001 par value, authorized, no shares issued and</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2022 and 2021, respectively</w:t>
            </w:r>
          </w:p>
        </w:tc>
        <w:tc>
          <w:tcPr>
            <w:tcW w:w="10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r>
      <w:tr>
        <w:trPr>
          <w:trHeight w:val="25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 earnings</w:t>
            </w: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(27,133)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shd w:val="clear" w:color="auto" w:fill="CCEEFF"/>
          </w:tcPr>
          <w:p>
            <w:pPr>
              <w:spacing w:after="0"/>
              <w:rPr>
                <w:sz w:val="21"/>
                <w:szCs w:val="21"/>
                <w:color w:val="auto"/>
              </w:rPr>
            </w:pPr>
          </w:p>
        </w:tc>
      </w:tr>
      <w:tr>
        <w:trPr>
          <w:trHeight w:val="210"/>
        </w:trPr>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Equity</w:t>
            </w: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16,061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Cost of Goods Sold</w:t>
            </w: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62,247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48,375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(Loss) Income From Operations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Arial" w:cs="Arial" w:eastAsia="Arial" w:hAnsi="Arial"/>
                <w:sz w:val="18"/>
                <w:szCs w:val="18"/>
                <w:color w:val="auto"/>
              </w:rPr>
              <w:t>(6,945)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380" w:type="dxa"/>
            <w:vAlign w:val="bottom"/>
          </w:tcPr>
          <w:p>
            <w:pPr>
              <w:spacing w:after="0"/>
              <w:rPr>
                <w:sz w:val="20"/>
                <w:szCs w:val="20"/>
                <w:color w:val="auto"/>
              </w:rPr>
            </w:pPr>
          </w:p>
        </w:tc>
        <w:tc>
          <w:tcPr>
            <w:tcW w:w="1500" w:type="dxa"/>
            <w:vAlign w:val="bottom"/>
            <w:gridSpan w:val="2"/>
          </w:tcPr>
          <w:p>
            <w:pPr>
              <w:jc w:val="right"/>
              <w:ind w:right="61"/>
              <w:spacing w:after="0"/>
              <w:rPr>
                <w:sz w:val="20"/>
                <w:szCs w:val="20"/>
                <w:color w:val="auto"/>
              </w:rPr>
            </w:pPr>
            <w:r>
              <w:rPr>
                <w:rFonts w:ascii="Arial" w:cs="Arial" w:eastAsia="Arial" w:hAnsi="Arial"/>
                <w:sz w:val="18"/>
                <w:szCs w:val="18"/>
                <w:color w:val="auto"/>
              </w:rPr>
              <w:t>(4,824)</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Income Before Taxes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(40,280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(39,571</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(Loss) Earnings Per Share – Basic</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20" w:type="dxa"/>
            <w:vAlign w:val="bottom"/>
          </w:tcPr>
          <w:p>
            <w:pPr>
              <w:spacing w:after="0" w:line="196" w:lineRule="exact"/>
              <w:rPr>
                <w:sz w:val="20"/>
                <w:szCs w:val="20"/>
                <w:color w:val="auto"/>
              </w:rPr>
            </w:pPr>
            <w:r>
              <w:rPr>
                <w:rFonts w:ascii="Arial" w:cs="Arial" w:eastAsia="Arial" w:hAnsi="Arial"/>
                <w:sz w:val="18"/>
                <w:szCs w:val="18"/>
                <w:color w:val="auto"/>
              </w:rPr>
              <w:t>(Loss) Earnings Per Share – Diluted</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38,565,307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35,579,137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 Diluted</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38,565,307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37,742,337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60" w:type="dxa"/>
            <w:vAlign w:val="bottom"/>
            <w:gridSpan w:val="3"/>
          </w:tcPr>
          <w:p>
            <w:pPr>
              <w:ind w:left="520"/>
              <w:spacing w:after="0"/>
              <w:rPr>
                <w:sz w:val="20"/>
                <w:szCs w:val="20"/>
                <w:color w:val="auto"/>
              </w:rPr>
            </w:pPr>
            <w:r>
              <w:rPr>
                <w:rFonts w:ascii="Arial" w:cs="Arial" w:eastAsia="Arial" w:hAnsi="Arial"/>
                <w:sz w:val="18"/>
                <w:szCs w:val="18"/>
                <w:b w:val="1"/>
                <w:bCs w:val="1"/>
                <w:color w:val="auto"/>
                <w:w w:val="86"/>
              </w:rPr>
              <w:t>Redeemable</w:t>
            </w: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7"/>
                <w:szCs w:val="17"/>
                <w:color w:val="auto"/>
              </w:rPr>
            </w:pPr>
          </w:p>
        </w:tc>
        <w:tc>
          <w:tcPr>
            <w:tcW w:w="88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900" w:type="dxa"/>
            <w:vAlign w:val="bottom"/>
          </w:tcPr>
          <w:p>
            <w:pPr>
              <w:spacing w:after="0"/>
              <w:rPr>
                <w:sz w:val="20"/>
                <w:szCs w:val="20"/>
                <w:color w:val="auto"/>
              </w:rPr>
            </w:pPr>
          </w:p>
        </w:tc>
        <w:tc>
          <w:tcPr>
            <w:tcW w:w="2080" w:type="dxa"/>
            <w:vAlign w:val="bottom"/>
            <w:tcBorders>
              <w:right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rPr>
              <w:t>Preferred Stock</w:t>
            </w:r>
          </w:p>
        </w:tc>
        <w:tc>
          <w:tcPr>
            <w:tcW w:w="180" w:type="dxa"/>
            <w:vAlign w:val="bottom"/>
          </w:tcPr>
          <w:p>
            <w:pPr>
              <w:spacing w:after="0"/>
              <w:rPr>
                <w:sz w:val="20"/>
                <w:szCs w:val="20"/>
                <w:color w:val="auto"/>
              </w:rPr>
            </w:pPr>
          </w:p>
        </w:tc>
        <w:tc>
          <w:tcPr>
            <w:tcW w:w="1660" w:type="dxa"/>
            <w:vAlign w:val="bottom"/>
            <w:gridSpan w:val="3"/>
          </w:tcPr>
          <w:p>
            <w:pPr>
              <w:ind w:left="340"/>
              <w:spacing w:after="0"/>
              <w:rPr>
                <w:sz w:val="20"/>
                <w:szCs w:val="20"/>
                <w:color w:val="auto"/>
              </w:rPr>
            </w:pPr>
            <w:r>
              <w:rPr>
                <w:rFonts w:ascii="Arial" w:cs="Arial" w:eastAsia="Arial" w:hAnsi="Arial"/>
                <w:sz w:val="18"/>
                <w:szCs w:val="18"/>
                <w:b w:val="1"/>
                <w:bCs w:val="1"/>
                <w:color w:val="auto"/>
                <w:w w:val="98"/>
              </w:rPr>
              <w:t>Common Stock</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Paid-In</w:t>
            </w: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9"/>
                <w:szCs w:val="19"/>
                <w:color w:val="auto"/>
              </w:rPr>
            </w:pPr>
          </w:p>
        </w:tc>
        <w:tc>
          <w:tcPr>
            <w:tcW w:w="880" w:type="dxa"/>
            <w:vAlign w:val="bottom"/>
            <w:gridSpan w:val="3"/>
          </w:tcPr>
          <w:p>
            <w:pPr>
              <w:jc w:val="center"/>
              <w:ind w:right="101"/>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39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20,040,470</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w:t>
            </w:r>
          </w:p>
        </w:tc>
      </w:tr>
      <w:tr>
        <w:trPr>
          <w:trHeight w:val="216"/>
        </w:trPr>
        <w:tc>
          <w:tcPr>
            <w:tcW w:w="39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Retroactive application of recapitalization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(10,000,000)</w:t>
            </w:r>
          </w:p>
        </w:tc>
        <w:tc>
          <w:tcPr>
            <w:tcW w:w="180" w:type="dxa"/>
            <w:vAlign w:val="bottom"/>
            <w:shd w:val="clear" w:color="auto" w:fill="CCEEFF"/>
          </w:tcPr>
          <w:p>
            <w:pPr>
              <w:spacing w:after="0"/>
              <w:rPr>
                <w:sz w:val="21"/>
                <w:szCs w:val="21"/>
                <w:color w:val="auto"/>
              </w:rPr>
            </w:pPr>
          </w:p>
        </w:tc>
        <w:tc>
          <w:tcPr>
            <w:tcW w:w="6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(2,000)</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15,469,477</w:t>
            </w: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03"/>
        </w:trPr>
        <w:tc>
          <w:tcPr>
            <w:tcW w:w="3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balance, beginning of period</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35,509,947</w:t>
            </w:r>
          </w:p>
        </w:tc>
        <w:tc>
          <w:tcPr>
            <w:tcW w:w="3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3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2,451</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8,100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10,555</w:t>
            </w:r>
          </w:p>
        </w:tc>
        <w:tc>
          <w:tcPr>
            <w:tcW w:w="100" w:type="dxa"/>
            <w:vAlign w:val="bottom"/>
            <w:tcBorders>
              <w:top w:val="single" w:sz="8" w:color="CCEEFF"/>
            </w:tcBorders>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r>
      <w:tr>
        <w:trPr>
          <w:trHeight w:val="23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987,051</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39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2021</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36,496,998</w:t>
            </w: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12,438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Balance -January 1, 2022, after giving effect to</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recapitalization</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36,496,998</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12,438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r>
      <w:tr>
        <w:trPr>
          <w:trHeight w:val="216"/>
        </w:trPr>
        <w:tc>
          <w:tcPr>
            <w:tcW w:w="3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(39,571)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(39,571)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 purchase agreement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1,498,301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581,351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w w:val="93"/>
              </w:rPr>
              <w:t>Reverse capitalization, net of transaction costs (See</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Note 3)</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4,238,936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liability classified warrants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457,142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16,669</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2,467</w:t>
            </w:r>
          </w:p>
        </w:tc>
      </w:tr>
      <w:tr>
        <w:trPr>
          <w:trHeight w:val="23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43,272,728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(27,133</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Net (Loss) Income</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(39,571)</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extinguishment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(5,446)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(paid-in-kind)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Assumption of Warrant Liability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(22,719)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(21,179)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6"/>
        </w:trPr>
        <w:tc>
          <w:tcPr>
            <w:tcW w:w="7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Adjustments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(45,696</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(13,573</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(6,862)</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(2,909</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term loan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Repayment from note payable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(45,000)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(4,032)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purchase agreement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revolving note agreement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note agreement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41,674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38,906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Restricted Cash</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Beginning cash and restricted cash</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restricted cash</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3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2,252</w:t>
            </w:r>
          </w:p>
        </w:tc>
        <w:tc>
          <w:tcPr>
            <w:tcW w:w="2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Items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Receivable of options exercised</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13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Recognition of right of use asset obtained in exchange for operating lease liability</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Cashless exercise of liability classified warrants</w:t>
            </w:r>
          </w:p>
        </w:tc>
        <w:tc>
          <w:tcPr>
            <w:tcW w:w="13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Dragonfly Energy Holdings Corp. (“</w:t>
      </w:r>
      <w:r>
        <w:rPr>
          <w:rFonts w:ascii="Arial" w:cs="Arial" w:eastAsia="Arial" w:hAnsi="Arial"/>
          <w:sz w:val="18"/>
          <w:szCs w:val="18"/>
          <w:b w:val="1"/>
          <w:bCs w:val="1"/>
          <w:color w:val="auto"/>
        </w:rPr>
        <w:t>New Dragonfly</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October 7, 2022, a merger transaction between Chardan NexTech Acquisition 2 Corporation (“</w:t>
      </w:r>
      <w:r>
        <w:rPr>
          <w:rFonts w:ascii="Arial" w:cs="Arial" w:eastAsia="Arial" w:hAnsi="Arial"/>
          <w:sz w:val="16"/>
          <w:szCs w:val="16"/>
          <w:b w:val="1"/>
          <w:bCs w:val="1"/>
          <w:color w:val="auto"/>
        </w:rPr>
        <w:t>CNTQ</w:t>
      </w:r>
      <w:r>
        <w:rPr>
          <w:rFonts w:ascii="Arial" w:cs="Arial" w:eastAsia="Arial" w:hAnsi="Arial"/>
          <w:sz w:val="16"/>
          <w:szCs w:val="16"/>
          <w:color w:val="auto"/>
        </w:rPr>
        <w:t>”), Dragonfly Energy Corp. (“</w:t>
      </w:r>
      <w:r>
        <w:rPr>
          <w:rFonts w:ascii="Arial" w:cs="Arial" w:eastAsia="Arial" w:hAnsi="Arial"/>
          <w:sz w:val="16"/>
          <w:szCs w:val="16"/>
          <w:b w:val="1"/>
          <w:bCs w:val="1"/>
          <w:color w:val="auto"/>
        </w:rPr>
        <w:t>Legacy</w:t>
      </w:r>
      <w:r>
        <w:rPr>
          <w:rFonts w:ascii="Arial" w:cs="Arial" w:eastAsia="Arial" w:hAnsi="Arial"/>
          <w:sz w:val="16"/>
          <w:szCs w:val="16"/>
          <w:color w:val="auto"/>
        </w:rPr>
        <w:t xml:space="preserve"> </w:t>
      </w:r>
      <w:r>
        <w:rPr>
          <w:rFonts w:ascii="Arial" w:cs="Arial" w:eastAsia="Arial" w:hAnsi="Arial"/>
          <w:sz w:val="16"/>
          <w:szCs w:val="16"/>
          <w:b w:val="1"/>
          <w:bCs w:val="1"/>
          <w:color w:val="auto"/>
        </w:rPr>
        <w:t>Dragonfly</w:t>
      </w:r>
      <w:r>
        <w:rPr>
          <w:rFonts w:ascii="Arial" w:cs="Arial" w:eastAsia="Arial" w:hAnsi="Arial"/>
          <w:sz w:val="16"/>
          <w:szCs w:val="16"/>
          <w:color w:val="auto"/>
        </w:rPr>
        <w:t>”), and Bronco Merger Sub, Inc. (“</w:t>
      </w:r>
      <w:r>
        <w:rPr>
          <w:rFonts w:ascii="Arial" w:cs="Arial" w:eastAsia="Arial" w:hAnsi="Arial"/>
          <w:sz w:val="16"/>
          <w:szCs w:val="16"/>
          <w:b w:val="1"/>
          <w:bCs w:val="1"/>
          <w:color w:val="auto"/>
        </w:rPr>
        <w:t>Merger Sub</w:t>
      </w:r>
      <w:r>
        <w:rPr>
          <w:rFonts w:ascii="Arial" w:cs="Arial" w:eastAsia="Arial" w:hAnsi="Arial"/>
          <w:sz w:val="16"/>
          <w:szCs w:val="16"/>
          <w:color w:val="auto"/>
        </w:rPr>
        <w:t>”) was completed pursuant to which Merger Sub was merged with and into Legacy Dragonfly,</w:t>
      </w:r>
      <w:r>
        <w:rPr>
          <w:rFonts w:ascii="Arial" w:cs="Arial" w:eastAsia="Arial" w:hAnsi="Arial"/>
          <w:sz w:val="16"/>
          <w:szCs w:val="16"/>
          <w:b w:val="1"/>
          <w:bCs w:val="1"/>
          <w:color w:val="auto"/>
        </w:rPr>
        <w:t xml:space="preserve"> </w:t>
      </w:r>
      <w:r>
        <w:rPr>
          <w:rFonts w:ascii="Arial" w:cs="Arial" w:eastAsia="Arial" w:hAnsi="Arial"/>
          <w:sz w:val="16"/>
          <w:szCs w:val="16"/>
          <w:color w:val="auto"/>
        </w:rPr>
        <w:t>with Legacy Dragonfly surviving the merger. As a result of the merger, Legacy Dragonfly became a wholly owned subsidiary of New Dragonfly.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Arial" w:cs="Arial" w:eastAsia="Arial" w:hAnsi="Arial"/>
          <w:sz w:val="17"/>
          <w:szCs w:val="17"/>
          <w:i w:val="1"/>
          <w:iCs w:val="1"/>
          <w:color w:val="auto"/>
        </w:rPr>
        <w:t>Note 3 – Reverse Capitalization</w:t>
      </w:r>
      <w:r>
        <w:rPr>
          <w:rFonts w:ascii="Arial" w:cs="Arial" w:eastAsia="Arial" w:hAnsi="Arial"/>
          <w:sz w:val="17"/>
          <w:szCs w:val="17"/>
          <w:color w:val="auto"/>
        </w:rPr>
        <w:t xml:space="preserve"> for further details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and related notes have been prepared pursuant to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in accordance with generally accepted accounting principles generally accepted in the United States of America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GAAP</w:t>
      </w:r>
      <w:r>
        <w:rPr>
          <w:rFonts w:ascii="Arial" w:cs="Arial" w:eastAsia="Arial" w:hAnsi="Arial"/>
          <w:sz w:val="18"/>
          <w:szCs w:val="18"/>
          <w:color w:val="auto"/>
        </w:rPr>
        <w:t>”) and present the consolidated financial statements of the Company and its wholly owned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the Company incurred losses and had a negative cash flow from operations. As of December 31, 2022, the Company had $17,781 in cash and cash equivalents and working capital of $32,923. The Company’s ability to achieve profitability and positive cash flow depends on its ability to increase revenue, contain its expenses and maintain compliance with the financial covenants in its outstanding indebtedness agreements.</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connection with the Company’s senior secured term loan facility in an aggregate principal amount of $75,000 (the “</w:t>
      </w:r>
      <w:r>
        <w:rPr>
          <w:rFonts w:ascii="Arial" w:cs="Arial" w:eastAsia="Arial" w:hAnsi="Arial"/>
          <w:sz w:val="16"/>
          <w:szCs w:val="16"/>
          <w:b w:val="1"/>
          <w:bCs w:val="1"/>
          <w:color w:val="auto"/>
        </w:rPr>
        <w:t>Term Loan</w:t>
      </w:r>
      <w:r>
        <w:rPr>
          <w:rFonts w:ascii="Arial" w:cs="Arial" w:eastAsia="Arial" w:hAnsi="Arial"/>
          <w:sz w:val="16"/>
          <w:szCs w:val="16"/>
          <w:color w:val="auto"/>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2021,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18"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w:t>
      </w:r>
      <w:r>
        <w:rPr>
          <w:rFonts w:ascii="Arial" w:cs="Arial" w:eastAsia="Arial" w:hAnsi="Arial"/>
          <w:sz w:val="17"/>
          <w:szCs w:val="17"/>
          <w:color w:val="auto"/>
        </w:rPr>
        <w:t>(“</w:t>
      </w:r>
      <w:r>
        <w:rPr>
          <w:rFonts w:ascii="Arial" w:cs="Arial" w:eastAsia="Arial" w:hAnsi="Arial"/>
          <w:sz w:val="17"/>
          <w:szCs w:val="17"/>
          <w:b w:val="1"/>
          <w:bCs w:val="1"/>
          <w:color w:val="auto"/>
        </w:rPr>
        <w:t>ASU 2020-06</w:t>
      </w:r>
      <w:r>
        <w:rPr>
          <w:rFonts w:ascii="Arial" w:cs="Arial" w:eastAsia="Arial" w:hAnsi="Arial"/>
          <w:sz w:val="17"/>
          <w:szCs w:val="17"/>
          <w:color w:val="auto"/>
        </w:rPr>
        <w:t>”) to simplify accounting for certain financial instruments. ASU 2020-06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Restricted 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debt securities purchased with a maturity of three months or less to be cash equivalents. There were no cash equivalents as of December 31, 2022 or 2021. The Company also maintained a restricted cash balance to satisfy its note payable requirements as of December 31, 2021 (Refer to Note 7). There were no restricted cash balances as of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30-60 days of the invoice date and the contracts do not have significant financing components. Trade accounts receivables are recorded gross and are net of any applicable allowance. The Company has an allowance for doubtful accounts as of December 31, 2022 and 2021 of $90 and $50,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$891 and $617, respectively. The various classes of property and equipment and estimated useful lives are as follows:</w:t>
      </w:r>
    </w:p>
    <w:p>
      <w:pPr>
        <w:sectPr>
          <w:pgSz w:w="11900" w:h="16838" w:orient="portrait"/>
          <w:cols w:equalWidth="0" w:num="1">
            <w:col w:w="11240"/>
          </w:cols>
          <w:pgMar w:left="320" w:top="688"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Office furniture and equipment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100"/>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Machinery and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740"/>
        <w:spacing w:after="0"/>
        <w:rPr>
          <w:sz w:val="20"/>
          <w:szCs w:val="20"/>
          <w:color w:val="auto"/>
        </w:rPr>
      </w:pPr>
      <w:r>
        <w:rPr>
          <w:rFonts w:ascii="Arial" w:cs="Arial" w:eastAsia="Arial" w:hAnsi="Arial"/>
          <w:sz w:val="16"/>
          <w:szCs w:val="16"/>
          <w:color w:val="auto"/>
        </w:rPr>
        <w:t>Remaining Term of Lease</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Arial" w:cs="Arial" w:eastAsia="Arial" w:hAnsi="Arial"/>
          <w:sz w:val="18"/>
          <w:szCs w:val="18"/>
          <w:b w:val="1"/>
          <w:bCs w:val="1"/>
          <w:color w:val="auto"/>
        </w:rPr>
        <w:t>ASC 480</w:t>
      </w:r>
      <w:r>
        <w:rPr>
          <w:rFonts w:ascii="Arial" w:cs="Arial" w:eastAsia="Arial" w:hAnsi="Arial"/>
          <w:sz w:val="18"/>
          <w:szCs w:val="18"/>
          <w:color w:val="auto"/>
        </w:rPr>
        <w:t>”), and ASC 815, Derivatives and Hedging (“</w:t>
      </w:r>
      <w:r>
        <w:rPr>
          <w:rFonts w:ascii="Arial" w:cs="Arial" w:eastAsia="Arial" w:hAnsi="Arial"/>
          <w:sz w:val="18"/>
          <w:szCs w:val="18"/>
          <w:b w:val="1"/>
          <w:bCs w:val="1"/>
          <w:color w:val="auto"/>
        </w:rPr>
        <w:t>ASC 815</w:t>
      </w:r>
      <w:r>
        <w:rPr>
          <w:rFonts w:ascii="Arial" w:cs="Arial" w:eastAsia="Arial" w:hAnsi="Arial"/>
          <w:sz w:val="18"/>
          <w:szCs w:val="18"/>
          <w:color w:val="auto"/>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 and 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December 31, 2022 and 2021, the contract liability related to the Company’s customer deposits approximated $238 and $434,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Disaggregation of Revenue:</w:t>
            </w: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200" w:type="dxa"/>
            <w:vAlign w:val="bottom"/>
            <w:gridSpan w:val="2"/>
          </w:tcPr>
          <w:p>
            <w:pPr>
              <w:spacing w:after="0"/>
              <w:rPr>
                <w:sz w:val="20"/>
                <w:szCs w:val="20"/>
                <w:color w:val="auto"/>
              </w:rPr>
            </w:pPr>
            <w:r>
              <w:rPr>
                <w:rFonts w:ascii="Arial" w:cs="Arial" w:eastAsia="Arial" w:hAnsi="Arial"/>
                <w:sz w:val="18"/>
                <w:szCs w:val="18"/>
                <w:color w:val="auto"/>
              </w:rPr>
              <w:t>The following table present our disaggregated revenues by distribution channel:</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Sales</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59,042</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Distributor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10,733</w:t>
            </w:r>
          </w:p>
        </w:tc>
        <w:tc>
          <w:tcPr>
            <w:tcW w:w="100" w:type="dxa"/>
            <w:vAlign w:val="bottom"/>
          </w:tcPr>
          <w:p>
            <w:pPr>
              <w:spacing w:after="0"/>
              <w:rPr>
                <w:sz w:val="18"/>
                <w:szCs w:val="18"/>
                <w:color w:val="auto"/>
              </w:rPr>
            </w:pPr>
          </w:p>
        </w:tc>
      </w:tr>
      <w:tr>
        <w:trPr>
          <w:trHeight w:val="249"/>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Original equipment manufacture</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86,251</w:t>
            </w:r>
          </w:p>
        </w:tc>
        <w:tc>
          <w:tcPr>
            <w:tcW w:w="3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$5,440 and $5,105 for the years ended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$328 and $0,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three customers comprised approximately 18%, 10% and 10%, respectively, of accounts receivable as of December 31, 2022. Receivables from two customers comprised approximately 42% and 16%, respectively, of accounts receivable as of December 31, 2021. There are no other significant accounts receivable concentrations.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one customer accounted for approximately 22% of the Company’s sales for year ended December 31, 2022. There were no significant revenue concentrations for the year ended December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Payables to one vendor comprised approximately 61% of accounts payables as of December 31, 2022. There were no significant payable concentrations as of December 31, 2021.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2022, one vendor accounted for approximately 28% of the Company’s total purchases, respectively. For the year ended December 31, 2021, three vendors accounted for approximately 27%, 10% and 10% of the Company’s total purchases,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Financing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$2,334 and $1,690 for the years ended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$128 and $0 as of December 31, 2022 and 2021, respectively, of uncertain tax positions.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Earnings per Common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number of common shares included in the computation of diluted net (loss) earnings gives effect to all potentially dilutive common equivalent shares, including outstanding stock options and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Arial" w:cs="Arial" w:eastAsia="Arial" w:hAnsi="Arial"/>
          <w:sz w:val="16"/>
          <w:szCs w:val="16"/>
          <w:i w:val="1"/>
          <w:iCs w:val="1"/>
          <w:color w:val="auto"/>
        </w:rPr>
        <w:t xml:space="preserve">Note 3 - Reverse Capitalization </w:t>
      </w:r>
      <w:r>
        <w:rPr>
          <w:rFonts w:ascii="Arial" w:cs="Arial" w:eastAsia="Arial" w:hAnsi="Arial"/>
          <w:sz w:val="16"/>
          <w:szCs w:val="16"/>
          <w:color w:val="auto"/>
        </w:rPr>
        <w:t>for details and discussion of the retrospective adjustment of net loss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REVERSE CAPITALIZATION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w:t>
      </w:r>
      <w:r>
        <w:rPr>
          <w:rFonts w:ascii="Arial" w:cs="Arial" w:eastAsia="Arial" w:hAnsi="Arial"/>
          <w:sz w:val="18"/>
          <w:szCs w:val="18"/>
          <w:b w:val="1"/>
          <w:bCs w:val="1"/>
          <w:color w:val="auto"/>
        </w:rPr>
        <w:t>PIPE Financing</w:t>
      </w:r>
      <w:r>
        <w:rPr>
          <w:rFonts w:ascii="Arial" w:cs="Arial" w:eastAsia="Arial" w:hAnsi="Arial"/>
          <w:sz w:val="18"/>
          <w:szCs w:val="18"/>
          <w:color w:val="auto"/>
        </w:rPr>
        <w: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merger allocated to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Arial" w:cs="Arial" w:eastAsia="Arial" w:hAnsi="Arial"/>
                <w:sz w:val="18"/>
                <w:szCs w:val="18"/>
                <w:color w:val="auto"/>
              </w:rPr>
              <w:t>Amounts</w:t>
            </w:r>
          </w:p>
        </w:tc>
        <w:tc>
          <w:tcPr>
            <w:tcW w:w="112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CNTQ trust and PIPE Investors</w:t>
            </w:r>
          </w:p>
        </w:tc>
        <w:tc>
          <w:tcPr>
            <w:tcW w:w="3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6"/>
        </w:trPr>
        <w:tc>
          <w:tcPr>
            <w:tcW w:w="11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Cash: CNTQ</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303</w:t>
            </w:r>
          </w:p>
        </w:tc>
        <w:tc>
          <w:tcPr>
            <w:tcW w:w="1120" w:type="dxa"/>
            <w:vAlign w:val="bottom"/>
          </w:tcPr>
          <w:p>
            <w:pPr>
              <w:spacing w:after="0"/>
              <w:rPr>
                <w:sz w:val="20"/>
                <w:szCs w:val="20"/>
                <w:color w:val="auto"/>
              </w:rPr>
            </w:pPr>
          </w:p>
        </w:tc>
      </w:tr>
      <w:tr>
        <w:trPr>
          <w:trHeight w:val="236"/>
        </w:trPr>
        <w:tc>
          <w:tcPr>
            <w:tcW w:w="1120" w:type="dxa"/>
            <w:vAlign w:val="bottom"/>
          </w:tcPr>
          <w:p>
            <w:pPr>
              <w:spacing w:after="0"/>
              <w:rPr>
                <w:sz w:val="20"/>
                <w:szCs w:val="20"/>
                <w:color w:val="auto"/>
              </w:rPr>
            </w:pPr>
          </w:p>
        </w:tc>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Proceeds</w:t>
            </w:r>
          </w:p>
        </w:tc>
        <w:tc>
          <w:tcPr>
            <w:tcW w:w="37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Net liabilities assumed in merger transaction</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1120" w:type="dxa"/>
            <w:vAlign w:val="bottom"/>
          </w:tcPr>
          <w:p>
            <w:pPr>
              <w:spacing w:after="0"/>
              <w:rPr>
                <w:sz w:val="20"/>
                <w:szCs w:val="20"/>
                <w:color w:val="auto"/>
              </w:rPr>
            </w:pPr>
          </w:p>
        </w:tc>
      </w:tr>
      <w:tr>
        <w:trPr>
          <w:trHeight w:val="40"/>
        </w:trPr>
        <w:tc>
          <w:tcPr>
            <w:tcW w:w="11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3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7"/>
        </w:trPr>
        <w:tc>
          <w:tcPr>
            <w:tcW w:w="112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 assumed in merger</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120" w:type="dxa"/>
            <w:vAlign w:val="bottom"/>
          </w:tcPr>
          <w:p>
            <w:pPr>
              <w:spacing w:after="0"/>
              <w:rPr>
                <w:sz w:val="20"/>
                <w:szCs w:val="20"/>
                <w:color w:val="auto"/>
              </w:rPr>
            </w:pPr>
          </w:p>
        </w:tc>
      </w:tr>
      <w:tr>
        <w:trPr>
          <w:trHeight w:val="230"/>
        </w:trPr>
        <w:tc>
          <w:tcPr>
            <w:tcW w:w="11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CNTQ note payable settlement at close</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120" w:type="dxa"/>
            <w:vAlign w:val="bottom"/>
          </w:tcPr>
          <w:p>
            <w:pPr>
              <w:spacing w:after="0"/>
              <w:rPr>
                <w:sz w:val="20"/>
                <w:szCs w:val="20"/>
                <w:color w:val="auto"/>
              </w:rPr>
            </w:pPr>
          </w:p>
        </w:tc>
      </w:tr>
      <w:tr>
        <w:trPr>
          <w:trHeight w:val="26"/>
        </w:trPr>
        <w:tc>
          <w:tcPr>
            <w:tcW w:w="1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9"/>
        </w:trPr>
        <w:tc>
          <w:tcPr>
            <w:tcW w:w="1120" w:type="dxa"/>
            <w:vAlign w:val="bottom"/>
          </w:tcPr>
          <w:p>
            <w:pPr>
              <w:spacing w:after="0"/>
              <w:rPr>
                <w:sz w:val="21"/>
                <w:szCs w:val="21"/>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CNTQ transaction costs paid at close</w:t>
            </w:r>
          </w:p>
        </w:tc>
        <w:tc>
          <w:tcPr>
            <w:tcW w:w="3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(18,072)</w:t>
            </w:r>
          </w:p>
        </w:tc>
        <w:tc>
          <w:tcPr>
            <w:tcW w:w="112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37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deficit assumed in recapitalization</w:t>
            </w:r>
          </w:p>
        </w:tc>
        <w:tc>
          <w:tcPr>
            <w:tcW w:w="37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9"/>
        </w:trPr>
        <w:tc>
          <w:tcPr>
            <w:tcW w:w="1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3027"/>
              <w:spacing w:after="0"/>
              <w:rPr>
                <w:sz w:val="20"/>
                <w:szCs w:val="20"/>
                <w:color w:val="auto"/>
              </w:rPr>
            </w:pPr>
            <w:r>
              <w:rPr>
                <w:rFonts w:ascii="Arial" w:cs="Arial" w:eastAsia="Arial" w:hAnsi="Arial"/>
                <w:sz w:val="18"/>
                <w:szCs w:val="18"/>
                <w:color w:val="auto"/>
              </w:rPr>
              <w:t>F-13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933"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75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Number of Shares</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outstanding prior to merger</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Less: Redemption of CNTQ shares</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(2,016,912)</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CNTQ Public Shares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CNTQ Sponsor Shares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3,162,500</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Merger and PIPE financing shares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77"/>
        </w:trPr>
        <w:tc>
          <w:tcPr>
            <w:tcW w:w="75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Legacy Dragonfly shares </w:t>
            </w:r>
            <w:r>
              <w:rPr>
                <w:rFonts w:ascii="Arial" w:cs="Arial" w:eastAsia="Arial" w:hAnsi="Arial"/>
                <w:sz w:val="29"/>
                <w:szCs w:val="29"/>
                <w:color w:val="auto"/>
                <w:vertAlign w:val="superscript"/>
              </w:rPr>
              <w:t>(1)(2)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38,576,650</w:t>
            </w:r>
          </w:p>
        </w:tc>
      </w:tr>
      <w:tr>
        <w:trPr>
          <w:trHeight w:val="269"/>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immediately after the merger</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42,815,586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r>
    </w:tbl>
    <w:p>
      <w:pPr>
        <w:spacing w:after="0" w:line="202" w:lineRule="exact"/>
        <w:rPr>
          <w:sz w:val="20"/>
          <w:szCs w:val="20"/>
          <w:color w:val="auto"/>
        </w:rPr>
      </w:pPr>
    </w:p>
    <w:p>
      <w:pPr>
        <w:ind w:left="280" w:hanging="209"/>
        <w:spacing w:after="0" w:line="277" w:lineRule="auto"/>
        <w:rPr>
          <w:sz w:val="20"/>
          <w:szCs w:val="20"/>
          <w:color w:val="auto"/>
        </w:rPr>
      </w:pPr>
      <w:r>
        <w:rPr>
          <w:rFonts w:ascii="Arial" w:cs="Arial" w:eastAsia="Arial" w:hAnsi="Arial"/>
          <w:sz w:val="18"/>
          <w:szCs w:val="18"/>
          <w:i w:val="1"/>
          <w:iCs w:val="1"/>
          <w:color w:val="auto"/>
        </w:rPr>
        <w:t>(1)-The number of Legacy Dragonfly shares was determined from the shares of Legacy Dragonfly outstanding immediately prior to the closing of the merger converted at the Exchange Ratio. All fractional shares were rounded down.</w:t>
      </w:r>
    </w:p>
    <w:p>
      <w:pPr>
        <w:spacing w:after="0" w:line="278" w:lineRule="exact"/>
        <w:rPr>
          <w:sz w:val="20"/>
          <w:szCs w:val="20"/>
          <w:color w:val="auto"/>
        </w:rPr>
      </w:pPr>
    </w:p>
    <w:p>
      <w:pPr>
        <w:ind w:left="280" w:hanging="209"/>
        <w:spacing w:after="0" w:line="277" w:lineRule="auto"/>
        <w:rPr>
          <w:sz w:val="20"/>
          <w:szCs w:val="20"/>
          <w:color w:val="auto"/>
        </w:rPr>
      </w:pPr>
      <w:r>
        <w:rPr>
          <w:rFonts w:ascii="Arial" w:cs="Arial" w:eastAsia="Arial" w:hAnsi="Arial"/>
          <w:sz w:val="18"/>
          <w:szCs w:val="18"/>
          <w:i w:val="1"/>
          <w:iCs w:val="1"/>
          <w:color w:val="auto"/>
        </w:rPr>
        <w:t>(2)</w:t>
      </w:r>
      <w:r>
        <w:rPr>
          <w:rFonts w:ascii="Arial" w:cs="Arial" w:eastAsia="Arial" w:hAnsi="Arial"/>
          <w:sz w:val="18"/>
          <w:szCs w:val="18"/>
          <w:color w:val="auto"/>
        </w:rPr>
        <w:t>-</w:t>
      </w:r>
      <w:r>
        <w:rPr>
          <w:rFonts w:ascii="Arial" w:cs="Arial" w:eastAsia="Arial" w:hAnsi="Arial"/>
          <w:sz w:val="18"/>
          <w:szCs w:val="18"/>
          <w:i w:val="1"/>
          <w:iCs w:val="1"/>
          <w:color w:val="auto"/>
        </w:rPr>
        <w:t>The preferred shares of Legacy Dragonfly were exchanged on a 1 to 1 ratio to common stock and the shares were then exchanged for shares of Dragonfly Energy Holdings Corp. at the Exchange Ratio.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reverse capitalization transaction, the Company issued public warrants, private placement warrants and Term Loan warrants. Refer to Note 12 for a further description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w:t>
      </w:r>
      <w:r>
        <w:rPr>
          <w:rFonts w:ascii="Arial" w:cs="Arial" w:eastAsia="Arial" w:hAnsi="Arial"/>
          <w:sz w:val="16"/>
          <w:szCs w:val="16"/>
          <w:b w:val="1"/>
          <w:bCs w:val="1"/>
          <w:color w:val="auto"/>
        </w:rPr>
        <w:t>Earnout Shares</w:t>
      </w:r>
      <w:r>
        <w:rPr>
          <w:rFonts w:ascii="Arial" w:cs="Arial" w:eastAsia="Arial" w:hAnsi="Arial"/>
          <w:sz w:val="16"/>
          <w:szCs w:val="16"/>
          <w:color w:val="auto"/>
        </w:rPr>
        <w:t>”).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Arial" w:cs="Arial" w:eastAsia="Arial" w:hAnsi="Arial"/>
          <w:sz w:val="17"/>
          <w:szCs w:val="17"/>
          <w:b w:val="1"/>
          <w:bCs w:val="1"/>
          <w:color w:val="auto"/>
        </w:rPr>
        <w:t>ASC 480</w:t>
      </w:r>
      <w:r>
        <w:rPr>
          <w:rFonts w:ascii="Arial" w:cs="Arial" w:eastAsia="Arial" w:hAnsi="Arial"/>
          <w:sz w:val="17"/>
          <w:szCs w:val="17"/>
          <w:color w:val="auto"/>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ASC 820, Fair Value Measurements and Disclosures (“</w:t>
      </w:r>
      <w:r>
        <w:rPr>
          <w:rFonts w:ascii="Arial" w:cs="Arial" w:eastAsia="Arial" w:hAnsi="Arial"/>
          <w:sz w:val="18"/>
          <w:szCs w:val="18"/>
          <w:b w:val="1"/>
          <w:bCs w:val="1"/>
          <w:color w:val="auto"/>
        </w:rPr>
        <w:t>ASC 820</w:t>
      </w:r>
      <w:r>
        <w:rPr>
          <w:rFonts w:ascii="Arial" w:cs="Arial" w:eastAsia="Arial" w:hAnsi="Arial"/>
          <w:sz w:val="18"/>
          <w:szCs w:val="18"/>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4"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32"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 and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color w:val="auto"/>
                <w:w w:val="91"/>
              </w:rPr>
              <w:t>As of December 31, 2022</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520"/>
              <w:spacing w:after="0" w:line="201"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Fair Value</w:t>
            </w:r>
          </w:p>
        </w:tc>
        <w:tc>
          <w:tcPr>
            <w:tcW w:w="16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3)</w:t>
            </w:r>
          </w:p>
        </w:tc>
      </w:tr>
      <w:tr>
        <w:trPr>
          <w:trHeight w:val="196"/>
        </w:trPr>
        <w:tc>
          <w:tcPr>
            <w:tcW w:w="74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34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36"/>
        </w:trPr>
        <w:tc>
          <w:tcPr>
            <w:tcW w:w="4160" w:type="dxa"/>
            <w:vAlign w:val="bottom"/>
            <w:gridSpan w:val="2"/>
          </w:tcPr>
          <w:p>
            <w:pPr>
              <w:spacing w:after="0"/>
              <w:rPr>
                <w:sz w:val="20"/>
                <w:szCs w:val="20"/>
                <w:color w:val="auto"/>
              </w:rPr>
            </w:pPr>
            <w:r>
              <w:rPr>
                <w:rFonts w:ascii="Arial" w:cs="Arial" w:eastAsia="Arial" w:hAnsi="Arial"/>
                <w:sz w:val="18"/>
                <w:szCs w:val="18"/>
                <w:color w:val="auto"/>
              </w:rPr>
              <w:t>Warrant liability-Term Loan</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30,841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30,841</w:t>
            </w:r>
          </w:p>
        </w:tc>
        <w:tc>
          <w:tcPr>
            <w:tcW w:w="100" w:type="dxa"/>
            <w:vAlign w:val="bottom"/>
          </w:tcPr>
          <w:p>
            <w:pPr>
              <w:spacing w:after="0"/>
              <w:rPr>
                <w:sz w:val="20"/>
                <w:szCs w:val="20"/>
                <w:color w:val="auto"/>
              </w:rPr>
            </w:pPr>
          </w:p>
        </w:tc>
      </w:tr>
      <w:tr>
        <w:trPr>
          <w:trHeight w:val="236"/>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 liability-Private Placement Warrants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10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or liabilities that were measured at fair value as of December 31,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December 31, 2022 and 2021 because of the relatively short maturity of these instruments.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NOTE 5 — INVENTORY</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20" w:type="dxa"/>
            <w:vAlign w:val="bottom"/>
          </w:tcPr>
          <w:p>
            <w:pPr>
              <w:spacing w:after="0"/>
              <w:rPr>
                <w:sz w:val="20"/>
                <w:szCs w:val="20"/>
                <w:color w:val="auto"/>
              </w:rPr>
            </w:pPr>
            <w:r>
              <w:rPr>
                <w:rFonts w:ascii="Arial" w:cs="Arial" w:eastAsia="Arial" w:hAnsi="Arial"/>
                <w:sz w:val="18"/>
                <w:szCs w:val="18"/>
                <w:color w:val="auto"/>
              </w:rPr>
              <w:t>Inventory consists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4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100" w:type="dxa"/>
            <w:vAlign w:val="bottom"/>
            <w:shd w:val="clear" w:color="auto" w:fill="CCEEFF"/>
          </w:tcPr>
          <w:p>
            <w:pPr>
              <w:spacing w:after="0"/>
              <w:rPr>
                <w:sz w:val="18"/>
                <w:szCs w:val="18"/>
                <w:color w:val="auto"/>
              </w:rPr>
            </w:pPr>
          </w:p>
        </w:tc>
      </w:tr>
      <w:tr>
        <w:trPr>
          <w:trHeight w:val="23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Borders>
              <w:bottom w:val="single" w:sz="8" w:color="CCEEFF"/>
            </w:tcBorders>
          </w:tcPr>
          <w:p>
            <w:pPr>
              <w:spacing w:after="0"/>
              <w:rPr>
                <w:sz w:val="20"/>
                <w:szCs w:val="20"/>
                <w:color w:val="auto"/>
              </w:rPr>
            </w:pPr>
          </w:p>
        </w:tc>
      </w:tr>
      <w:tr>
        <w:trPr>
          <w:trHeight w:val="23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leases related to the main office, warehouse space, research and development lab, and engineering office, all located in Reno, Nevada. The leases require annual escalating monthly payments ranging from $60 to $74. In December of 2021, the Company entered into another lease for additional warehouse space located in Reno, Nevada that requires annual escalating monthly payments ranging from $47 to $55.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December 31, 2022, the lease has not commenced as the Company does not have control over the asset.</w:t>
      </w:r>
    </w:p>
    <w:p>
      <w:pPr>
        <w:sectPr>
          <w:pgSz w:w="11900" w:h="16838" w:orient="portrait"/>
          <w:cols w:equalWidth="0" w:num="1">
            <w:col w:w="11240"/>
          </w:cols>
          <w:pgMar w:left="320" w:top="688"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w:t>
      </w:r>
    </w:p>
    <w:p>
      <w:pPr>
        <w:spacing w:after="0" w:line="22" w:lineRule="exact"/>
        <w:rPr>
          <w:sz w:val="20"/>
          <w:szCs w:val="20"/>
          <w:color w:val="auto"/>
        </w:rPr>
      </w:pPr>
    </w:p>
    <w:p>
      <w:pPr>
        <w:ind w:left="1280" w:hanging="1279"/>
        <w:spacing w:after="0"/>
        <w:tabs>
          <w:tab w:leader="none" w:pos="12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4,513</w:t>
      </w:r>
    </w:p>
    <w:p>
      <w:pPr>
        <w:spacing w:after="0" w:line="70"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5"/>
          <w:szCs w:val="15"/>
          <w:color w:val="auto"/>
        </w:rPr>
        <w:t>1,188</w:t>
      </w:r>
    </w:p>
    <w:p>
      <w:pPr>
        <w:spacing w:after="0" w:line="57"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5"/>
          <w:szCs w:val="15"/>
          <w:color w:val="auto"/>
        </w:rPr>
        <w:t>3,541</w:t>
      </w:r>
    </w:p>
    <w:p>
      <w:pPr>
        <w:spacing w:after="0" w:line="83" w:lineRule="exact"/>
        <w:rPr>
          <w:sz w:val="20"/>
          <w:szCs w:val="20"/>
          <w:color w:val="auto"/>
        </w:rPr>
      </w:pPr>
    </w:p>
    <w:p>
      <w:pPr>
        <w:ind w:left="1280" w:hanging="1279"/>
        <w:spacing w:after="0"/>
        <w:tabs>
          <w:tab w:leader="none" w:pos="12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4,729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10718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 years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2021</w:t>
      </w:r>
    </w:p>
    <w:p>
      <w:pPr>
        <w:spacing w:after="0" w:line="22" w:lineRule="exact"/>
        <w:rPr>
          <w:sz w:val="20"/>
          <w:szCs w:val="20"/>
          <w:color w:val="auto"/>
        </w:rPr>
      </w:pPr>
    </w:p>
    <w:p>
      <w:pPr>
        <w:ind w:left="1280" w:hanging="1277"/>
        <w:spacing w:after="0"/>
        <w:tabs>
          <w:tab w:leader="none" w:pos="12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5,709</w:t>
      </w:r>
    </w:p>
    <w:p>
      <w:pPr>
        <w:spacing w:after="0" w:line="70"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5"/>
          <w:szCs w:val="15"/>
          <w:color w:val="auto"/>
        </w:rPr>
        <w:t>1,082</w:t>
      </w:r>
    </w:p>
    <w:p>
      <w:pPr>
        <w:spacing w:after="0" w:line="57"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5"/>
          <w:szCs w:val="15"/>
          <w:color w:val="auto"/>
        </w:rPr>
        <w:t>4,694</w:t>
      </w:r>
    </w:p>
    <w:p>
      <w:pPr>
        <w:spacing w:after="0" w:line="83" w:lineRule="exact"/>
        <w:rPr>
          <w:sz w:val="20"/>
          <w:szCs w:val="20"/>
          <w:color w:val="auto"/>
        </w:rPr>
      </w:pPr>
    </w:p>
    <w:p>
      <w:pPr>
        <w:ind w:left="1280" w:hanging="1277"/>
        <w:spacing w:after="0"/>
        <w:tabs>
          <w:tab w:leader="none" w:pos="12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5,776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10718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4.6 years</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5.2%</w:t>
      </w:r>
    </w:p>
    <w:p>
      <w:pPr>
        <w:spacing w:after="0" w:line="200" w:lineRule="exact"/>
        <w:rPr>
          <w:sz w:val="20"/>
          <w:szCs w:val="20"/>
          <w:color w:val="auto"/>
        </w:rPr>
      </w:pPr>
    </w:p>
    <w:p>
      <w:pPr>
        <w:sectPr>
          <w:pgSz w:w="11900" w:h="16838" w:orient="portrait"/>
          <w:cols w:equalWidth="0" w:num="3">
            <w:col w:w="6700" w:space="720"/>
            <w:col w:w="1680" w:space="340"/>
            <w:col w:w="1800"/>
          </w:cols>
          <w:pgMar w:left="320" w:top="688" w:right="3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future minimum lease payments under these operating leases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34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r>
              <w:rPr>
                <w:rFonts w:ascii="Arial" w:cs="Arial" w:eastAsia="Arial" w:hAnsi="Arial"/>
                <w:sz w:val="18"/>
                <w:szCs w:val="18"/>
                <w:b w:val="1"/>
                <w:bCs w:val="1"/>
                <w:color w:val="auto"/>
              </w:rPr>
              <w:t>Lease cost</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17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2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1,476</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administration</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34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auto"/>
            </w:tcBorders>
            <w:shd w:val="clear" w:color="auto" w:fill="CCEEFF"/>
          </w:tcPr>
          <w:p>
            <w:pPr>
              <w:jc w:val="right"/>
              <w:ind w:right="132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1,670</w:t>
            </w: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lease costs included in the schedule above are fixed.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further discussion regarding contingent consideration arising from the April 2022 Asset Purchase agreement with Thomason Jones Company,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discussion regarding the earnout related to the reverse capitalization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 Trust Indenture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24, 2021, the Company entered into agreements to issue $45,000 in fixed rate senior notes (the “</w:t>
      </w:r>
      <w:r>
        <w:rPr>
          <w:rFonts w:ascii="Arial" w:cs="Arial" w:eastAsia="Arial" w:hAnsi="Arial"/>
          <w:sz w:val="18"/>
          <w:szCs w:val="18"/>
          <w:b w:val="1"/>
          <w:bCs w:val="1"/>
          <w:color w:val="auto"/>
        </w:rPr>
        <w:t>Series 2021-6 Notes</w:t>
      </w:r>
      <w:r>
        <w:rPr>
          <w:rFonts w:ascii="Arial" w:cs="Arial" w:eastAsia="Arial" w:hAnsi="Arial"/>
          <w:sz w:val="18"/>
          <w:szCs w:val="18"/>
          <w:color w:val="auto"/>
        </w:rPr>
        <w:t>”) pursuant to a Trust Indenture held by UMB Bank, as trustee and disbursing agent, and NewLight Capital, LLC as servicer (the “</w:t>
      </w:r>
      <w:r>
        <w:rPr>
          <w:rFonts w:ascii="Arial" w:cs="Arial" w:eastAsia="Arial" w:hAnsi="Arial"/>
          <w:sz w:val="18"/>
          <w:szCs w:val="18"/>
          <w:b w:val="1"/>
          <w:bCs w:val="1"/>
          <w:color w:val="auto"/>
        </w:rPr>
        <w:t>Servicer</w:t>
      </w:r>
      <w:r>
        <w:rPr>
          <w:rFonts w:ascii="Arial" w:cs="Arial" w:eastAsia="Arial" w:hAnsi="Arial"/>
          <w:sz w:val="18"/>
          <w:szCs w:val="18"/>
          <w:color w:val="auto"/>
        </w:rPr>
        <w:t>”). The trust and debt documents also required the entry into a Lender Collateral Residual Value Insurance Policy (the “</w:t>
      </w:r>
      <w:r>
        <w:rPr>
          <w:rFonts w:ascii="Arial" w:cs="Arial" w:eastAsia="Arial" w:hAnsi="Arial"/>
          <w:sz w:val="18"/>
          <w:szCs w:val="18"/>
          <w:b w:val="1"/>
          <w:bCs w:val="1"/>
          <w:color w:val="auto"/>
        </w:rPr>
        <w:t>Insurance Policy</w:t>
      </w:r>
      <w:r>
        <w:rPr>
          <w:rFonts w:ascii="Arial" w:cs="Arial" w:eastAsia="Arial" w:hAnsi="Arial"/>
          <w:sz w:val="18"/>
          <w:szCs w:val="18"/>
          <w:color w:val="auto"/>
        </w:rPr>
        <w:t>”), with UMB Bank as named insured for $45,000, and engagement of a placement agent, Tribe Capital Markets, LLC.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Upon closing date of the financing the Company received a wire for $35,474, which is comprised of the gross proceeds of $45,000 less $3,188 in deposits to certain reserve accounts (see subsection labeled </w:t>
      </w:r>
      <w:r>
        <w:rPr>
          <w:rFonts w:ascii="Arial" w:cs="Arial" w:eastAsia="Arial" w:hAnsi="Arial"/>
          <w:sz w:val="18"/>
          <w:szCs w:val="18"/>
          <w:i w:val="1"/>
          <w:iCs w:val="1"/>
          <w:color w:val="auto"/>
        </w:rPr>
        <w:t>Reserve Accounts</w:t>
      </w:r>
      <w:r>
        <w:rPr>
          <w:rFonts w:ascii="Arial" w:cs="Arial" w:eastAsia="Arial" w:hAnsi="Arial"/>
          <w:sz w:val="18"/>
          <w:szCs w:val="18"/>
          <w:color w:val="auto"/>
        </w:rPr>
        <w:t xml:space="preserve"> below), and $6,338 in expenses withdrawn from the gross proceeds, which included $4,725 in prepaid policy premiums and related costs underlying the Insurance Policy (see subsection labelled </w:t>
      </w:r>
      <w:r>
        <w:rPr>
          <w:rFonts w:ascii="Arial" w:cs="Arial" w:eastAsia="Arial" w:hAnsi="Arial"/>
          <w:sz w:val="18"/>
          <w:szCs w:val="18"/>
          <w:i w:val="1"/>
          <w:iCs w:val="1"/>
          <w:color w:val="auto"/>
        </w:rPr>
        <w:t>Collateral</w:t>
      </w:r>
      <w:r>
        <w:rPr>
          <w:rFonts w:ascii="Arial" w:cs="Arial" w:eastAsia="Arial" w:hAnsi="Arial"/>
          <w:sz w:val="18"/>
          <w:szCs w:val="18"/>
          <w:color w:val="auto"/>
        </w:rPr>
        <w:t xml:space="preserve"> below), a prepaid loan monitoring fee of $60 and $1,553 in debt issuance costs.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Arial" w:cs="Arial" w:eastAsia="Arial" w:hAnsi="Arial"/>
          <w:sz w:val="18"/>
          <w:szCs w:val="18"/>
          <w:i w:val="1"/>
          <w:iCs w:val="1"/>
          <w:color w:val="auto"/>
        </w:rPr>
        <w:t xml:space="preserve">Collateral </w:t>
      </w:r>
      <w:r>
        <w:rPr>
          <w:rFonts w:ascii="Arial" w:cs="Arial" w:eastAsia="Arial" w:hAnsi="Arial"/>
          <w:sz w:val="18"/>
          <w:szCs w:val="18"/>
          <w:color w:val="auto"/>
        </w:rPr>
        <w:t>below) as such funds must be reimbursed by the Company to the insurer.</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w:t>
      </w:r>
      <w:r>
        <w:rPr>
          <w:rFonts w:ascii="Arial" w:cs="Arial" w:eastAsia="Arial" w:hAnsi="Arial"/>
          <w:sz w:val="16"/>
          <w:szCs w:val="16"/>
          <w:i w:val="1"/>
          <w:iCs w:val="1"/>
          <w:color w:val="auto"/>
        </w:rPr>
        <w:t>Term Loan Agreement</w:t>
      </w:r>
      <w:r>
        <w:rPr>
          <w:rFonts w:ascii="Arial" w:cs="Arial" w:eastAsia="Arial" w:hAnsi="Arial"/>
          <w:sz w:val="16"/>
          <w:szCs w:val="16"/>
          <w:color w:val="auto"/>
        </w:rPr>
        <w:t xml:space="preserve"> below) and the outstanding principal balance for the Series 2021-6 Notes underlying the Trust Indenture was paid in full. A loss on extinguishment of $4,824 was recognized upon settlement. The net balance of $40,712 on the date of the merger consisted of $45,000 in principal less $4,288 in unamortized debt discount related to the debt issuance costs and Insurance Policy.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940" w:type="dxa"/>
            <w:vAlign w:val="bottom"/>
          </w:tcPr>
          <w:p>
            <w:pPr>
              <w:jc w:val="center"/>
              <w:ind w:left="670"/>
              <w:spacing w:after="0"/>
              <w:rPr>
                <w:sz w:val="20"/>
                <w:szCs w:val="20"/>
                <w:color w:val="auto"/>
              </w:rPr>
            </w:pPr>
            <w:r>
              <w:rPr>
                <w:rFonts w:ascii="Arial" w:cs="Arial" w:eastAsia="Arial" w:hAnsi="Arial"/>
                <w:sz w:val="18"/>
                <w:szCs w:val="18"/>
                <w:b w:val="1"/>
                <w:bCs w:val="1"/>
                <w:color w:val="auto"/>
                <w:w w:val="99"/>
              </w:rPr>
              <w:t>DRAGONFLY ENERGY HOLDINGS CORP.</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jc w:val="center"/>
              <w:ind w:left="67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jc w:val="center"/>
              <w:ind w:left="670"/>
              <w:spacing w:after="0"/>
              <w:rPr>
                <w:sz w:val="20"/>
                <w:szCs w:val="20"/>
                <w:color w:val="auto"/>
              </w:rPr>
            </w:pPr>
            <w:r>
              <w:rPr>
                <w:rFonts w:ascii="Arial" w:cs="Arial" w:eastAsia="Arial" w:hAnsi="Arial"/>
                <w:sz w:val="18"/>
                <w:szCs w:val="18"/>
                <w:b w:val="1"/>
                <w:bCs w:val="1"/>
                <w:color w:val="auto"/>
                <w:w w:val="95"/>
              </w:rPr>
              <w:t>DECEMBER 31, 2022 AND 2021</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94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6"/>
              </w:rPr>
              <w:t>Reserve Accounts</w:t>
            </w:r>
          </w:p>
        </w:tc>
        <w:tc>
          <w:tcPr>
            <w:tcW w:w="7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220" w:type="dxa"/>
            <w:vAlign w:val="bottom"/>
            <w:gridSpan w:val="2"/>
          </w:tcPr>
          <w:p>
            <w:pPr>
              <w:spacing w:after="0"/>
              <w:rPr>
                <w:sz w:val="20"/>
                <w:szCs w:val="20"/>
                <w:color w:val="auto"/>
              </w:rPr>
            </w:pPr>
            <w:r>
              <w:rPr>
                <w:rFonts w:ascii="Arial" w:cs="Arial" w:eastAsia="Arial" w:hAnsi="Arial"/>
                <w:sz w:val="18"/>
                <w:szCs w:val="18"/>
                <w:color w:val="auto"/>
              </w:rPr>
              <w:t>Deposits into the reserve accounts consisted of the following items:</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Reserve Fund</w:t>
            </w:r>
          </w:p>
        </w:tc>
        <w:tc>
          <w:tcPr>
            <w:tcW w:w="800" w:type="dxa"/>
            <w:vAlign w:val="bottom"/>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8"/>
                <w:szCs w:val="18"/>
                <w:color w:val="auto"/>
              </w:rPr>
            </w:pPr>
          </w:p>
        </w:tc>
      </w:tr>
      <w:tr>
        <w:trPr>
          <w:trHeight w:val="237"/>
        </w:trPr>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Capitalized Interest Fund</w:t>
            </w: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0"/>
                <w:szCs w:val="20"/>
                <w:color w:val="auto"/>
              </w:rPr>
            </w:pPr>
          </w:p>
        </w:tc>
      </w:tr>
      <w:tr>
        <w:trPr>
          <w:trHeight w:val="229"/>
        </w:trPr>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$3,088.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merger, the Company settled the Trust Indenture and the balance in the Payment Reserve Fund was offset against the proceeds.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Collateral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Monitoring Fees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was to incur ongoing monitoring service by NewLight Capital, LLC for 24 months at $180 total expense. These services entail monitory of financial records and information related to collateral enforcement on an ongoing basis. The $60 prepayment funded on the date of closing was recognized as a prepaid expense and was being amortized on a straight line basis over the first 10 months of the agreement as the amount was paid in full in connection with the merger. The Company incurred $77 and $10 of monitoring fee expenses during the years ended December 31,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prepayment on that date of $33 was expensed and included in debt extinguishment.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Covenants – Trust Indenture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7, 2022, in connection with the merger, CNTQ, Legacy Dragonfly and CCM Investments 5 LLC (“</w:t>
      </w:r>
      <w:r>
        <w:rPr>
          <w:rFonts w:ascii="Arial" w:cs="Arial" w:eastAsia="Arial" w:hAnsi="Arial"/>
          <w:sz w:val="16"/>
          <w:szCs w:val="16"/>
          <w:b w:val="1"/>
          <w:bCs w:val="1"/>
          <w:color w:val="auto"/>
        </w:rPr>
        <w:t>CCM 5</w:t>
      </w:r>
      <w:r>
        <w:rPr>
          <w:rFonts w:ascii="Arial" w:cs="Arial" w:eastAsia="Arial" w:hAnsi="Arial"/>
          <w:sz w:val="16"/>
          <w:szCs w:val="16"/>
          <w:color w:val="auto"/>
        </w:rPr>
        <w:t>”, and in connection with the Term Loan, the “Chardan Lender”), and EICF Agent LLC (“</w:t>
      </w:r>
      <w:r>
        <w:rPr>
          <w:rFonts w:ascii="Arial" w:cs="Arial" w:eastAsia="Arial" w:hAnsi="Arial"/>
          <w:sz w:val="16"/>
          <w:szCs w:val="16"/>
          <w:b w:val="1"/>
          <w:bCs w:val="1"/>
          <w:color w:val="auto"/>
        </w:rPr>
        <w:t>EIP</w:t>
      </w:r>
      <w:r>
        <w:rPr>
          <w:rFonts w:ascii="Arial" w:cs="Arial" w:eastAsia="Arial" w:hAnsi="Arial"/>
          <w:sz w:val="16"/>
          <w:szCs w:val="16"/>
          <w:color w:val="auto"/>
        </w:rPr>
        <w:t>” and, collectively with the Chardan Lender, the “</w:t>
      </w:r>
      <w:r>
        <w:rPr>
          <w:rFonts w:ascii="Arial" w:cs="Arial" w:eastAsia="Arial" w:hAnsi="Arial"/>
          <w:sz w:val="16"/>
          <w:szCs w:val="16"/>
          <w:b w:val="1"/>
          <w:bCs w:val="1"/>
          <w:color w:val="auto"/>
        </w:rPr>
        <w:t>Initial Term Loan Lenders</w:t>
      </w:r>
      <w:r>
        <w:rPr>
          <w:rFonts w:ascii="Arial" w:cs="Arial" w:eastAsia="Arial" w:hAnsi="Arial"/>
          <w:sz w:val="16"/>
          <w:szCs w:val="16"/>
          <w:color w:val="auto"/>
        </w:rPr>
        <w:t>”) entered into the Term Loan, Guarantee and Security Agreement (the “</w:t>
      </w:r>
      <w:r>
        <w:rPr>
          <w:rFonts w:ascii="Arial" w:cs="Arial" w:eastAsia="Arial" w:hAnsi="Arial"/>
          <w:sz w:val="16"/>
          <w:szCs w:val="16"/>
          <w:b w:val="1"/>
          <w:bCs w:val="1"/>
          <w:color w:val="auto"/>
        </w:rPr>
        <w:t>Term Loan Agreement</w:t>
      </w:r>
      <w:r>
        <w:rPr>
          <w:rFonts w:ascii="Arial" w:cs="Arial" w:eastAsia="Arial" w:hAnsi="Arial"/>
          <w:sz w:val="16"/>
          <w:szCs w:val="16"/>
          <w:color w:val="auto"/>
        </w:rPr>
        <w:t>”) setting forth the terms of a senior secured term loan facility in an aggregate principal amount of $75,000, or the Term Loan. The Chardan Lender backstopped its commitment under the Debt Commitment Letter by entering into a backstop commitment letter, dated as of May 20, 2022 (the “</w:t>
      </w:r>
      <w:r>
        <w:rPr>
          <w:rFonts w:ascii="Arial" w:cs="Arial" w:eastAsia="Arial" w:hAnsi="Arial"/>
          <w:sz w:val="16"/>
          <w:szCs w:val="16"/>
          <w:b w:val="1"/>
          <w:bCs w:val="1"/>
          <w:color w:val="auto"/>
        </w:rPr>
        <w:t>Backstop Commitment Letter</w:t>
      </w:r>
      <w:r>
        <w:rPr>
          <w:rFonts w:ascii="Arial" w:cs="Arial" w:eastAsia="Arial" w:hAnsi="Arial"/>
          <w:sz w:val="16"/>
          <w:szCs w:val="16"/>
          <w:color w:val="auto"/>
        </w:rPr>
        <w:t>”), with a certain third-party financing source (the “</w:t>
      </w:r>
      <w:r>
        <w:rPr>
          <w:rFonts w:ascii="Arial" w:cs="Arial" w:eastAsia="Arial" w:hAnsi="Arial"/>
          <w:sz w:val="16"/>
          <w:szCs w:val="16"/>
          <w:b w:val="1"/>
          <w:bCs w:val="1"/>
          <w:color w:val="auto"/>
        </w:rPr>
        <w:t>Backstop</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and collectively with EIP, the “</w:t>
      </w:r>
      <w:r>
        <w:rPr>
          <w:rFonts w:ascii="Arial" w:cs="Arial" w:eastAsia="Arial" w:hAnsi="Arial"/>
          <w:sz w:val="16"/>
          <w:szCs w:val="16"/>
          <w:b w:val="1"/>
          <w:bCs w:val="1"/>
          <w:color w:val="auto"/>
        </w:rPr>
        <w:t>Term Loan Lenders</w:t>
      </w:r>
      <w:r>
        <w:rPr>
          <w:rFonts w:ascii="Arial" w:cs="Arial" w:eastAsia="Arial" w:hAnsi="Arial"/>
          <w:sz w:val="16"/>
          <w:szCs w:val="16"/>
          <w:color w:val="auto"/>
        </w:rPr>
        <w:t>”), pursuant to which the Backstop Lender committed to purchase from the Chardan Lender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amount of the Term Loan held by the Chardan Lender (the “</w:t>
      </w:r>
      <w:r>
        <w:rPr>
          <w:rFonts w:ascii="Arial" w:cs="Arial" w:eastAsia="Arial" w:hAnsi="Arial"/>
          <w:sz w:val="16"/>
          <w:szCs w:val="16"/>
          <w:b w:val="1"/>
          <w:bCs w:val="1"/>
          <w:color w:val="auto"/>
        </w:rPr>
        <w:t>Backstopped Loans</w:t>
      </w:r>
      <w:r>
        <w:rPr>
          <w:rFonts w:ascii="Arial" w:cs="Arial" w:eastAsia="Arial" w:hAnsi="Arial"/>
          <w:sz w:val="16"/>
          <w:szCs w:val="16"/>
          <w:color w:val="auto"/>
        </w:rPr>
        <w:t>”) immediately following the issuance of the Term Loan on the Closing Date. Pursuant to an assignment agreement, the Backstopped Loans were assigned by CCM 5 to the Backstop Lender on the Closing Date.</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(or $937.5 on the first day of each calendar quarter) beginning 24 months after the Closing Date and matures on the fourth anniversary of the Closing Date (“</w:t>
      </w:r>
      <w:r>
        <w:rPr>
          <w:rFonts w:ascii="Arial" w:cs="Arial" w:eastAsia="Arial" w:hAnsi="Arial"/>
          <w:sz w:val="16"/>
          <w:szCs w:val="16"/>
          <w:b w:val="1"/>
          <w:bCs w:val="1"/>
          <w:color w:val="auto"/>
        </w:rPr>
        <w:t>Maturity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Term Loan accrues interest (i) until April 1, 2023, at a per annum rate equal to the adjusted Secured Overnight Financing Rate (“</w:t>
      </w:r>
      <w:r>
        <w:rPr>
          <w:rFonts w:ascii="Arial" w:cs="Arial" w:eastAsia="Arial" w:hAnsi="Arial"/>
          <w:sz w:val="16"/>
          <w:szCs w:val="16"/>
          <w:b w:val="1"/>
          <w:bCs w:val="1"/>
          <w:color w:val="auto"/>
        </w:rPr>
        <w:t>SOFR</w:t>
      </w:r>
      <w:r>
        <w:rPr>
          <w:rFonts w:ascii="Arial" w:cs="Arial" w:eastAsia="Arial" w:hAnsi="Arial"/>
          <w:sz w:val="16"/>
          <w:szCs w:val="16"/>
          <w:color w:val="auto"/>
        </w:rPr>
        <w:t>”) plus</w:t>
      </w:r>
      <w:r>
        <w:rPr>
          <w:rFonts w:ascii="Arial" w:cs="Arial" w:eastAsia="Arial" w:hAnsi="Arial"/>
          <w:sz w:val="16"/>
          <w:szCs w:val="16"/>
          <w:b w:val="1"/>
          <w:bCs w:val="1"/>
          <w:color w:val="auto"/>
        </w:rPr>
        <w:t xml:space="preserve"> </w:t>
      </w:r>
      <w:r>
        <w:rPr>
          <w:rFonts w:ascii="Arial" w:cs="Arial" w:eastAsia="Arial" w:hAnsi="Arial"/>
          <w:sz w:val="16"/>
          <w:szCs w:val="16"/>
          <w:color w:val="auto"/>
        </w:rPr>
        <w:t>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a total of $3,195 of interest expense was incurred under the debt. Amortization of the debt issuance costs amounted to $38 during the year ended December 31, 2022. The carrying balance of $19,242 on December 31, 2022 consisted of $75,000 in principal, plus $1,192 PIK interest, less $56,950 in unamortized debt discount related to the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w w:val="87"/>
              </w:rPr>
              <w:t>Test Period</w:t>
            </w: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Ending</w:t>
            </w:r>
          </w:p>
        </w:tc>
        <w:tc>
          <w:tcPr>
            <w:tcW w:w="200" w:type="dxa"/>
            <w:vAlign w:val="bottom"/>
            <w:tcBorders>
              <w:bottom w:val="single" w:sz="8" w:color="CCEEFF"/>
            </w:tcBorders>
          </w:tcPr>
          <w:p>
            <w:pPr>
              <w:spacing w:after="0"/>
              <w:rPr>
                <w:sz w:val="20"/>
                <w:szCs w:val="20"/>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Leverage Ratio</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December 31, 2022 – March 31,</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 to 1.00</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June 30, 2023 – September 30, 2023</w:t>
            </w:r>
          </w:p>
        </w:tc>
        <w:tc>
          <w:tcPr>
            <w:tcW w:w="2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6.00 to 1.00</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December 31, 2023 – March 31,</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June 30, 2024 – September 30, 2024</w:t>
            </w:r>
          </w:p>
        </w:tc>
        <w:tc>
          <w:tcPr>
            <w:tcW w:w="2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December 31, 2024 – March 31,</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r>
      <w:tr>
        <w:trPr>
          <w:trHeight w:val="230"/>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June 30, 2025 and thereafter</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3.00 to 1.00</w:t>
            </w:r>
          </w:p>
        </w:tc>
      </w:tr>
      <w:tr>
        <w:trPr>
          <w:trHeight w:val="37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Liquidity</w:t>
            </w:r>
          </w:p>
        </w:tc>
        <w:tc>
          <w:tcPr>
            <w:tcW w:w="280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twelve-month period ending on the most recently completed fiscal quarter is less than $15,000, then the level of capital expenditures is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684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DRAGONFLY ENERGY HOLDINGS CORP.</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84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8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DECEMBER 31, 2022 AND 2021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684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Long-Term Debt Maturities</w:t>
            </w: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Arial" w:cs="Arial" w:eastAsia="Arial" w:hAnsi="Arial"/>
                <w:sz w:val="18"/>
                <w:szCs w:val="18"/>
                <w:color w:val="auto"/>
              </w:rPr>
              <w:t>At December 31, 2022, the future debt maturities are as follows: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For the Years Ending December 31,</w:t>
            </w:r>
          </w:p>
        </w:tc>
        <w:tc>
          <w:tcPr>
            <w:tcW w:w="220" w:type="dxa"/>
            <w:vAlign w:val="bottom"/>
          </w:tcPr>
          <w:p>
            <w:pPr>
              <w:spacing w:after="0"/>
              <w:rPr>
                <w:sz w:val="24"/>
                <w:szCs w:val="24"/>
                <w:color w:val="auto"/>
              </w:rPr>
            </w:pPr>
          </w:p>
        </w:tc>
        <w:tc>
          <w:tcPr>
            <w:tcW w:w="2020" w:type="dxa"/>
            <w:vAlign w:val="bottom"/>
            <w:gridSpan w:val="3"/>
          </w:tcPr>
          <w:p>
            <w:pPr>
              <w:jc w:val="right"/>
              <w:ind w:right="121"/>
              <w:spacing w:after="0"/>
              <w:rPr>
                <w:sz w:val="20"/>
                <w:szCs w:val="20"/>
                <w:color w:val="auto"/>
              </w:rPr>
            </w:pPr>
            <w:r>
              <w:rPr>
                <w:rFonts w:ascii="Arial" w:cs="Arial" w:eastAsia="Arial" w:hAnsi="Arial"/>
                <w:sz w:val="18"/>
                <w:szCs w:val="18"/>
                <w:b w:val="1"/>
                <w:bCs w:val="1"/>
                <w:color w:val="auto"/>
                <w:w w:val="96"/>
              </w:rPr>
              <w:t>Future Debt Maturities</w:t>
            </w: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6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2024</w:t>
            </w: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r>
      <w:tr>
        <w:trPr>
          <w:trHeight w:val="237"/>
        </w:trPr>
        <w:tc>
          <w:tcPr>
            <w:tcW w:w="2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68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91,809</w:t>
            </w:r>
          </w:p>
        </w:tc>
        <w:tc>
          <w:tcPr>
            <w:tcW w:w="100" w:type="dxa"/>
            <w:vAlign w:val="bottom"/>
            <w:tcBorders>
              <w:bottom w:val="single" w:sz="8" w:color="CCEEFF"/>
            </w:tcBorders>
          </w:tcPr>
          <w:p>
            <w:pPr>
              <w:spacing w:after="0"/>
              <w:rPr>
                <w:sz w:val="20"/>
                <w:szCs w:val="20"/>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96,497</w:t>
            </w:r>
          </w:p>
        </w:tc>
        <w:tc>
          <w:tcPr>
            <w:tcW w:w="100" w:type="dxa"/>
            <w:vAlign w:val="bottom"/>
            <w:shd w:val="clear" w:color="auto" w:fill="CCEEFF"/>
          </w:tcPr>
          <w:p>
            <w:pPr>
              <w:spacing w:after="0"/>
              <w:rPr>
                <w:sz w:val="18"/>
                <w:szCs w:val="18"/>
                <w:color w:val="auto"/>
              </w:rPr>
            </w:pPr>
          </w:p>
        </w:tc>
      </w:tr>
      <w:tr>
        <w:trPr>
          <w:trHeight w:val="237"/>
        </w:trPr>
        <w:tc>
          <w:tcPr>
            <w:tcW w:w="9000" w:type="dxa"/>
            <w:vAlign w:val="bottom"/>
            <w:gridSpan w:val="2"/>
          </w:tcPr>
          <w:p>
            <w:pPr>
              <w:spacing w:after="0"/>
              <w:rPr>
                <w:sz w:val="20"/>
                <w:szCs w:val="20"/>
                <w:color w:val="auto"/>
              </w:rPr>
            </w:pPr>
            <w:r>
              <w:rPr>
                <w:rFonts w:ascii="Arial" w:cs="Arial" w:eastAsia="Arial" w:hAnsi="Arial"/>
                <w:sz w:val="18"/>
                <w:szCs w:val="18"/>
                <w:color w:val="auto"/>
              </w:rPr>
              <w:t>Less: Estimated interest paid-in-kind</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(20,305)</w:t>
            </w:r>
          </w:p>
        </w:tc>
      </w:tr>
      <w:tr>
        <w:trPr>
          <w:trHeight w:val="236"/>
        </w:trPr>
        <w:tc>
          <w:tcPr>
            <w:tcW w:w="9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Unamortized debt issuance costs, non-current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(56,950</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36"/>
        </w:trPr>
        <w:tc>
          <w:tcPr>
            <w:tcW w:w="9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carrying amount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current portion of debt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30"/>
        </w:trPr>
        <w:tc>
          <w:tcPr>
            <w:tcW w:w="9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REVOLVING NOTE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6, 2021, the Company entered into a revolving note agreement with a lender to borrow up to $8,000. The borrowing amount is limited and based on the lesser of maximum principal amount of $8,000 and the sum equal to 80% of eligible accounts receivable and 50% of eligible inventory. Interest on each advance shall accrue at the prime rate announced by US Bank from time to time, as and when such rate changes. The revolving credit amount is collateralized by all assets of the Company. The Company drew an initial amount of $5,000 under the facility, which it subsequently re-paid and the revolving note was terminated as a closing condition of the 2021-6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 9 - INCOME TAXES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rPr>
              <w:t>The income tax expense consists of the following items: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w:t>
            </w:r>
          </w:p>
        </w:tc>
        <w:tc>
          <w:tcPr>
            <w:tcW w:w="8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Components of deferred tax assets (liabilities) are as follows:</w:t>
            </w: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Lease liability</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506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bad debt</w:t>
            </w: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8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Fixed assets and intangibles</w:t>
            </w: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Operating Loss</w:t>
            </w:r>
          </w:p>
        </w:tc>
        <w:tc>
          <w:tcPr>
            <w:tcW w:w="8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Inventory (Sec. 263A)</w:t>
            </w:r>
          </w:p>
        </w:tc>
        <w:tc>
          <w:tcPr>
            <w:tcW w:w="8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59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Deferred tax asset</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8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deferred tax asset (liability)</w:t>
            </w:r>
          </w:p>
        </w:tc>
        <w:tc>
          <w:tcPr>
            <w:tcW w:w="880" w:type="dxa"/>
            <w:vAlign w:val="bottom"/>
            <w:tcBorders>
              <w:top w:val="single" w:sz="8" w:color="auto"/>
            </w:tcBorders>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7,324</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(453)</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(7,324)</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 between the effective tax rate on income from continuing operations and the statutory rate for the years ended December 31, 2022 and 2021, are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8"/>
                <w:szCs w:val="18"/>
                <w:color w:val="auto"/>
              </w:rPr>
              <w:t>Tax</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8"/>
                <w:szCs w:val="18"/>
                <w:color w:val="auto"/>
              </w:rPr>
              <w:t>Tax</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6"/>
              </w:rPr>
              <w:t>Percentage</w:t>
            </w:r>
          </w:p>
        </w:tc>
        <w:tc>
          <w:tcPr>
            <w:tcW w:w="80" w:type="dxa"/>
            <w:vAlign w:val="bottom"/>
          </w:tcPr>
          <w:p>
            <w:pPr>
              <w:spacing w:after="0"/>
              <w:rPr>
                <w:sz w:val="20"/>
                <w:szCs w:val="20"/>
                <w:color w:val="auto"/>
              </w:rPr>
            </w:pPr>
          </w:p>
        </w:tc>
      </w:tr>
      <w:tr>
        <w:trPr>
          <w:trHeight w:val="22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income (loss) before taxes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Permanent differences (transaction costs)</w:t>
            </w:r>
          </w:p>
        </w:tc>
        <w:tc>
          <w:tcPr>
            <w:tcW w:w="24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2,185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(warrants)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Permanent differences (other -other than tax)</w:t>
            </w:r>
          </w:p>
        </w:tc>
        <w:tc>
          <w:tcPr>
            <w:tcW w:w="24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true-up</w:t>
            </w:r>
          </w:p>
        </w:tc>
        <w:tc>
          <w:tcPr>
            <w:tcW w:w="24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4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r>
      <w:tr>
        <w:trPr>
          <w:trHeight w:val="236"/>
        </w:trPr>
        <w:tc>
          <w:tcPr>
            <w:tcW w:w="4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0"/>
                <w:szCs w:val="20"/>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7,324</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50"/>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23"/>
        </w:trPr>
        <w:tc>
          <w:tcPr>
            <w:tcW w:w="4120" w:type="dxa"/>
            <w:vAlign w:val="bottom"/>
          </w:tcPr>
          <w:p>
            <w:pPr>
              <w:ind w:left="36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returns of the Company are open for three years form the date of filing. At the report date, the statute of limitations for federal and state tax returns are open for the Company for 2019, 2020 and 2021.</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Subject to the limitations described below, as of December 31, 2022, the Company had federal net operating loss carryforwards of approximately $16,140, available to reduce future taxable income which do not expire, but are limited to 80% utilization against taxable income. As of December 31, 2022, the Company had state net operating loss carryforwards of approximately $6,747, available to reduce future taxable income, which start to expire in 2037. The</w:t>
      </w:r>
    </w:p>
    <w:p>
      <w:pPr>
        <w:sectPr>
          <w:pgSz w:w="11900" w:h="16838" w:orient="portrait"/>
          <w:cols w:equalWidth="0" w:num="1">
            <w:col w:w="11240"/>
          </w:cols>
          <w:pgMar w:left="320" w:top="688" w:right="339" w:bottom="0" w:gutter="0" w:footer="0" w:header="0"/>
        </w:sectPr>
      </w:pPr>
    </w:p>
    <w:bookmarkStart w:id="134" w:name="page135"/>
    <w:bookmarkEnd w:id="134"/>
    <w:p>
      <w:pPr>
        <w:spacing w:after="0" w:line="277" w:lineRule="auto"/>
        <w:rPr>
          <w:sz w:val="20"/>
          <w:szCs w:val="20"/>
          <w:color w:val="auto"/>
        </w:rPr>
      </w:pPr>
      <w:r>
        <w:rPr>
          <w:rFonts w:ascii="Arial" w:cs="Arial" w:eastAsia="Arial" w:hAnsi="Arial"/>
          <w:sz w:val="18"/>
          <w:szCs w:val="18"/>
          <w:color w:val="auto"/>
        </w:rPr>
        <w:t>Company also had research and development credits of $200 as of December 31, 2022 to offset future federal income taxes, which are set to expire in 2042.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$7,324, primarily due to the company entering into a 3 year cumulative loss position and no expectation of income for the year ended December 31, 2023.</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The roll-forward of the Company’s gross uncertain tax positions is as follows: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1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Gross Uncertain Tax</w:t>
            </w:r>
          </w:p>
        </w:tc>
      </w:tr>
      <w:tr>
        <w:trPr>
          <w:trHeight w:val="237"/>
        </w:trPr>
        <w:tc>
          <w:tcPr>
            <w:tcW w:w="11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Position</w:t>
            </w:r>
          </w:p>
        </w:tc>
      </w:tr>
      <w:tr>
        <w:trPr>
          <w:trHeight w:val="216"/>
        </w:trPr>
        <w:tc>
          <w:tcPr>
            <w:tcW w:w="11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03"/>
        </w:trPr>
        <w:tc>
          <w:tcPr>
            <w:tcW w:w="1120" w:type="dxa"/>
            <w:vAlign w:val="bottom"/>
          </w:tcPr>
          <w:p>
            <w:pPr>
              <w:spacing w:after="0"/>
              <w:rPr>
                <w:sz w:val="17"/>
                <w:szCs w:val="17"/>
                <w:color w:val="auto"/>
              </w:rPr>
            </w:pPr>
          </w:p>
        </w:tc>
        <w:tc>
          <w:tcPr>
            <w:tcW w:w="71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Balance- December 31, 2021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120" w:type="dxa"/>
            <w:vAlign w:val="bottom"/>
          </w:tcPr>
          <w:p>
            <w:pPr>
              <w:spacing w:after="0"/>
              <w:rPr>
                <w:sz w:val="21"/>
                <w:szCs w:val="21"/>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r>
      <w:tr>
        <w:trPr>
          <w:trHeight w:val="217"/>
        </w:trPr>
        <w:tc>
          <w:tcPr>
            <w:tcW w:w="1120" w:type="dxa"/>
            <w:vAlign w:val="bottom"/>
          </w:tcPr>
          <w:p>
            <w:pPr>
              <w:spacing w:after="0"/>
              <w:rPr>
                <w:sz w:val="18"/>
                <w:szCs w:val="18"/>
                <w:color w:val="auto"/>
              </w:rPr>
            </w:pPr>
          </w:p>
        </w:tc>
        <w:tc>
          <w:tcPr>
            <w:tcW w:w="71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December 31, 2022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Bourns Productions, Inc.</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January 1, 2022, the Company entered into an asset purchase agreement (the “</w:t>
      </w:r>
      <w:r>
        <w:rPr>
          <w:rFonts w:ascii="Arial" w:cs="Arial" w:eastAsia="Arial" w:hAnsi="Arial"/>
          <w:sz w:val="18"/>
          <w:szCs w:val="18"/>
          <w:b w:val="1"/>
          <w:bCs w:val="1"/>
          <w:color w:val="auto"/>
        </w:rPr>
        <w:t>APA</w:t>
      </w:r>
      <w:r>
        <w:rPr>
          <w:rFonts w:ascii="Arial" w:cs="Arial" w:eastAsia="Arial" w:hAnsi="Arial"/>
          <w:sz w:val="18"/>
          <w:szCs w:val="18"/>
          <w:color w:val="auto"/>
        </w:rPr>
        <w:t>”) with Bourns Productions, Inc., a Nevada corporation (“</w:t>
      </w:r>
      <w:r>
        <w:rPr>
          <w:rFonts w:ascii="Arial" w:cs="Arial" w:eastAsia="Arial" w:hAnsi="Arial"/>
          <w:sz w:val="18"/>
          <w:szCs w:val="18"/>
          <w:b w:val="1"/>
          <w:bCs w:val="1"/>
          <w:color w:val="auto"/>
        </w:rPr>
        <w:t>Bourns</w:t>
      </w:r>
      <w:r>
        <w:rPr>
          <w:rFonts w:ascii="Arial" w:cs="Arial" w:eastAsia="Arial" w:hAnsi="Arial"/>
          <w:sz w:val="18"/>
          <w:szCs w:val="18"/>
          <w:color w:val="auto"/>
        </w:rPr>
        <w:t xml:space="preserve"> </w:t>
      </w:r>
      <w:r>
        <w:rPr>
          <w:rFonts w:ascii="Arial" w:cs="Arial" w:eastAsia="Arial" w:hAnsi="Arial"/>
          <w:sz w:val="18"/>
          <w:szCs w:val="18"/>
          <w:b w:val="1"/>
          <w:bCs w:val="1"/>
          <w:color w:val="auto"/>
        </w:rPr>
        <w:t>Productions</w:t>
      </w:r>
      <w:r>
        <w:rPr>
          <w:rFonts w:ascii="Arial" w:cs="Arial" w:eastAsia="Arial" w:hAnsi="Arial"/>
          <w:sz w:val="18"/>
          <w:szCs w:val="18"/>
          <w:color w:val="auto"/>
        </w:rPr>
        <w:t>”), pursuant to which the Company acquired machinery, equipment and a lease for a podcast studio from Bourns Production Productions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APA for a purchase price of $197 which approximated fair market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Thomason Jones Company, LLC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2022, the Company entered into an Asset Purchase Agreement with William Thomason, Richard Jones, and Thomason Jones Company, LLC (“</w:t>
      </w:r>
      <w:r>
        <w:rPr>
          <w:rFonts w:ascii="Arial" w:cs="Arial" w:eastAsia="Arial" w:hAnsi="Arial"/>
          <w:sz w:val="17"/>
          <w:szCs w:val="17"/>
          <w:b w:val="1"/>
          <w:bCs w:val="1"/>
          <w:color w:val="auto"/>
        </w:rPr>
        <w:t>Thomason Jones</w:t>
      </w:r>
      <w:r>
        <w:rPr>
          <w:rFonts w:ascii="Arial" w:cs="Arial" w:eastAsia="Arial" w:hAnsi="Arial"/>
          <w:sz w:val="17"/>
          <w:szCs w:val="17"/>
          <w:color w:val="auto"/>
        </w:rPr>
        <w:t>”), whereby the Company acquired inventory and intellectual property assets for $444 cash plus contingent payments of $1,000 each to William Thomason and Richard Jones (the “</w:t>
      </w:r>
      <w:r>
        <w:rPr>
          <w:rFonts w:ascii="Arial" w:cs="Arial" w:eastAsia="Arial" w:hAnsi="Arial"/>
          <w:sz w:val="17"/>
          <w:szCs w:val="17"/>
          <w:b w:val="1"/>
          <w:bCs w:val="1"/>
          <w:color w:val="auto"/>
        </w:rPr>
        <w:t>Earn Out</w:t>
      </w:r>
      <w:r>
        <w:rPr>
          <w:rFonts w:ascii="Arial" w:cs="Arial" w:eastAsia="Arial" w:hAnsi="Arial"/>
          <w:sz w:val="17"/>
          <w:szCs w:val="17"/>
          <w:color w:val="auto"/>
        </w:rPr>
        <w:t>”). The Company determined the contingent consideration to be recognized as contingent compensation to Mr. Thomason and Mr. Jones. The entire purchase price of $444 was allocated to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Compensation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Jones each the amount of $1,000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$782 as of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25, 2022, the Company entered into a separation and release of claims agreement with its Chief Operating Officer (“</w:t>
      </w:r>
      <w:r>
        <w:rPr>
          <w:rFonts w:ascii="Arial" w:cs="Arial" w:eastAsia="Arial" w:hAnsi="Arial"/>
          <w:sz w:val="18"/>
          <w:szCs w:val="18"/>
          <w:b w:val="1"/>
          <w:bCs w:val="1"/>
          <w:color w:val="auto"/>
        </w:rPr>
        <w:t>COO</w:t>
      </w:r>
      <w:r>
        <w:rPr>
          <w:rFonts w:ascii="Arial" w:cs="Arial" w:eastAsia="Arial" w:hAnsi="Arial"/>
          <w:sz w:val="18"/>
          <w:szCs w:val="18"/>
          <w:color w:val="auto"/>
        </w:rPr>
        <w:t>”).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524"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discussed in Note 3, the Company assumed the outstanding public and private placement warrants of CNTQ.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for further description of the warrants issued in connection with the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4,627,858 Private Warrants issued and outstanding.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Inception</w:t>
            </w:r>
          </w:p>
        </w:tc>
        <w:tc>
          <w:tcPr>
            <w:tcW w:w="1120" w:type="dxa"/>
            <w:vAlign w:val="bottom"/>
          </w:tcPr>
          <w:p>
            <w:pPr>
              <w:jc w:val="center"/>
              <w:spacing w:after="0"/>
              <w:rPr>
                <w:sz w:val="20"/>
                <w:szCs w:val="20"/>
                <w:color w:val="auto"/>
              </w:rPr>
            </w:pPr>
            <w:r>
              <w:rPr>
                <w:rFonts w:ascii="Arial" w:cs="Arial" w:eastAsia="Arial" w:hAnsi="Arial"/>
                <w:sz w:val="18"/>
                <w:szCs w:val="18"/>
                <w:color w:val="auto"/>
              </w:rPr>
              <w:t>Initial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Date</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Recognition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9"/>
              </w:rPr>
              <w:t>Exercise</w:t>
            </w:r>
          </w:p>
        </w:tc>
        <w:tc>
          <w:tcPr>
            <w:tcW w:w="3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4060" w:type="dxa"/>
            <w:vAlign w:val="bottom"/>
          </w:tcPr>
          <w:p>
            <w:pPr>
              <w:jc w:val="center"/>
              <w:spacing w:after="0"/>
              <w:rPr>
                <w:sz w:val="20"/>
                <w:szCs w:val="20"/>
                <w:color w:val="auto"/>
              </w:rPr>
            </w:pPr>
            <w:r>
              <w:rPr>
                <w:rFonts w:ascii="Arial" w:cs="Arial" w:eastAsia="Arial" w:hAnsi="Arial"/>
                <w:sz w:val="18"/>
                <w:szCs w:val="18"/>
                <w:color w:val="auto"/>
                <w:w w:val="89"/>
              </w:rPr>
              <w:t>Warrant Class</w:t>
            </w:r>
          </w:p>
        </w:tc>
        <w:tc>
          <w:tcPr>
            <w:tcW w:w="22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Fair Value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Price</w:t>
            </w:r>
          </w:p>
        </w:tc>
        <w:tc>
          <w:tcPr>
            <w:tcW w:w="3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Private Placement Warrants</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4,627,858</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10/7/2022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11.5</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8/11/2026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shares (the “</w:t>
      </w:r>
      <w:r>
        <w:rPr>
          <w:rFonts w:ascii="Arial" w:cs="Arial" w:eastAsia="Arial" w:hAnsi="Arial"/>
          <w:sz w:val="17"/>
          <w:szCs w:val="17"/>
          <w:b w:val="1"/>
          <w:bCs w:val="1"/>
          <w:color w:val="auto"/>
        </w:rPr>
        <w:t>Penny Warrants</w:t>
      </w:r>
      <w:r>
        <w:rPr>
          <w:rFonts w:ascii="Arial" w:cs="Arial" w:eastAsia="Arial" w:hAnsi="Arial"/>
          <w:sz w:val="17"/>
          <w:szCs w:val="17"/>
          <w:color w:val="auto"/>
        </w:rPr>
        <w:t>”) and (ii) the $10 warrants to issue warrants to the Term Loan Lenders exercisable to purchase an aggregate of 1,600,000 shares of common stock at $10 per share (the “$10 Warrants” and, together with the Penny Warrants, the “ Term Loan Warrants”). The $10 Warrants were exercised on a cashless basis on October 10, 2022, with the Company agreeing to issue 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As of</w:t>
            </w:r>
          </w:p>
        </w:tc>
        <w:tc>
          <w:tcPr>
            <w:tcW w:w="272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2"/>
              </w:rPr>
              <w:t>Initial Measurement</w:t>
            </w:r>
          </w:p>
        </w:tc>
        <w:tc>
          <w:tcPr>
            <w:tcW w:w="24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2022</w:t>
            </w:r>
          </w:p>
        </w:tc>
        <w:tc>
          <w:tcPr>
            <w:tcW w:w="272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5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Term</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F-26</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$10 Warrants: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rPr>
              <w:t>Initial</w:t>
            </w:r>
          </w:p>
        </w:tc>
      </w:tr>
      <w:tr>
        <w:trPr>
          <w:trHeight w:val="237"/>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Measurement</w:t>
            </w: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Term</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Risk-free rate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presents a roll-forward of the Company’s warrants from January 1, 2022 to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ectPr>
          <w:pgSz w:w="11900" w:h="16838" w:orient="portrait"/>
          <w:cols w:equalWidth="0" w:num="1">
            <w:col w:w="11240"/>
          </w:cols>
          <w:pgMar w:left="320" w:top="688" w:right="339" w:bottom="1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570928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9285"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9285" cy="1625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570928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9285"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928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570928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Issued in conjunction with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928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928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4,627,858</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9683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31750</wp:posOffset>
            </wp:positionV>
            <wp:extent cx="9683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9,487,500</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9683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31750</wp:posOffset>
            </wp:positionV>
            <wp:extent cx="9683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4,193,056</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(1,600,000)</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2,593,056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22225</wp:posOffset>
            </wp:positionV>
            <wp:extent cx="9683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39370</wp:posOffset>
            </wp:positionV>
            <wp:extent cx="9683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7500" w:space="720"/>
            <w:col w:w="3020"/>
          </w:cols>
          <w:pgMar w:left="320" w:top="688" w:right="339" w:bottom="1145"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roll-forward of the aggregate fair values of the Company’s warrant liabilities for which fair value is determined by Level 3 Inputs. The only class of warrants that were determined to be Level 3 are the term loan warrants.</w:t>
      </w:r>
    </w:p>
    <w:p>
      <w:pPr>
        <w:sectPr>
          <w:pgSz w:w="11900" w:h="16838" w:orient="portrait"/>
          <w:cols w:equalWidth="0" w:num="1">
            <w:col w:w="11240"/>
          </w:cols>
          <w:pgMar w:left="320" w:top="688" w:right="339" w:bottom="1145"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Balances,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498919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 in fair value of warrants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Balances,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4989195"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891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796"/>
        <w:spacing w:after="0"/>
        <w:rPr>
          <w:sz w:val="20"/>
          <w:szCs w:val="20"/>
          <w:color w:val="auto"/>
        </w:rPr>
      </w:pPr>
      <w:r>
        <w:rPr>
          <w:rFonts w:ascii="Arial" w:cs="Arial" w:eastAsia="Arial" w:hAnsi="Arial"/>
          <w:sz w:val="18"/>
          <w:szCs w:val="18"/>
          <w:color w:val="auto"/>
        </w:rPr>
        <w:t>Warrant Liability</w:t>
      </w:r>
    </w:p>
    <w:p>
      <w:pPr>
        <w:spacing w:after="0" w:line="36" w:lineRule="exact"/>
        <w:rPr>
          <w:sz w:val="20"/>
          <w:szCs w:val="20"/>
          <w:color w:val="auto"/>
        </w:rPr>
      </w:pPr>
    </w:p>
    <w:p>
      <w:pPr>
        <w:ind w:left="4"/>
        <w:spacing w:after="0"/>
        <w:tabs>
          <w:tab w:leader="none" w:pos="142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52,956</w:t>
      </w:r>
    </w:p>
    <w:p>
      <w:pPr>
        <w:spacing w:after="0" w:line="9"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(16,669)</w:t>
      </w:r>
    </w:p>
    <w:p>
      <w:pPr>
        <w:spacing w:after="0" w:line="9"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(5,446)</w:t>
      </w:r>
    </w:p>
    <w:p>
      <w:pPr>
        <w:spacing w:after="0" w:line="49" w:lineRule="exact"/>
        <w:rPr>
          <w:sz w:val="20"/>
          <w:szCs w:val="20"/>
          <w:color w:val="auto"/>
        </w:rPr>
      </w:pPr>
    </w:p>
    <w:p>
      <w:pPr>
        <w:ind w:left="1004" w:hanging="1004"/>
        <w:spacing w:after="0"/>
        <w:tabs>
          <w:tab w:leader="none" w:pos="10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30,841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9601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16" w:space="720"/>
            <w:col w:w="4304"/>
          </w:cols>
          <w:pgMar w:left="320" w:top="688" w:right="339" w:bottom="1145" w:gutter="0" w:footer="0" w:header="0"/>
          <w:type w:val="continuous"/>
        </w:sectPr>
      </w:pP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45"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authorized to issue up to 170,000,000 shares of common stock with $0.0001 par value. Common stockholders are entitled to dividends if and when declared by the Board of Directors subject to the rights of the preferred stockholders. As of December 31, 2022 and 2021, there were 43,272,728 and 36,496,998 shares issued and outstanding retroactively adjusted and no dividends on common stock had been declared by the Company.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 Company had reserved shares of common stock for issuance as follows: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December 31,</w:t>
            </w:r>
          </w:p>
        </w:tc>
      </w:tr>
      <w:tr>
        <w:trPr>
          <w:trHeight w:val="237"/>
        </w:trPr>
        <w:tc>
          <w:tcPr>
            <w:tcW w:w="59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Common stock outstanding</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43,272,728</w:t>
            </w: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36,496,998</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outstanding</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16,708,414</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Earnout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40,000,000</w:t>
            </w:r>
          </w:p>
        </w:tc>
        <w:tc>
          <w:tcPr>
            <w:tcW w:w="26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96"/>
        </w:trPr>
        <w:tc>
          <w:tcPr>
            <w:tcW w:w="594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 xml:space="preserve">Shares available for future issuance </w:t>
            </w:r>
            <w:r>
              <w:rPr>
                <w:rFonts w:ascii="Arial" w:cs="Arial" w:eastAsia="Arial" w:hAnsi="Arial"/>
                <w:sz w:val="29"/>
                <w:szCs w:val="29"/>
                <w:color w:val="auto"/>
                <w:vertAlign w:val="superscript"/>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4,924,914</w:t>
            </w:r>
          </w:p>
        </w:tc>
        <w:tc>
          <w:tcPr>
            <w:tcW w:w="2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12,207</w:t>
            </w:r>
          </w:p>
        </w:tc>
      </w:tr>
      <w:tr>
        <w:trPr>
          <w:trHeight w:val="217"/>
        </w:trPr>
        <w:tc>
          <w:tcPr>
            <w:tcW w:w="59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108,549,014</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40,200,160</w:t>
            </w:r>
          </w:p>
        </w:tc>
        <w:tc>
          <w:tcPr>
            <w:tcW w:w="100" w:type="dxa"/>
            <w:vAlign w:val="bottom"/>
            <w:tcBorders>
              <w:top w:val="single" w:sz="8" w:color="CCEEFF"/>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100" w:firstLine="68"/>
        <w:spacing w:after="0" w:line="498" w:lineRule="auto"/>
        <w:tabs>
          <w:tab w:leader="none" w:pos="3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Refer to Stock Incentive Plan amendment at Note 14 ChEF Equity Facility</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 and CCM LLC entered into a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and a Registration Rights Agreement (the “</w:t>
      </w:r>
      <w:r>
        <w:rPr>
          <w:rFonts w:ascii="Arial" w:cs="Arial" w:eastAsia="Arial" w:hAnsi="Arial"/>
          <w:sz w:val="17"/>
          <w:szCs w:val="17"/>
          <w:b w:val="1"/>
          <w:bCs w:val="1"/>
          <w:color w:val="auto"/>
        </w:rPr>
        <w:t>ChEF RRA</w:t>
      </w:r>
      <w:r>
        <w:rPr>
          <w:rFonts w:ascii="Arial" w:cs="Arial" w:eastAsia="Arial" w:hAnsi="Arial"/>
          <w:sz w:val="17"/>
          <w:szCs w:val="17"/>
          <w:color w:val="auto"/>
        </w:rPr>
        <w:t>”)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w:t>
      </w:r>
      <w:r>
        <w:rPr>
          <w:rFonts w:ascii="Arial" w:cs="Arial" w:eastAsia="Arial" w:hAnsi="Arial"/>
          <w:sz w:val="17"/>
          <w:szCs w:val="17"/>
          <w:b w:val="1"/>
          <w:bCs w:val="1"/>
          <w:color w:val="auto"/>
        </w:rPr>
        <w:t>ChEF Equity Facility</w:t>
      </w:r>
      <w:r>
        <w:rPr>
          <w:rFonts w:ascii="Arial" w:cs="Arial" w:eastAsia="Arial" w:hAnsi="Arial"/>
          <w:sz w:val="17"/>
          <w:szCs w:val="17"/>
          <w:color w:val="auto"/>
        </w:rPr>
        <w: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pursuant to the ChEF RRA, the Company has agreed to provide CCM LLC with certain registration rights with respect to the shares of common stock issued subject to the Purchase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12, 2019, the Board of Directors approved the 2019 Stock Incentive Plan (the “</w:t>
      </w:r>
      <w:r>
        <w:rPr>
          <w:rFonts w:ascii="Arial" w:cs="Arial" w:eastAsia="Arial" w:hAnsi="Arial"/>
          <w:sz w:val="18"/>
          <w:szCs w:val="18"/>
          <w:b w:val="1"/>
          <w:bCs w:val="1"/>
          <w:color w:val="auto"/>
        </w:rPr>
        <w:t>2019 Plan</w:t>
      </w:r>
      <w:r>
        <w:rPr>
          <w:rFonts w:ascii="Arial" w:cs="Arial" w:eastAsia="Arial" w:hAnsi="Arial"/>
          <w:sz w:val="18"/>
          <w:szCs w:val="18"/>
          <w:color w:val="auto"/>
        </w:rPr>
        <w:t>”) with a term of ten years. The Plan was administered by the Board of Directors, which was authorized to grant, at its discretion, awards to employees, directors, and consultants. The maximum number of common shares that were reserved for grants of awards under the Plan was 3,000,000 shares. The Plan provided for the grant of stock options (both incentive stock options and nonqualified stock options), and the grants and sale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Shares issued under this Plan may be drawn from authorized and unissued shares, or shares reacquired by the Company.</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July of 2021, the Board of Directors approved the 2021 Stock Incentive Plan (the “</w:t>
      </w:r>
      <w:r>
        <w:rPr>
          <w:rFonts w:ascii="Arial" w:cs="Arial" w:eastAsia="Arial" w:hAnsi="Arial"/>
          <w:sz w:val="16"/>
          <w:szCs w:val="16"/>
          <w:b w:val="1"/>
          <w:bCs w:val="1"/>
          <w:color w:val="auto"/>
        </w:rPr>
        <w:t>2021 Plan</w:t>
      </w:r>
      <w:r>
        <w:rPr>
          <w:rFonts w:ascii="Arial" w:cs="Arial" w:eastAsia="Arial" w:hAnsi="Arial"/>
          <w:sz w:val="16"/>
          <w:szCs w:val="16"/>
          <w:color w:val="auto"/>
        </w:rPr>
        <w:t>” and, together with the 2019 Plan, the “</w:t>
      </w:r>
      <w:r>
        <w:rPr>
          <w:rFonts w:ascii="Arial" w:cs="Arial" w:eastAsia="Arial" w:hAnsi="Arial"/>
          <w:sz w:val="16"/>
          <w:szCs w:val="16"/>
          <w:b w:val="1"/>
          <w:bCs w:val="1"/>
          <w:color w:val="auto"/>
        </w:rPr>
        <w:t>Prior Plans</w:t>
      </w:r>
      <w:r>
        <w:rPr>
          <w:rFonts w:ascii="Arial" w:cs="Arial" w:eastAsia="Arial" w:hAnsi="Arial"/>
          <w:sz w:val="16"/>
          <w:szCs w:val="16"/>
          <w:color w:val="auto"/>
        </w:rPr>
        <w:t>”)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merger, shareholders and board members approved the 2022 Equity Incentive Plan (the “</w:t>
      </w:r>
      <w:r>
        <w:rPr>
          <w:rFonts w:ascii="Arial" w:cs="Arial" w:eastAsia="Arial" w:hAnsi="Arial"/>
          <w:sz w:val="16"/>
          <w:szCs w:val="16"/>
          <w:b w:val="1"/>
          <w:bCs w:val="1"/>
          <w:color w:val="auto"/>
        </w:rPr>
        <w:t>2022 Plan</w:t>
      </w:r>
      <w:r>
        <w:rPr>
          <w:rFonts w:ascii="Arial" w:cs="Arial" w:eastAsia="Arial" w:hAnsi="Arial"/>
          <w:sz w:val="16"/>
          <w:szCs w:val="16"/>
          <w:color w:val="auto"/>
        </w:rPr>
        <w:t>”).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maintains an Employee Stock Purchase Plan (“</w:t>
      </w:r>
      <w:r>
        <w:rPr>
          <w:rFonts w:ascii="Arial" w:cs="Arial" w:eastAsia="Arial" w:hAnsi="Arial"/>
          <w:sz w:val="17"/>
          <w:szCs w:val="17"/>
          <w:b w:val="1"/>
          <w:bCs w:val="1"/>
          <w:color w:val="auto"/>
        </w:rPr>
        <w:t>ESPP</w:t>
      </w:r>
      <w:r>
        <w:rPr>
          <w:rFonts w:ascii="Arial" w:cs="Arial" w:eastAsia="Arial" w:hAnsi="Arial"/>
          <w:sz w:val="17"/>
          <w:szCs w:val="17"/>
          <w:color w:val="auto"/>
        </w:rPr>
        <w:t>”)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4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Weighted-</w:t>
            </w: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440"/>
              <w:spacing w:after="0" w:line="176" w:lineRule="exact"/>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Average Grant</w:t>
            </w:r>
          </w:p>
        </w:tc>
        <w:tc>
          <w:tcPr>
            <w:tcW w:w="3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5"/>
              </w:rPr>
              <w:t>Contractual Life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77"/>
        </w:trPr>
        <w:tc>
          <w:tcPr>
            <w:tcW w:w="3600" w:type="dxa"/>
            <w:vAlign w:val="bottom"/>
          </w:tcPr>
          <w:p>
            <w:pPr>
              <w:spacing w:after="0"/>
              <w:rPr>
                <w:sz w:val="24"/>
                <w:szCs w:val="24"/>
                <w:color w:val="auto"/>
              </w:rPr>
            </w:pPr>
          </w:p>
        </w:tc>
        <w:tc>
          <w:tcPr>
            <w:tcW w:w="1420" w:type="dxa"/>
            <w:vAlign w:val="bottom"/>
            <w:gridSpan w:val="2"/>
          </w:tcPr>
          <w:p>
            <w:pPr>
              <w:jc w:val="right"/>
              <w:ind w:right="440"/>
              <w:spacing w:after="0" w:line="270"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Exercise Price</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c>
          <w:tcPr>
            <w:tcW w:w="3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Intrinsic value</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3,029,791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2,069,309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(987,051)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5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2022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3,690,955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572,428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(581,351)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0.89</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2022</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1,646,304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3,642,958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292"/>
        <w:spacing w:after="0" w:line="308" w:lineRule="auto"/>
        <w:tabs>
          <w:tab w:leader="none" w:pos="360" w:val="left"/>
        </w:tabs>
        <w:numPr>
          <w:ilvl w:val="0"/>
          <w:numId w:val="67"/>
        </w:numPr>
        <w:rPr>
          <w:rFonts w:ascii="Arial" w:cs="Arial" w:eastAsia="Arial" w:hAnsi="Arial"/>
          <w:sz w:val="17"/>
          <w:szCs w:val="17"/>
          <w:i w:val="1"/>
          <w:iCs w:val="1"/>
          <w:color w:val="auto"/>
        </w:rPr>
      </w:pPr>
      <w:r>
        <w:rPr>
          <w:rFonts w:ascii="Arial" w:cs="Arial" w:eastAsia="Arial" w:hAnsi="Arial"/>
          <w:sz w:val="17"/>
          <w:szCs w:val="17"/>
          <w:i w:val="1"/>
          <w:iCs w:val="1"/>
          <w:color w:val="auto"/>
        </w:rPr>
        <w:t>Number of options and weighted average exercise price has been adjusted to reflect the exchange of Legacy Dragonfly’s stock options for New Dragonfly stock options at an exchange ratio of approximately 1.182 as a result of the merger. See Note 3 for further information.</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Share-based compensation expense for options and RSUs totaling $2,467 and $734 was recognized in the Company’s consolidated statements of operations for the years ended December 31, 2022 and 2021, respectively. Of the $2,467 of share-based compensation incurred during the year ended December 31, 2022, $155 is allocated to cost of goods sold, $149 to research and development, $654 to selling and marketing, and $1,509 to general and administrative expenses. Of the $734 of share-based compensation incurred during the year ended December 31, 2021, $252 is allocated to cost of goods sold, $95 to research and development, $156 to selling and marketing, and $231 to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4,924,914 shares of unissued authorized and available for future awards under the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200"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1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2.71%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45.0%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grants of restricted stock units prior to October 7, 2022. The following table presents the restricted stock units activity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w w:val="96"/>
              </w:rPr>
              <w:t>Weighted-Average Fair</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Market Value</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December 31,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Granted and unvested</w:t>
            </w:r>
          </w:p>
        </w:tc>
        <w:tc>
          <w:tcPr>
            <w:tcW w:w="1680" w:type="dxa"/>
            <w:vAlign w:val="bottom"/>
          </w:tcPr>
          <w:p>
            <w:pPr>
              <w:jc w:val="right"/>
              <w:spacing w:after="0"/>
              <w:rPr>
                <w:sz w:val="20"/>
                <w:szCs w:val="20"/>
                <w:color w:val="auto"/>
              </w:rPr>
            </w:pPr>
            <w:r>
              <w:rPr>
                <w:rFonts w:ascii="Arial" w:cs="Arial" w:eastAsia="Arial" w:hAnsi="Arial"/>
                <w:sz w:val="18"/>
                <w:szCs w:val="18"/>
                <w:color w:val="auto"/>
              </w:rPr>
              <w:t>180,000</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December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Vested as of December 31, 2022</w:t>
            </w: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REDEEMABLE PREFERRED STOCK RIGHTS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merger, Legacy Redeemable Convertible Preferred Stock previously classified as temporary equity was retroactively adjusted, converted into common stock at an exchange ratio of approximately 1.182, and reclassified to permanent equity as a result of the reverse recapitalization. As of December 31, 2022, there was no Legacy Redeemable Convertible Preferred Stock authorized, issued or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rights and preferences of the Legacy Dragonfly Redeemable Convertible Preferred Stock prior to the conversion in the merger: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holders of record of the shares of Series A Preferred Stock, exclusively and as a separate class, shall be entitled to elect one director of the Company (the “</w:t>
      </w:r>
      <w:r>
        <w:rPr>
          <w:rFonts w:ascii="Arial" w:cs="Arial" w:eastAsia="Arial" w:hAnsi="Arial"/>
          <w:sz w:val="16"/>
          <w:szCs w:val="16"/>
          <w:b w:val="1"/>
          <w:bCs w:val="1"/>
          <w:color w:val="auto"/>
        </w:rPr>
        <w:t>Series A Director</w:t>
      </w:r>
      <w:r>
        <w:rPr>
          <w:rFonts w:ascii="Arial" w:cs="Arial" w:eastAsia="Arial" w:hAnsi="Arial"/>
          <w:sz w:val="16"/>
          <w:szCs w:val="16"/>
          <w:color w:val="auto"/>
        </w:rPr>
        <w:t>”). The Series A Director shall be given two votes on any action requiring the vote or approval of the Board of Directors.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record of the shares of common stock, exclusively and as a separate class, shall be entitled to elect two directors of the Company, the “</w:t>
      </w:r>
      <w:r>
        <w:rPr>
          <w:rFonts w:ascii="Arial" w:cs="Arial" w:eastAsia="Arial" w:hAnsi="Arial"/>
          <w:sz w:val="18"/>
          <w:szCs w:val="18"/>
          <w:b w:val="1"/>
          <w:bCs w:val="1"/>
          <w:color w:val="auto"/>
        </w:rPr>
        <w:t>Common Stock Director A</w:t>
      </w:r>
      <w:r>
        <w:rPr>
          <w:rFonts w:ascii="Arial" w:cs="Arial" w:eastAsia="Arial" w:hAnsi="Arial"/>
          <w:sz w:val="18"/>
          <w:szCs w:val="18"/>
          <w:color w:val="auto"/>
        </w:rPr>
        <w:t>” and the “</w:t>
      </w:r>
      <w:r>
        <w:rPr>
          <w:rFonts w:ascii="Arial" w:cs="Arial" w:eastAsia="Arial" w:hAnsi="Arial"/>
          <w:sz w:val="18"/>
          <w:szCs w:val="18"/>
          <w:b w:val="1"/>
          <w:bCs w:val="1"/>
          <w:color w:val="auto"/>
        </w:rPr>
        <w:t>Common Stock Director B</w:t>
      </w:r>
      <w:r>
        <w:rPr>
          <w:rFonts w:ascii="Arial" w:cs="Arial" w:eastAsia="Arial" w:hAnsi="Arial"/>
          <w:sz w:val="18"/>
          <w:szCs w:val="18"/>
          <w:color w:val="auto"/>
        </w:rPr>
        <w:t>”).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916"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Dissolution or Winding Up; Certain Mergers, Consolidations and Assets Sales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as defined, the holders of shares of Series A Preferred Stock then outstanding (the “</w:t>
      </w:r>
      <w:r>
        <w:rPr>
          <w:rFonts w:ascii="Arial" w:cs="Arial" w:eastAsia="Arial" w:hAnsi="Arial"/>
          <w:sz w:val="17"/>
          <w:szCs w:val="17"/>
          <w:b w:val="1"/>
          <w:bCs w:val="1"/>
          <w:color w:val="auto"/>
        </w:rPr>
        <w:t>Series A shareholders</w:t>
      </w:r>
      <w:r>
        <w:rPr>
          <w:rFonts w:ascii="Arial" w:cs="Arial" w:eastAsia="Arial" w:hAnsi="Arial"/>
          <w:sz w:val="17"/>
          <w:szCs w:val="17"/>
          <w:color w:val="auto"/>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Conversion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either (a) the closing of the sale of shares of common stock at a price of at least $1.00 per share, in a firm-commitment underwritten public offering pursuant to an effective registration statement under the Securities Act of 1933, as amended, resulting in at least $25,000 of gross proceeds to the Company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information needed to compute basic and diluted (loss) earnings per share for the years ended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92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9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common share: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(Loss) Income available to common shareholders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(39,571)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shares-basic</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38,565,307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35,579,137</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83"/>
        </w:trPr>
        <w:tc>
          <w:tcPr>
            <w:tcW w:w="3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Earnings per share, basic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7"/>
        </w:trPr>
        <w:tc>
          <w:tcPr>
            <w:tcW w:w="34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Diluted (Loss) earnings per common share: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Weighted average number of common shares-basic</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38,565,307</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35,579,137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effect related to stock options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2,163,200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Pr>
          <w:p>
            <w:pPr>
              <w:spacing w:after="0"/>
              <w:rPr>
                <w:sz w:val="20"/>
                <w:szCs w:val="20"/>
                <w:color w:val="auto"/>
              </w:rPr>
            </w:pPr>
          </w:p>
        </w:tc>
      </w:tr>
      <w:tr>
        <w:trPr>
          <w:trHeight w:val="203"/>
        </w:trPr>
        <w:tc>
          <w:tcPr>
            <w:tcW w:w="34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Arial" w:cs="Arial" w:eastAsia="Arial" w:hAnsi="Arial"/>
                <w:sz w:val="18"/>
                <w:szCs w:val="18"/>
                <w:color w:val="auto"/>
              </w:rPr>
              <w:t>Weighted average diluted shares outstanding</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38,565,307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37,742,337</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diluted</w:t>
            </w: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F-31</w:t>
            </w: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014"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number of potential shares of common stock that have been excluded from diluted net income per share net (loss) income per share because their effect was anti-dilutive:</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r>
      <w:tr>
        <w:trPr>
          <w:trHeight w:val="237"/>
        </w:trPr>
        <w:tc>
          <w:tcPr>
            <w:tcW w:w="59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16,708,414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6"/>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number of common shares-basic</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20,531,372</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with a board member in the amount of $1,000, or the Principal Amount. Upon execution of the Note and funding of the original principal sum, a payment of $100, or the Loan Fee, was fully earned as of the date of the note and was due and payable in full in cash on April 4, 2023. The Company paid the Principal Amount and the Loan Fee on April 1, 2023 and April 4, 2023,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31, 2023, the Company changed its state of incorporation from the State of Delaware to the State of Nevada (the “</w:t>
      </w:r>
      <w:r>
        <w:rPr>
          <w:rFonts w:ascii="Arial" w:cs="Arial" w:eastAsia="Arial" w:hAnsi="Arial"/>
          <w:sz w:val="18"/>
          <w:szCs w:val="18"/>
          <w:b w:val="1"/>
          <w:bCs w:val="1"/>
          <w:color w:val="auto"/>
        </w:rPr>
        <w:t>Reincorporation</w:t>
      </w:r>
      <w:r>
        <w:rPr>
          <w:rFonts w:ascii="Arial" w:cs="Arial" w:eastAsia="Arial" w:hAnsi="Arial"/>
          <w:sz w:val="18"/>
          <w:szCs w:val="18"/>
          <w:color w:val="auto"/>
        </w:rPr>
        <w:t>”) pursuant to a plan of conversion dated March 30, 2023 (the “</w:t>
      </w:r>
      <w:r>
        <w:rPr>
          <w:rFonts w:ascii="Arial" w:cs="Arial" w:eastAsia="Arial" w:hAnsi="Arial"/>
          <w:sz w:val="18"/>
          <w:szCs w:val="18"/>
          <w:b w:val="1"/>
          <w:bCs w:val="1"/>
          <w:color w:val="auto"/>
        </w:rPr>
        <w:t>Plan of Conversion</w:t>
      </w:r>
      <w:r>
        <w:rPr>
          <w:rFonts w:ascii="Arial" w:cs="Arial" w:eastAsia="Arial" w:hAnsi="Arial"/>
          <w:sz w:val="18"/>
          <w:szCs w:val="18"/>
          <w:color w:val="auto"/>
        </w:rPr>
        <w:t>”). Pursuant to the Plan of Conversion, the issued and outstanding shares of common stock of the Company were automatically converted into common stock of the reincorporated company at the effective time of the Reincorporation.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Purchase Agreement described in Note 13 the Company issued 98,500 shares pursuant to the Purchase Agreement with CCM LLC for aggregate net proceeds to the Company of $671 through April 17,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As of</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March 31,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15,791</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51,812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Vehicle</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(1,884)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right of use asset</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18,824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Notes payable, net of deferred financing fees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related party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50,483</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Accrued expenses-long term</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Commitments and Contingencies (See Note 5)</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2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170,000,000 shares at $0.0001 par value, authorized, 45,795,502 and 43,272,728</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shares issued and outstanding as of March 31, 2023 and December 31, 2022, respectively</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5,000,000 shares at $0.0001 par value, authorized, no shares issued and</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March 31, 2023 and December 31, 2022, respectively</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54,551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w:t>
            </w: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(22,241)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(27,133)</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Equity</w:t>
            </w: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32,315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(9,816)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Income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Taxes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Basic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(Loss) Per Share- 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37"/>
        </w:trPr>
        <w:tc>
          <w:tcPr>
            <w:tcW w:w="74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Basic</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45,104,515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36,542,944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Weighted Average Number of Shares- Diluted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48,455,996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36,542,944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Redeemable</w:t>
            </w: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Retained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980" w:type="dxa"/>
            <w:vAlign w:val="bottom"/>
          </w:tcPr>
          <w:p>
            <w:pPr>
              <w:spacing w:after="0"/>
              <w:rPr>
                <w:sz w:val="20"/>
                <w:szCs w:val="20"/>
                <w:color w:val="auto"/>
              </w:rPr>
            </w:pPr>
          </w:p>
        </w:tc>
        <w:tc>
          <w:tcPr>
            <w:tcW w:w="2060" w:type="dxa"/>
            <w:vAlign w:val="bottom"/>
            <w:tcBorders>
              <w:right w:val="single" w:sz="8" w:color="auto"/>
            </w:tcBorders>
            <w:gridSpan w:val="6"/>
          </w:tcPr>
          <w:p>
            <w:pPr>
              <w:jc w:val="right"/>
              <w:ind w:right="52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Shares</w:t>
            </w: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r>
      <w:tr>
        <w:trPr>
          <w:trHeight w:val="216"/>
        </w:trPr>
        <w:tc>
          <w:tcPr>
            <w:tcW w:w="39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20,875,475</w:t>
            </w: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12,438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$ 14,061</w:t>
            </w:r>
          </w:p>
        </w:tc>
        <w:tc>
          <w:tcPr>
            <w:tcW w:w="100" w:type="dxa"/>
            <w:vAlign w:val="bottom"/>
            <w:shd w:val="clear" w:color="auto" w:fill="CCEEFF"/>
          </w:tcPr>
          <w:p>
            <w:pPr>
              <w:spacing w:after="0"/>
              <w:rPr>
                <w:sz w:val="20"/>
                <w:szCs w:val="20"/>
                <w:color w:val="auto"/>
              </w:rPr>
            </w:pPr>
          </w:p>
        </w:tc>
      </w:tr>
      <w:tr>
        <w:trPr>
          <w:trHeight w:val="216"/>
        </w:trPr>
        <w:tc>
          <w:tcPr>
            <w:tcW w:w="39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Retroactive application of recapitalization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(2,000)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15,621,523</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1"/>
                <w:szCs w:val="21"/>
                <w:color w:val="auto"/>
              </w:rPr>
            </w:pPr>
          </w:p>
        </w:tc>
      </w:tr>
      <w:tr>
        <w:trPr>
          <w:trHeight w:val="203"/>
        </w:trPr>
        <w:tc>
          <w:tcPr>
            <w:tcW w:w="3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balance, beginning of period</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36,496,998</w:t>
            </w: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3,619</w:t>
            </w: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12,438</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16,061</w:t>
            </w:r>
          </w:p>
        </w:tc>
        <w:tc>
          <w:tcPr>
            <w:tcW w:w="100" w:type="dxa"/>
            <w:vAlign w:val="bottom"/>
            <w:tcBorders>
              <w:top w:val="single" w:sz="8" w:color="CCEEFF"/>
            </w:tcBorders>
          </w:tcPr>
          <w:p>
            <w:pPr>
              <w:spacing w:after="0"/>
              <w:rPr>
                <w:sz w:val="17"/>
                <w:szCs w:val="17"/>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r>
      <w:tr>
        <w:trPr>
          <w:trHeight w:val="237"/>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100,374</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r>
      <w:tr>
        <w:trPr>
          <w:trHeight w:val="216"/>
        </w:trPr>
        <w:tc>
          <w:tcPr>
            <w:tcW w:w="39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36,597,372</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10,140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100" w:type="dxa"/>
            <w:vAlign w:val="bottom"/>
            <w:shd w:val="clear" w:color="auto" w:fill="CCEEFF"/>
          </w:tcPr>
          <w:p>
            <w:pPr>
              <w:spacing w:after="0"/>
              <w:rPr>
                <w:sz w:val="21"/>
                <w:szCs w:val="2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43,272,728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(27,133)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shd w:val="clear" w:color="auto" w:fill="CCEEFF"/>
          </w:tcPr>
          <w:p>
            <w:pPr>
              <w:spacing w:after="0"/>
              <w:rPr>
                <w:sz w:val="18"/>
                <w:szCs w:val="18"/>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in public offering (ATM), net</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of costs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73,500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Exercise of public warrants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64,971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liability classified warrants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2,348,294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100" w:type="dxa"/>
            <w:vAlign w:val="bottom"/>
            <w:shd w:val="clear" w:color="auto" w:fill="CCEEFF"/>
          </w:tcPr>
          <w:p>
            <w:pPr>
              <w:spacing w:after="0"/>
              <w:rPr>
                <w:sz w:val="18"/>
                <w:szCs w:val="18"/>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0"/>
                <w:szCs w:val="20"/>
                <w:color w:val="auto"/>
              </w:rPr>
            </w:pPr>
          </w:p>
        </w:tc>
      </w:tr>
      <w:tr>
        <w:trPr>
          <w:trHeight w:val="216"/>
        </w:trPr>
        <w:tc>
          <w:tcPr>
            <w:tcW w:w="3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 March 31, 2023</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45,795,502</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54,551</w:t>
            </w:r>
          </w:p>
        </w:tc>
        <w:tc>
          <w:tcPr>
            <w:tcW w:w="24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(22,241)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$ 32,315</w:t>
            </w:r>
          </w:p>
        </w:tc>
        <w:tc>
          <w:tcPr>
            <w:tcW w:w="100" w:type="dxa"/>
            <w:vAlign w:val="bottom"/>
          </w:tcPr>
          <w:p>
            <w:pPr>
              <w:spacing w:after="0"/>
              <w:rPr>
                <w:sz w:val="21"/>
                <w:szCs w:val="21"/>
                <w:color w:val="auto"/>
              </w:rPr>
            </w:pPr>
          </w:p>
        </w:tc>
      </w:tr>
      <w:tr>
        <w:trPr>
          <w:trHeight w:val="20"/>
        </w:trPr>
        <w:tc>
          <w:tcPr>
            <w:tcW w:w="3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20" w:type="dxa"/>
            <w:vAlign w:val="bottom"/>
            <w:gridSpan w:val="17"/>
          </w:tcPr>
          <w:p>
            <w:pPr>
              <w:jc w:val="center"/>
              <w:ind w:left="1730"/>
              <w:spacing w:after="0"/>
              <w:rPr>
                <w:sz w:val="20"/>
                <w:szCs w:val="20"/>
                <w:color w:val="auto"/>
              </w:rPr>
            </w:pPr>
            <w:r>
              <w:rPr>
                <w:rFonts w:ascii="Arial" w:cs="Arial" w:eastAsia="Arial" w:hAnsi="Arial"/>
                <w:sz w:val="18"/>
                <w:szCs w:val="18"/>
                <w:i w:val="1"/>
                <w:iCs w:val="1"/>
                <w:color w:val="auto"/>
                <w:w w:val="90"/>
              </w:rPr>
              <w:t>The accompanying notes are an integral part of these condensed and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1"/>
              </w:rPr>
              <w:t>F-35</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7" w:name="page148"/>
    <w:bookmarkEnd w:id="147"/>
    <w:p>
      <w:pPr>
        <w:jc w:val="center"/>
        <w:spacing w:after="0" w:line="263" w:lineRule="auto"/>
        <w:rPr>
          <w:sz w:val="20"/>
          <w:szCs w:val="20"/>
          <w:color w:val="auto"/>
        </w:rPr>
      </w:pPr>
      <w:r>
        <w:rPr>
          <w:rFonts w:ascii="Arial" w:cs="Arial" w:eastAsia="Arial" w:hAnsi="Arial"/>
          <w:sz w:val="18"/>
          <w:szCs w:val="18"/>
          <w:b w:val="1"/>
          <w:bCs w:val="1"/>
          <w:color w:val="auto"/>
        </w:rPr>
        <w:t>DRAGONFLY ENERGY HOLDINGS CORP. UNAUDITED CONDENSED CONSOLIDATED STATEMENTS OF CASH FLOWS FOR THE THREE MONTHS ENDED MARCH 31, 2023 AND 2022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4,892</w:t>
            </w:r>
          </w:p>
        </w:tc>
        <w:tc>
          <w:tcPr>
            <w:tcW w:w="20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(2,298)</w:t>
            </w:r>
          </w:p>
        </w:tc>
      </w:tr>
      <w:tr>
        <w:trPr>
          <w:trHeight w:val="216"/>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w:t>
            </w: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Used in Operating Activities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(18,523)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(527)</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 kind)</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(1,217)</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(5,946)</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(502)</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(637)</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(4,119)</w:t>
            </w: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420" w:type="dxa"/>
            <w:vAlign w:val="bottom"/>
            <w:tcBorders>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Total Adjustments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(8,730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(8,812</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43"/>
        </w:trPr>
        <w:tc>
          <w:tcPr>
            <w:tcW w:w="7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ind w:left="540"/>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jc w:val="right"/>
        <w:ind w:right="5180"/>
        <w:spacing w:after="0"/>
        <w:rPr>
          <w:sz w:val="20"/>
          <w:szCs w:val="20"/>
          <w:color w:val="auto"/>
        </w:rPr>
      </w:pPr>
      <w:r>
        <w:rPr>
          <w:rFonts w:ascii="Arial" w:cs="Arial" w:eastAsia="Arial" w:hAnsi="Arial"/>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 w:lineRule="exact"/>
        <w:rPr>
          <w:sz w:val="20"/>
          <w:szCs w:val="20"/>
          <w:color w:val="auto"/>
        </w:rPr>
      </w:pPr>
    </w:p>
    <w:p>
      <w:pPr>
        <w:jc w:val="right"/>
        <w:ind w:right="5120"/>
        <w:spacing w:after="0"/>
        <w:rPr>
          <w:sz w:val="20"/>
          <w:szCs w:val="20"/>
          <w:color w:val="auto"/>
        </w:rPr>
      </w:pPr>
      <w:r>
        <w:rPr>
          <w:rFonts w:ascii="Arial" w:cs="Arial" w:eastAsia="Arial" w:hAnsi="Arial"/>
          <w:sz w:val="17"/>
          <w:szCs w:val="17"/>
          <w:color w:val="auto"/>
        </w:rPr>
        <w:t>Purchase of property and equipment</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Net Cash Used in Investing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(3,838)</w:t>
      </w:r>
    </w:p>
    <w:p>
      <w:pPr>
        <w:spacing w:after="0" w:line="200" w:lineRule="exact"/>
        <w:rPr>
          <w:sz w:val="20"/>
          <w:szCs w:val="20"/>
          <w:color w:val="auto"/>
        </w:rPr>
      </w:pPr>
    </w:p>
    <w:p>
      <w:pPr>
        <w:spacing w:after="0" w:line="290"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(589)</w:t>
      </w:r>
    </w:p>
    <w:p>
      <w:pPr>
        <w:spacing w:after="0" w:line="37"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22860</wp:posOffset>
            </wp:positionV>
            <wp:extent cx="10718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(11,110)</w:t>
      </w:r>
    </w:p>
    <w:p>
      <w:pPr>
        <w:spacing w:after="0" w:line="200" w:lineRule="exact"/>
        <w:rPr>
          <w:sz w:val="20"/>
          <w:szCs w:val="20"/>
          <w:color w:val="auto"/>
        </w:rPr>
      </w:pPr>
    </w:p>
    <w:p>
      <w:pPr>
        <w:spacing w:after="0" w:line="29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(4,524)</w:t>
      </w:r>
    </w:p>
    <w:p>
      <w:pPr>
        <w:spacing w:after="0" w:line="3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22860</wp:posOffset>
            </wp:positionV>
            <wp:extent cx="10718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20" w:space="720"/>
            <w:col w:w="1220" w:space="720"/>
            <w:col w:w="660"/>
          </w:cols>
          <w:pgMar w:left="320" w:top="688" w:right="339"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and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(continued from previous page)</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from public offering, net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 related party</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from exercise of public warrants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Net Decrease in Cash and Restricted Cash</w:t>
            </w:r>
          </w:p>
        </w:tc>
        <w:tc>
          <w:tcPr>
            <w:tcW w:w="3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restricted cash</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cash and restricted cash</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Non-Cash Items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 of options exercised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2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Cashless exercise of liability classified warrants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0" w:name="page151"/>
    <w:bookmarkEnd w:id="150"/>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2023 and 2022, the Company incurred loss from operations and had negative cash flow from operations. As of March 31, 2023, the Company had $15,791 in cash and cash equivalents and working capital of $24,533. The Company’s ability to achieve profitability and positive cash flow depends on its ability to increase revenue, contain its expenses and maintain compliance with the financial covenants in its outstanding indebtedness agreements.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FASB issued ASU 2020-06, </w:t>
      </w:r>
      <w:r>
        <w:rPr>
          <w:rFonts w:ascii="Arial" w:cs="Arial" w:eastAsia="Arial" w:hAnsi="Arial"/>
          <w:sz w:val="18"/>
          <w:szCs w:val="18"/>
          <w:i w:val="1"/>
          <w:iCs w:val="1"/>
          <w:color w:val="auto"/>
        </w:rPr>
        <w:t>Debt—Debt with Conversion and Other Options (Subtopic 470-20) and Derivatives and Hedging—Contracts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Entity’s Own Equity (Subtopic 815-40) </w:t>
      </w:r>
      <w:r>
        <w:rPr>
          <w:rFonts w:ascii="Arial" w:cs="Arial" w:eastAsia="Arial" w:hAnsi="Arial"/>
          <w:sz w:val="18"/>
          <w:szCs w:val="18"/>
          <w:color w:val="auto"/>
        </w:rPr>
        <w:t>(“ASU 2020-06”) to simplify accounting for certain financial instruments. ASU 2020-06 eliminates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The Company is currently assessing the impact, if any, that ASU 2020-06 would have on its financial position, results of operations or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1" w:name="page152"/>
    <w:bookmarkEnd w:id="151"/>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 – 60 days of the invoice date and the contracts do not have significant financing components. Trade accounts receivables are recorded gross and are net of any applicable allowance. The Company has an allowance for doubtful accounts as of March 31, 2023 and December 31, 2022 of $116 and $90,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March 31, 2023 and December 31, 2022, no such reserves were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three months ended March 31, 2023 and 2022 was $297 and $192, respectively. The various classes of property and equipment and estimated useful lives are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640" w:type="dxa"/>
            <w:vAlign w:val="bottom"/>
          </w:tcPr>
          <w:p>
            <w:pPr>
              <w:jc w:val="center"/>
              <w:ind w:left="1690"/>
              <w:spacing w:after="0"/>
              <w:rPr>
                <w:sz w:val="20"/>
                <w:szCs w:val="20"/>
                <w:color w:val="auto"/>
              </w:rPr>
            </w:pPr>
            <w:r>
              <w:rPr>
                <w:rFonts w:ascii="Arial" w:cs="Arial" w:eastAsia="Arial" w:hAnsi="Arial"/>
                <w:sz w:val="18"/>
                <w:szCs w:val="18"/>
                <w:color w:val="auto"/>
                <w:w w:val="87"/>
              </w:rPr>
              <w:t>3 to 7 years</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Vehicles</w:t>
            </w:r>
          </w:p>
        </w:tc>
        <w:tc>
          <w:tcPr>
            <w:tcW w:w="3640" w:type="dxa"/>
            <w:vAlign w:val="bottom"/>
          </w:tcPr>
          <w:p>
            <w:pPr>
              <w:jc w:val="center"/>
              <w:ind w:left="1690"/>
              <w:spacing w:after="0"/>
              <w:rPr>
                <w:sz w:val="20"/>
                <w:szCs w:val="20"/>
                <w:color w:val="auto"/>
              </w:rPr>
            </w:pPr>
            <w:r>
              <w:rPr>
                <w:rFonts w:ascii="Arial" w:cs="Arial" w:eastAsia="Arial" w:hAnsi="Arial"/>
                <w:sz w:val="18"/>
                <w:szCs w:val="18"/>
                <w:color w:val="auto"/>
                <w:w w:val="84"/>
              </w:rPr>
              <w:t>5 years</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640" w:type="dxa"/>
            <w:vAlign w:val="bottom"/>
          </w:tcPr>
          <w:p>
            <w:pPr>
              <w:jc w:val="center"/>
              <w:ind w:left="1690"/>
              <w:spacing w:after="0"/>
              <w:rPr>
                <w:sz w:val="20"/>
                <w:szCs w:val="20"/>
                <w:color w:val="auto"/>
              </w:rPr>
            </w:pPr>
            <w:r>
              <w:rPr>
                <w:rFonts w:ascii="Arial" w:cs="Arial" w:eastAsia="Arial" w:hAnsi="Arial"/>
                <w:sz w:val="18"/>
                <w:szCs w:val="18"/>
                <w:color w:val="auto"/>
                <w:w w:val="87"/>
              </w:rPr>
              <w:t>3 to 7 years</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40" w:type="dxa"/>
            <w:vAlign w:val="bottom"/>
          </w:tcPr>
          <w:p>
            <w:pPr>
              <w:jc w:val="center"/>
              <w:ind w:left="1690"/>
              <w:spacing w:after="0"/>
              <w:rPr>
                <w:sz w:val="20"/>
                <w:szCs w:val="20"/>
                <w:color w:val="auto"/>
              </w:rPr>
            </w:pPr>
            <w:r>
              <w:rPr>
                <w:rFonts w:ascii="Arial" w:cs="Arial" w:eastAsia="Arial" w:hAnsi="Arial"/>
                <w:sz w:val="18"/>
                <w:szCs w:val="18"/>
                <w:color w:val="auto"/>
                <w:w w:val="89"/>
              </w:rPr>
              <w:t>Remaining Term of Lease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2" w:name="page153"/>
    <w:bookmarkEnd w:id="152"/>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receive payments at the onset of the contract before delivery of goods for customers in the retail channel. Payment terms for distributors and OEMs are typically due within 30-60 days after shipment. In such instances, the Company records a customer deposit liability. The Company recognizes these contract liabilities as sales after the revenue criteria are met. As of March 31, 2023 and December 31, 2022, the contract liability related to the Company’s customer deposits approximated $418 and $238, respectively. The Company recognized $211 of contract liability pertaining to the year ended December 31, 2022 as of March 31, 2023. The entire contract liability balance of $434 as of January 1, 2022 was recognized as revenue during the three months ended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 our disaggregated revenues by distribution channel:</w:t>
      </w:r>
    </w:p>
    <w:p>
      <w:pPr>
        <w:spacing w:after="0" w:line="22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44"/>
        </w:trPr>
        <w:tc>
          <w:tcPr>
            <w:tcW w:w="424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Retail</w:t>
            </w:r>
          </w:p>
        </w:tc>
        <w:tc>
          <w:tcPr>
            <w:tcW w:w="25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7,069</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13,035</w:t>
            </w: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Distributor</w:t>
            </w:r>
          </w:p>
        </w:tc>
        <w:tc>
          <w:tcPr>
            <w:tcW w:w="1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Original equipment manufacture</w:t>
            </w: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8,754</w:t>
            </w:r>
          </w:p>
        </w:tc>
        <w:tc>
          <w:tcPr>
            <w:tcW w:w="3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3,181</w:t>
            </w:r>
          </w:p>
        </w:tc>
      </w:tr>
      <w:tr>
        <w:trPr>
          <w:trHeight w:val="229"/>
        </w:trPr>
        <w:tc>
          <w:tcPr>
            <w:tcW w:w="42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18,791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$1,007 and $1,228 for the three months ended March 31,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March 31, 2023 and December 31, 2022 to be $400 and $328,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one customer comprised approximately 50% of accounts receivable as of March 31, 2023. Receivables from three customers comprised approximately 18%, 10% and 10%, respectively, of accounts receivable as of December 31, 2022. There are no other significant accounts receivable concentration.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from one customer comprised approximately 26% of revenue for the three months ended March 31, 2023. There were no significant revenue concentrations for the three months ended March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Payables to one vendor comprised approximately 67% of accounts payables as of March 31, 2023. Payables to one vendor comprised approximately 61% of accounts payables as of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two vendors accounted for approximately 38% and 10%, respectively, of the Company’s total purchases. For the three months ended March 31, 2022, one vendor accounted for approximately 34% of the Company’s total 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$587 and $781 for the three months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Arial" w:cs="Arial" w:eastAsia="Arial" w:hAnsi="Arial"/>
          <w:sz w:val="17"/>
          <w:szCs w:val="17"/>
          <w:b w:val="1"/>
          <w:bCs w:val="1"/>
          <w:color w:val="auto"/>
        </w:rPr>
        <w:t>s</w:t>
      </w:r>
      <w:r>
        <w:rPr>
          <w:rFonts w:ascii="Arial" w:cs="Arial" w:eastAsia="Arial" w:hAnsi="Arial"/>
          <w:sz w:val="17"/>
          <w:szCs w:val="17"/>
          <w:color w:val="auto"/>
        </w:rPr>
        <w:t xml:space="preserve"> (Note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$128 and $128 as of March 31, 2023, and December 31, 2022, respectively, of uncertain tax positions. The Company’s accounting policy is to include penalties and interest related to income taxes if any, in selling, general and administrative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4"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March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34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23"/>
        </w:trPr>
        <w:tc>
          <w:tcPr>
            <w:tcW w:w="74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As</w:t>
            </w: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7"/>
              </w:rPr>
              <w:t>of March 31, 2023</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3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4,021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4,021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18"/>
                <w:szCs w:val="18"/>
                <w:color w:val="auto"/>
              </w:rPr>
            </w:pPr>
          </w:p>
        </w:tc>
      </w:tr>
      <w:tr>
        <w:trPr>
          <w:trHeight w:val="249"/>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Private placement warrants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7"/>
        </w:trPr>
        <w:tc>
          <w:tcPr>
            <w:tcW w:w="41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Borders>
              <w:top w:val="single" w:sz="8" w:color="CCEEFF"/>
            </w:tcBorders>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320" w:type="dxa"/>
            <w:vAlign w:val="bottom"/>
            <w:gridSpan w:val="2"/>
          </w:tcPr>
          <w:p>
            <w:pPr>
              <w:jc w:val="right"/>
              <w:ind w:right="430"/>
              <w:spacing w:after="0"/>
              <w:rPr>
                <w:sz w:val="20"/>
                <w:szCs w:val="20"/>
                <w:color w:val="auto"/>
              </w:rPr>
            </w:pPr>
            <w:r>
              <w:rPr>
                <w:rFonts w:ascii="Arial" w:cs="Arial" w:eastAsia="Arial" w:hAnsi="Arial"/>
                <w:sz w:val="18"/>
                <w:szCs w:val="18"/>
                <w:color w:val="auto"/>
                <w:w w:val="95"/>
              </w:rPr>
              <w:t>Fair Value</w:t>
            </w:r>
          </w:p>
        </w:tc>
        <w:tc>
          <w:tcPr>
            <w:tcW w:w="160" w:type="dxa"/>
            <w:vAlign w:val="bottom"/>
          </w:tcPr>
          <w:p>
            <w:pPr>
              <w:spacing w:after="0"/>
              <w:rPr>
                <w:sz w:val="20"/>
                <w:szCs w:val="20"/>
                <w:color w:val="auto"/>
              </w:rPr>
            </w:pPr>
          </w:p>
        </w:tc>
        <w:tc>
          <w:tcPr>
            <w:tcW w:w="1300" w:type="dxa"/>
            <w:vAlign w:val="bottom"/>
            <w:gridSpan w:val="2"/>
          </w:tcPr>
          <w:p>
            <w:pPr>
              <w:jc w:val="center"/>
              <w:ind w:right="39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7"/>
              </w:rPr>
              <w:t>As of</w:t>
            </w: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2022</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3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30,841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30,841</w:t>
            </w:r>
          </w:p>
        </w:tc>
        <w:tc>
          <w:tcPr>
            <w:tcW w:w="100" w:type="dxa"/>
            <w:vAlign w:val="bottom"/>
          </w:tcPr>
          <w:p>
            <w:pPr>
              <w:spacing w:after="0"/>
              <w:rPr>
                <w:sz w:val="18"/>
                <w:szCs w:val="18"/>
                <w:color w:val="auto"/>
              </w:rPr>
            </w:pPr>
          </w:p>
        </w:tc>
      </w:tr>
      <w:tr>
        <w:trPr>
          <w:trHeight w:val="249"/>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Private placement warrants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1,990</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1,990</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7"/>
        </w:trPr>
        <w:tc>
          <w:tcPr>
            <w:tcW w:w="41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100" w:type="dxa"/>
            <w:vAlign w:val="bottom"/>
            <w:tcBorders>
              <w:top w:val="single" w:sz="8" w:color="CCEEFF"/>
            </w:tcBorders>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March 31, 2023 and December 31, 2022 because of the relatively short maturity of these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term loan as of March 31, 2023 and December 31, 2022 approximates fair value as the interest rate does not differ significantly from the current market rates available to the Company for similar debt and is considered level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 INVENTORY</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gridSpan w:val="3"/>
          </w:tcPr>
          <w:p>
            <w:pPr>
              <w:spacing w:after="0"/>
              <w:rPr>
                <w:sz w:val="20"/>
                <w:szCs w:val="20"/>
                <w:color w:val="auto"/>
              </w:rPr>
            </w:pPr>
            <w:r>
              <w:rPr>
                <w:rFonts w:ascii="Arial" w:cs="Arial" w:eastAsia="Arial" w:hAnsi="Arial"/>
                <w:sz w:val="18"/>
                <w:szCs w:val="18"/>
                <w:color w:val="auto"/>
              </w:rPr>
              <w:t>Inventory consists of the following:</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w w:val="95"/>
              </w:rPr>
              <w:t>March 31, 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Finished goods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7,502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4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COMMITMENTS AND CONTINGENCIES</w:t>
            </w: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4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leases related to the main office, warehouse space, research and development lab, and engineering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March 31, 2023, the lease has not commenced as the Company does not have control over the asset.</w:t>
      </w:r>
    </w:p>
    <w:p>
      <w:pPr>
        <w:sectPr>
          <w:pgSz w:w="11900" w:h="16838" w:orient="portrait"/>
          <w:cols w:equalWidth="0" w:num="1">
            <w:col w:w="11240"/>
          </w:cols>
          <w:pgMar w:left="320" w:top="688"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Operating lease right-of-use assets</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Short-term operating lease liabilities</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Total operating lease liabilities</w:t>
      </w:r>
    </w:p>
    <w:p>
      <w:pPr>
        <w:spacing w:after="0" w:line="7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4"/>
          </w:tcPr>
          <w:p>
            <w:pPr>
              <w:jc w:val="right"/>
              <w:ind w:right="460"/>
              <w:spacing w:after="0"/>
              <w:rPr>
                <w:sz w:val="20"/>
                <w:szCs w:val="20"/>
                <w:color w:val="auto"/>
              </w:rPr>
            </w:pPr>
            <w:r>
              <w:rPr>
                <w:rFonts w:ascii="Arial" w:cs="Arial" w:eastAsia="Arial" w:hAnsi="Arial"/>
                <w:sz w:val="18"/>
                <w:szCs w:val="18"/>
                <w:color w:val="auto"/>
                <w:w w:val="95"/>
              </w:rPr>
              <w:t>March 31, 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3,209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4,424</w:t>
            </w: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gridSpan w:val="3"/>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3.4 years</w:t>
            </w:r>
          </w:p>
        </w:tc>
        <w:tc>
          <w:tcPr>
            <w:tcW w:w="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3.6 years</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-908050</wp:posOffset>
            </wp:positionV>
            <wp:extent cx="498919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-608330</wp:posOffset>
            </wp:positionV>
            <wp:extent cx="4989195"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-290830</wp:posOffset>
            </wp:positionV>
            <wp:extent cx="498919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400"/>
          </w:cols>
          <w:pgMar w:left="320" w:top="688" w:right="339" w:bottom="1440" w:gutter="0" w:footer="0" w:header="0"/>
          <w:type w:val="continuous"/>
        </w:sectPr>
      </w:pPr>
    </w:p>
    <w:p>
      <w:pPr>
        <w:spacing w:after="0" w:line="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57" w:name="page158"/>
    <w:bookmarkEnd w:id="157"/>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NOTE 5 - COMMITMENTS AND CONTINGENCIES (CONTINUED)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40" w:type="dxa"/>
            <w:vAlign w:val="bottom"/>
            <w:gridSpan w:val="2"/>
          </w:tcPr>
          <w:p>
            <w:pPr>
              <w:spacing w:after="0"/>
              <w:rPr>
                <w:sz w:val="20"/>
                <w:szCs w:val="20"/>
                <w:color w:val="auto"/>
              </w:rPr>
            </w:pPr>
            <w:r>
              <w:rPr>
                <w:rFonts w:ascii="Arial" w:cs="Arial" w:eastAsia="Arial" w:hAnsi="Arial"/>
                <w:sz w:val="18"/>
                <w:szCs w:val="18"/>
                <w:i w:val="1"/>
                <w:iCs w:val="1"/>
                <w:color w:val="auto"/>
              </w:rPr>
              <w:t>Operating Leases (Continued)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340" w:type="dxa"/>
            <w:vAlign w:val="bottom"/>
            <w:gridSpan w:val="2"/>
          </w:tcPr>
          <w:p>
            <w:pPr>
              <w:spacing w:after="0"/>
              <w:rPr>
                <w:sz w:val="20"/>
                <w:szCs w:val="20"/>
                <w:color w:val="auto"/>
              </w:rPr>
            </w:pPr>
            <w:r>
              <w:rPr>
                <w:rFonts w:ascii="Arial" w:cs="Arial" w:eastAsia="Arial" w:hAnsi="Arial"/>
                <w:sz w:val="18"/>
                <w:szCs w:val="18"/>
                <w:color w:val="auto"/>
                <w:w w:val="91"/>
              </w:rPr>
              <w:t>At March 31, 2023, the future minimum lease payments under these operating leases are as follows: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2240" w:type="dxa"/>
            <w:vAlign w:val="bottom"/>
          </w:tcPr>
          <w:p>
            <w:pPr>
              <w:spacing w:after="0"/>
              <w:rPr>
                <w:sz w:val="24"/>
                <w:szCs w:val="24"/>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Fiscal Years Ending</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CCEEFF"/>
            </w:tcBorders>
          </w:tcPr>
          <w:p>
            <w:pPr>
              <w:spacing w:after="0"/>
              <w:rPr>
                <w:sz w:val="24"/>
                <w:szCs w:val="24"/>
                <w:color w:val="auto"/>
              </w:rPr>
            </w:pPr>
          </w:p>
        </w:tc>
      </w:tr>
      <w:tr>
        <w:trPr>
          <w:trHeight w:val="243"/>
        </w:trPr>
        <w:tc>
          <w:tcPr>
            <w:tcW w:w="2240" w:type="dxa"/>
            <w:vAlign w:val="bottom"/>
          </w:tcPr>
          <w:p>
            <w:pPr>
              <w:spacing w:after="0"/>
              <w:rPr>
                <w:sz w:val="21"/>
                <w:szCs w:val="21"/>
                <w:color w:val="auto"/>
              </w:rPr>
            </w:pPr>
          </w:p>
        </w:tc>
        <w:tc>
          <w:tcPr>
            <w:tcW w:w="51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 xml:space="preserve">December 31, 2023 </w:t>
            </w:r>
            <w:r>
              <w:rPr>
                <w:rFonts w:ascii="Arial" w:cs="Arial" w:eastAsia="Arial" w:hAnsi="Arial"/>
                <w:sz w:val="28"/>
                <w:szCs w:val="28"/>
                <w:color w:val="auto"/>
                <w:vertAlign w:val="superscript"/>
              </w:rPr>
              <w:t>(1)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21"/>
                <w:szCs w:val="21"/>
                <w:color w:val="auto"/>
              </w:rPr>
            </w:pPr>
          </w:p>
        </w:tc>
      </w:tr>
      <w:tr>
        <w:trPr>
          <w:trHeight w:val="216"/>
        </w:trPr>
        <w:tc>
          <w:tcPr>
            <w:tcW w:w="224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December 31, 2024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1,435</w:t>
            </w:r>
          </w:p>
        </w:tc>
        <w:tc>
          <w:tcPr>
            <w:tcW w:w="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60" w:type="dxa"/>
            <w:vAlign w:val="bottom"/>
            <w:shd w:val="clear" w:color="auto" w:fill="CCEEFF"/>
          </w:tcPr>
          <w:p>
            <w:pPr>
              <w:spacing w:after="0"/>
              <w:rPr>
                <w:sz w:val="18"/>
                <w:szCs w:val="18"/>
                <w:color w:val="auto"/>
              </w:rPr>
            </w:pPr>
          </w:p>
        </w:tc>
      </w:tr>
      <w:tr>
        <w:trPr>
          <w:trHeight w:val="237"/>
        </w:trPr>
        <w:tc>
          <w:tcPr>
            <w:tcW w:w="2240" w:type="dxa"/>
            <w:vAlign w:val="bottom"/>
          </w:tcPr>
          <w:p>
            <w:pPr>
              <w:spacing w:after="0"/>
              <w:rPr>
                <w:sz w:val="20"/>
                <w:szCs w:val="20"/>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2026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60" w:type="dxa"/>
            <w:vAlign w:val="bottom"/>
            <w:tcBorders>
              <w:bottom w:val="single" w:sz="8" w:color="CCEEFF"/>
            </w:tcBorders>
          </w:tcPr>
          <w:p>
            <w:pPr>
              <w:spacing w:after="0"/>
              <w:rPr>
                <w:sz w:val="20"/>
                <w:szCs w:val="20"/>
                <w:color w:val="auto"/>
              </w:rPr>
            </w:pPr>
          </w:p>
        </w:tc>
      </w:tr>
      <w:tr>
        <w:trPr>
          <w:trHeight w:val="236"/>
        </w:trPr>
        <w:tc>
          <w:tcPr>
            <w:tcW w:w="224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51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393</w:t>
            </w:r>
          </w:p>
        </w:tc>
        <w:tc>
          <w:tcPr>
            <w:tcW w:w="60" w:type="dxa"/>
            <w:vAlign w:val="bottom"/>
            <w:tcBorders>
              <w:bottom w:val="single" w:sz="8" w:color="CCEEFF"/>
            </w:tcBorders>
          </w:tcPr>
          <w:p>
            <w:pPr>
              <w:spacing w:after="0"/>
              <w:rPr>
                <w:sz w:val="18"/>
                <w:szCs w:val="18"/>
                <w:color w:val="auto"/>
              </w:rPr>
            </w:pPr>
          </w:p>
        </w:tc>
      </w:tr>
      <w:tr>
        <w:trPr>
          <w:trHeight w:val="269"/>
        </w:trPr>
        <w:tc>
          <w:tcPr>
            <w:tcW w:w="224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202"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5"/>
          <w:szCs w:val="15"/>
          <w:color w:val="auto"/>
        </w:rPr>
      </w:pPr>
      <w:r>
        <w:rPr>
          <w:rFonts w:ascii="Arial" w:cs="Arial" w:eastAsia="Arial" w:hAnsi="Arial"/>
          <w:sz w:val="18"/>
          <w:szCs w:val="18"/>
          <w:color w:val="auto"/>
        </w:rPr>
        <w:t>Represents scheduled payments for the remaining nine-month period ending December 31, 2023.</w:t>
      </w:r>
    </w:p>
    <w:p>
      <w:pPr>
        <w:spacing w:after="0" w:line="200" w:lineRule="exact"/>
        <w:rPr>
          <w:sz w:val="20"/>
          <w:szCs w:val="20"/>
          <w:color w:val="auto"/>
        </w:rPr>
      </w:pPr>
    </w:p>
    <w:p>
      <w:pPr>
        <w:spacing w:after="0" w:line="251"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ind w:left="1260"/>
              <w:spacing w:after="0"/>
              <w:rPr>
                <w:sz w:val="20"/>
                <w:szCs w:val="20"/>
                <w:color w:val="auto"/>
              </w:rPr>
            </w:pPr>
            <w:r>
              <w:rPr>
                <w:rFonts w:ascii="Arial" w:cs="Arial" w:eastAsia="Arial" w:hAnsi="Arial"/>
                <w:sz w:val="18"/>
                <w:szCs w:val="18"/>
                <w:b w:val="1"/>
                <w:bCs w:val="1"/>
                <w:color w:val="auto"/>
              </w:rPr>
              <w:t>Lease cost</w:t>
            </w:r>
          </w:p>
        </w:tc>
        <w:tc>
          <w:tcPr>
            <w:tcW w:w="220" w:type="dxa"/>
            <w:vAlign w:val="bottom"/>
          </w:tcPr>
          <w:p>
            <w:pPr>
              <w:spacing w:after="0"/>
              <w:rPr>
                <w:sz w:val="20"/>
                <w:szCs w:val="20"/>
                <w:color w:val="auto"/>
              </w:rPr>
            </w:pP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 2023</w:t>
            </w: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 2022</w:t>
            </w:r>
          </w:p>
        </w:tc>
      </w:tr>
      <w:tr>
        <w:trPr>
          <w:trHeight w:val="216"/>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lease cost</w:t>
            </w: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lease cost</w:t>
            </w: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w:t>
            </w: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for further discussion regarding contingent consideration arising from the April 2022 asset purchase agreement with Thomason Jones Company, LLC.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Trust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24, 2021, the Company entered into agreements to issue $45,000 in fixed rate senior notes (Series 2021 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$4,824 was recognized upon settlement. During the three months ended March 31, 2022, a total of $619 of interest expense was incurred under the debt. Amortization of the debt issuance costs amounted to $613 during the three months ended March 31,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9" w:name="page160"/>
    <w:bookmarkEnd w:id="159"/>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2023, a total of $3,496 of interest expense was incurred under the debt. Amortization of the debt issuance costs amounted to $219 during the three months ended March 31, 2023. The carrying balance of $20,699 on March 31, 2023 consisted of $75,000 in principal, plus $2,430 PIK interest, less $56,731 in unamortized debt discount related to the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r>
              <w:rPr>
                <w:rFonts w:ascii="Arial" w:cs="Arial" w:eastAsia="Arial" w:hAnsi="Arial"/>
                <w:sz w:val="18"/>
                <w:szCs w:val="18"/>
                <w:b w:val="1"/>
                <w:bCs w:val="1"/>
                <w:color w:val="auto"/>
              </w:rPr>
              <w:t>Test Period Ending</w:t>
            </w:r>
          </w:p>
        </w:tc>
        <w:tc>
          <w:tcPr>
            <w:tcW w:w="240" w:type="dxa"/>
            <w:vAlign w:val="bottom"/>
          </w:tcPr>
          <w:p>
            <w:pPr>
              <w:spacing w:after="0"/>
              <w:rPr>
                <w:sz w:val="20"/>
                <w:szCs w:val="20"/>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Leverage Ratio</w:t>
            </w:r>
          </w:p>
        </w:tc>
      </w:tr>
      <w:tr>
        <w:trPr>
          <w:trHeight w:val="216"/>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2022 - March 31, 2023</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 to 1.00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June 30, 2023 - September 30, 2023</w:t>
            </w:r>
          </w:p>
        </w:tc>
        <w:tc>
          <w:tcPr>
            <w:tcW w:w="240" w:type="dxa"/>
            <w:vAlign w:val="bottom"/>
          </w:tcPr>
          <w:p>
            <w:pPr>
              <w:spacing w:after="0"/>
              <w:rPr>
                <w:sz w:val="18"/>
                <w:szCs w:val="18"/>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6.00 to 1.00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2023 - March 31, 2024</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 to 1.00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June 30, 2024 - September 30, 2024</w:t>
            </w:r>
          </w:p>
        </w:tc>
        <w:tc>
          <w:tcPr>
            <w:tcW w:w="240" w:type="dxa"/>
            <w:vAlign w:val="bottom"/>
          </w:tcPr>
          <w:p>
            <w:pPr>
              <w:spacing w:after="0"/>
              <w:rPr>
                <w:sz w:val="18"/>
                <w:szCs w:val="18"/>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4.00 to 1.00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2024 - March 31, 2025</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 to 1.00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June 30, 2025 and thereafter</w:t>
            </w:r>
          </w:p>
        </w:tc>
        <w:tc>
          <w:tcPr>
            <w:tcW w:w="240" w:type="dxa"/>
            <w:vAlign w:val="bottom"/>
          </w:tcPr>
          <w:p>
            <w:pPr>
              <w:spacing w:after="0"/>
              <w:rPr>
                <w:sz w:val="20"/>
                <w:szCs w:val="20"/>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3.00 to 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 month period ending on the most recently completed fiscal quarter is less than $15,000, then the level of capital expenditures is limited.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29, 2023, the Company obtained a waiver from Alter Domus (US) LLC, as administrative agent for the lenders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NOTE 6 - DEBT (CONTINUED)</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Debt Maturities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w w:val="98"/>
              </w:rPr>
              <w:t>At March 31, 2023, the future debt maturities, based on contractual principal payments are as follows: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 Year Ended December 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6280" w:type="dxa"/>
            <w:vAlign w:val="bottom"/>
          </w:tcPr>
          <w:p>
            <w:pPr>
              <w:spacing w:after="0" w:line="256"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9"/>
                <w:szCs w:val="29"/>
                <w:color w:val="auto"/>
                <w:vertAlign w:val="superscript"/>
              </w:rPr>
              <w:t>(1)</w:t>
            </w:r>
          </w:p>
        </w:tc>
        <w:tc>
          <w:tcPr>
            <w:tcW w:w="520" w:type="dxa"/>
            <w:vAlign w:val="bottom"/>
            <w:gridSpan w:val="2"/>
          </w:tcPr>
          <w:p>
            <w:pPr>
              <w:jc w:val="right"/>
              <w:ind w:right="389"/>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91,775</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6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96,463</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00" w:type="dxa"/>
            <w:vAlign w:val="bottom"/>
          </w:tcPr>
          <w:p>
            <w:pPr>
              <w:spacing w:after="0"/>
              <w:rPr>
                <w:sz w:val="23"/>
                <w:szCs w:val="23"/>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Estimated interest paid-in-kind</w:t>
            </w: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(19,033</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77,430</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Less: Unamortized debt issuance costs, noncurrent</w:t>
            </w: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(56,731</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tcPr>
          <w:p>
            <w:pPr>
              <w:spacing w:after="0"/>
              <w:rPr>
                <w:sz w:val="17"/>
                <w:szCs w:val="17"/>
                <w:color w:val="auto"/>
              </w:rPr>
            </w:pPr>
          </w:p>
        </w:tc>
        <w:tc>
          <w:tcPr>
            <w:tcW w:w="62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20,699</w:t>
            </w:r>
          </w:p>
        </w:tc>
        <w:tc>
          <w:tcPr>
            <w:tcW w:w="2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debt</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tcPr>
          <w:p>
            <w:pPr>
              <w:spacing w:after="0"/>
              <w:rPr>
                <w:sz w:val="17"/>
                <w:szCs w:val="17"/>
                <w:color w:val="auto"/>
              </w:rPr>
            </w:pPr>
          </w:p>
        </w:tc>
        <w:tc>
          <w:tcPr>
            <w:tcW w:w="6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30"/>
          <w:szCs w:val="30"/>
          <w:color w:val="auto"/>
          <w:vertAlign w:val="superscript"/>
        </w:rPr>
      </w:pPr>
      <w:r>
        <w:rPr>
          <w:rFonts w:ascii="Arial" w:cs="Arial" w:eastAsia="Arial" w:hAnsi="Arial"/>
          <w:sz w:val="18"/>
          <w:szCs w:val="18"/>
          <w:color w:val="auto"/>
        </w:rPr>
        <w:t>Represents scheduled payments for the remaining nine-month period ending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ASSET PURCHASE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Bourns Production,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$197 which approximated fair market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Thomason Jones Company, LLC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2022, the Company entered into an Asset Purchase Agreement (the “April 2022 Asset Purchase Agreement”) with William Thomason, Richard Jones, and Thomason Jones Company, LLC (“Thomason Jones”) whereby the Company acquired inventory and intellectual property assets for up to $700 cash plus contingent payments of $1,000 each to William Thomason and Richard Jones (the “Earn Out”). The Company determined the contingent consideration to be recognized as contingent compensation to Mr. Thomason and Mr. Jones. The Company concluded the purchase price to be $444 and was allocated in its entirety to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and Jones each the amount of $1,000 as soon as reasonably practicable. This payment may be made in cash or common stock, in the sole discretion of the Company. As a result, the Company determined that a liability should be recorded ratably over the 24 month period.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an accrual related to the Earn Out in the amount of $1,147 and $782 as of March 31, 2023 and December 31,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Company entered into an agreement with its former COO in which the ownership of a Company van was transferred to the former COO in connection with his severance. The Company accounted for the cost of the van as an employee bonus, resulting in $116 of general and administrative expense for the current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 the “Loan Fee”) was fully earned as of the date of the Note and was due and payable in full in cash on April 4, 2023. The Company paid the Principal Amount and the Loan Fee on April 1, 2023 and April 4, 2023,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8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During the quarter ended March 31, 2023, the Company received proceeds from public warrant exercises of $747 in exchange for 64,971 common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three months ended March 31, 2023, private placement warrant holders exercised 3,126,472 warrants on a cashless basis, with the Company agreeing to issue 1,100,000 shares of common stock in connection with such exercise. There were 1,501,386 and 4,627,858 private warrants issued and outstanding as of March 31,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entry into the Term Loan Agreement, and as a required term and condition thereof, the Company issued (i) the penny warrants to the Term Loan Lenders exercisable to purchase an aggregate of 2,593,056 shares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three months ended March 31, 2023, penny warrant holders exercised 1,250,000 warrants on a cashless basis, with the Company agreeing to issue 1,248,294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jc w:val="center"/>
        <w:ind w:left="244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significant inputs to the Black-Scholes method for the fair value of the Penny Warrants: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As of</w:t>
            </w:r>
          </w:p>
        </w:tc>
        <w:tc>
          <w:tcPr>
            <w:tcW w:w="10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As of</w:t>
            </w:r>
          </w:p>
        </w:tc>
      </w:tr>
      <w:tr>
        <w:trPr>
          <w:trHeight w:val="237"/>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March 31, 2023</w:t>
            </w:r>
          </w:p>
        </w:tc>
        <w:tc>
          <w:tcPr>
            <w:tcW w:w="1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December 31, 2022</w:t>
            </w: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Term</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Company’s warrants from January 1, 2023 to March 31, 2023:</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463740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374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Warrants Outstanding,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463740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6374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356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4,627,858</w:t>
      </w:r>
    </w:p>
    <w:p>
      <w:pPr>
        <w:spacing w:after="0" w:line="35"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(3,126,472)</w:t>
      </w:r>
    </w:p>
    <w:p>
      <w:pPr>
        <w:spacing w:after="0" w:line="49"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1,501,386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31750</wp:posOffset>
            </wp:positionV>
            <wp:extent cx="9683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68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private warrants issued, exercised and outstanding from the period January 1, 2022 through March 31, 2022.</w:t>
      </w:r>
    </w:p>
    <w:p>
      <w:pPr>
        <w:sectPr>
          <w:pgSz w:w="11900" w:h="16838" w:orient="portrait"/>
          <w:cols w:equalWidth="0" w:num="1">
            <w:col w:w="11240"/>
          </w:cols>
          <w:pgMar w:left="320" w:top="688"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463740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374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Warrants Outstanding,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463740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6374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356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3360"/>
        <w:spacing w:after="0"/>
        <w:rPr>
          <w:sz w:val="20"/>
          <w:szCs w:val="20"/>
          <w:color w:val="auto"/>
        </w:rPr>
      </w:pPr>
      <w:r>
        <w:rPr>
          <w:rFonts w:ascii="Arial" w:cs="Arial" w:eastAsia="Arial" w:hAnsi="Arial"/>
          <w:sz w:val="18"/>
          <w:szCs w:val="18"/>
          <w:color w:val="auto"/>
        </w:rPr>
        <w:t>9,487,500</w:t>
      </w:r>
    </w:p>
    <w:p>
      <w:pPr>
        <w:spacing w:after="0" w:line="23"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(64,971)</w:t>
      </w:r>
    </w:p>
    <w:p>
      <w:pPr>
        <w:spacing w:after="0" w:line="49"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9,422,529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31750</wp:posOffset>
            </wp:positionV>
            <wp:extent cx="9683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68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public warrants issued, exercised and outstanding from the period January 1, 2022 through March 31, 2022.</w:t>
      </w:r>
    </w:p>
    <w:p>
      <w:pPr>
        <w:sectPr>
          <w:pgSz w:w="11900" w:h="16838" w:orient="portrait"/>
          <w:cols w:equalWidth="0" w:num="1">
            <w:col w:w="11240"/>
          </w:cols>
          <w:pgMar w:left="320" w:top="688"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463740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374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Warrants Outstanding,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463740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374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356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2,593,056</w:t>
      </w:r>
    </w:p>
    <w:p>
      <w:pPr>
        <w:spacing w:after="0" w:line="35"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(1,250,000)</w:t>
      </w:r>
    </w:p>
    <w:p>
      <w:pPr>
        <w:spacing w:after="0" w:line="35"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1,343,056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31750</wp:posOffset>
            </wp:positionV>
            <wp:extent cx="9683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68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term loan warrants issued, exercised and outstanding from the period January 1, 2022 through March 31,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 forward of the aggregate fair values of the Company’s warrant liabilities for which fair value is determined by Level 3 Inputs. The only class of warrants that were determined to be Level 3 are the term loan warrants.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Warrant Liability</w:t>
            </w:r>
          </w:p>
        </w:tc>
        <w:tc>
          <w:tcPr>
            <w:tcW w:w="32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2023</w:t>
            </w:r>
          </w:p>
        </w:tc>
        <w:tc>
          <w:tcPr>
            <w:tcW w:w="2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30,841</w:t>
            </w:r>
          </w:p>
        </w:tc>
        <w:tc>
          <w:tcPr>
            <w:tcW w:w="80" w:type="dxa"/>
            <w:vAlign w:val="bottom"/>
            <w:tcBorders>
              <w:top w:val="single" w:sz="8" w:color="CCEEFF"/>
            </w:tcBorders>
            <w:shd w:val="clear" w:color="auto" w:fill="CCEEFF"/>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Exercise of warrants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(8,822)</w:t>
            </w:r>
          </w:p>
        </w:tc>
        <w:tc>
          <w:tcPr>
            <w:tcW w:w="32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(17,998)</w:t>
            </w:r>
          </w:p>
        </w:tc>
        <w:tc>
          <w:tcPr>
            <w:tcW w:w="3280" w:type="dxa"/>
            <w:vAlign w:val="bottom"/>
          </w:tcPr>
          <w:p>
            <w:pPr>
              <w:spacing w:after="0"/>
              <w:rPr>
                <w:sz w:val="21"/>
                <w:szCs w:val="21"/>
                <w:color w:val="auto"/>
              </w:rPr>
            </w:pPr>
          </w:p>
        </w:tc>
      </w:tr>
      <w:tr>
        <w:trPr>
          <w:trHeight w:val="216"/>
        </w:trPr>
        <w:tc>
          <w:tcPr>
            <w:tcW w:w="660" w:type="dxa"/>
            <w:vAlign w:val="bottom"/>
          </w:tcPr>
          <w:p>
            <w:pPr>
              <w:spacing w:after="0"/>
              <w:rPr>
                <w:sz w:val="18"/>
                <w:szCs w:val="18"/>
                <w:color w:val="auto"/>
              </w:rPr>
            </w:pPr>
          </w:p>
        </w:tc>
        <w:tc>
          <w:tcPr>
            <w:tcW w:w="3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March 31, 2023</w:t>
            </w:r>
          </w:p>
        </w:tc>
        <w:tc>
          <w:tcPr>
            <w:tcW w:w="2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80" w:type="dxa"/>
            <w:vAlign w:val="bottom"/>
            <w:tcBorders>
              <w:top w:val="single" w:sz="8" w:color="CCEEFF"/>
            </w:tcBorders>
          </w:tcPr>
          <w:p>
            <w:pPr>
              <w:spacing w:after="0"/>
              <w:rPr>
                <w:sz w:val="18"/>
                <w:szCs w:val="18"/>
                <w:color w:val="auto"/>
              </w:rPr>
            </w:pPr>
          </w:p>
        </w:tc>
        <w:tc>
          <w:tcPr>
            <w:tcW w:w="32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587"/>
              <w:spacing w:after="0"/>
              <w:rPr>
                <w:sz w:val="20"/>
                <w:szCs w:val="20"/>
                <w:color w:val="auto"/>
              </w:rPr>
            </w:pPr>
            <w:r>
              <w:rPr>
                <w:rFonts w:ascii="Arial" w:cs="Arial" w:eastAsia="Arial" w:hAnsi="Arial"/>
                <w:sz w:val="18"/>
                <w:szCs w:val="18"/>
                <w:color w:val="auto"/>
              </w:rPr>
              <w:t>F-53</w:t>
            </w: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165" w:name="page166"/>
    <w:bookmarkEnd w:id="165"/>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up to 170,000,000 shares of common stock with $0.0001 par value. Common stockholders are entitled to dividends if and when declared by the Board of Directors subject to the rights of the preferred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the Company had reserved shares of common stock for issuance as follows: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522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March 31, 2023</w:t>
            </w:r>
          </w:p>
        </w:tc>
        <w:tc>
          <w:tcPr>
            <w:tcW w:w="260" w:type="dxa"/>
            <w:vAlign w:val="bottom"/>
          </w:tcPr>
          <w:p>
            <w:pPr>
              <w:spacing w:after="0"/>
              <w:rPr>
                <w:sz w:val="20"/>
                <w:szCs w:val="20"/>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March 31, 2022</w:t>
            </w: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3,731,392</w:t>
            </w: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Common stock outstanding</w:t>
            </w:r>
          </w:p>
        </w:tc>
        <w:tc>
          <w:tcPr>
            <w:tcW w:w="1720" w:type="dxa"/>
            <w:vAlign w:val="bottom"/>
          </w:tcPr>
          <w:p>
            <w:pPr>
              <w:jc w:val="right"/>
              <w:spacing w:after="0"/>
              <w:rPr>
                <w:sz w:val="20"/>
                <w:szCs w:val="20"/>
                <w:color w:val="auto"/>
              </w:rPr>
            </w:pPr>
            <w:r>
              <w:rPr>
                <w:rFonts w:ascii="Arial" w:cs="Arial" w:eastAsia="Arial" w:hAnsi="Arial"/>
                <w:sz w:val="18"/>
                <w:szCs w:val="18"/>
                <w:color w:val="auto"/>
              </w:rPr>
              <w:t>45,795,502</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36,581,910</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outstanding</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12,266,971</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Earnout shares</w:t>
            </w:r>
          </w:p>
        </w:tc>
        <w:tc>
          <w:tcPr>
            <w:tcW w:w="17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issuance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4,319,309</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1,205,790</w:t>
            </w:r>
          </w:p>
        </w:tc>
      </w:tr>
      <w:tr>
        <w:trPr>
          <w:trHeight w:val="217"/>
        </w:trPr>
        <w:tc>
          <w:tcPr>
            <w:tcW w:w="52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106,113,174</w:t>
            </w:r>
          </w:p>
        </w:tc>
        <w:tc>
          <w:tcPr>
            <w:tcW w:w="26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41,418,702</w:t>
            </w:r>
          </w:p>
        </w:tc>
        <w:tc>
          <w:tcPr>
            <w:tcW w:w="100" w:type="dxa"/>
            <w:vAlign w:val="bottom"/>
            <w:tcBorders>
              <w:top w:val="single" w:sz="8" w:color="CCEEFF"/>
            </w:tcBorders>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73,500 shares pursuant to the Purchase Agreement with CCM LLC for aggregate net proceeds to the Company of $597 from the period January 1, 2023 through March 31,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Share-based compensation expense for options and RSUs totaling $4,487 and $288 was recognized in the Company’s consolidated statements of operations for the three months ended March 31, 2023 and 2022, respectively. Of the $4,487 of share-based compensation incurred during the three months ended March 31, 2023, $36 is allocated to cost of goods sold, $29 to research and development, $856 to selling and marketing, and $3,566 to general and administrative expenses. Of the $288 of share-based compensation incurred during the three months ended March 31, 2022, $97 is allocated to cost of goods sold, $37 to research and development, $60 to selling and marketing, and $94 to general and administrative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Weighted-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Weighted-</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480"/>
              <w:spacing w:after="0" w:line="203"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7"/>
                <w:szCs w:val="17"/>
                <w:color w:val="auto"/>
              </w:rPr>
            </w:pPr>
          </w:p>
        </w:tc>
        <w:tc>
          <w:tcPr>
            <w:tcW w:w="1320" w:type="dxa"/>
            <w:vAlign w:val="bottom"/>
            <w:gridSpan w:val="2"/>
          </w:tcPr>
          <w:p>
            <w:pPr>
              <w:jc w:val="center"/>
              <w:ind w:right="480"/>
              <w:spacing w:after="0" w:line="203" w:lineRule="exact"/>
              <w:rPr>
                <w:sz w:val="20"/>
                <w:szCs w:val="20"/>
                <w:color w:val="auto"/>
              </w:rPr>
            </w:pPr>
            <w:r>
              <w:rPr>
                <w:rFonts w:ascii="Arial" w:cs="Arial" w:eastAsia="Arial" w:hAnsi="Arial"/>
                <w:sz w:val="18"/>
                <w:szCs w:val="18"/>
                <w:color w:val="auto"/>
                <w:w w:val="91"/>
              </w:rPr>
              <w:t>Date Fair</w:t>
            </w:r>
          </w:p>
        </w:tc>
        <w:tc>
          <w:tcPr>
            <w:tcW w:w="1140" w:type="dxa"/>
            <w:vAlign w:val="bottom"/>
          </w:tcPr>
          <w:p>
            <w:pPr>
              <w:jc w:val="center"/>
              <w:spacing w:after="0" w:line="203" w:lineRule="exact"/>
              <w:rPr>
                <w:sz w:val="20"/>
                <w:szCs w:val="20"/>
                <w:color w:val="auto"/>
              </w:rPr>
            </w:pPr>
            <w:r>
              <w:rPr>
                <w:rFonts w:ascii="Arial" w:cs="Arial" w:eastAsia="Arial" w:hAnsi="Arial"/>
                <w:sz w:val="18"/>
                <w:szCs w:val="18"/>
                <w:color w:val="auto"/>
                <w:w w:val="91"/>
              </w:rPr>
              <w:t>Contractual</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3" w:lineRule="exact"/>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77"/>
        </w:trPr>
        <w:tc>
          <w:tcPr>
            <w:tcW w:w="4160" w:type="dxa"/>
            <w:vAlign w:val="bottom"/>
          </w:tcPr>
          <w:p>
            <w:pPr>
              <w:spacing w:after="0"/>
              <w:rPr>
                <w:sz w:val="24"/>
                <w:szCs w:val="24"/>
                <w:color w:val="auto"/>
              </w:rPr>
            </w:pPr>
          </w:p>
        </w:tc>
        <w:tc>
          <w:tcPr>
            <w:tcW w:w="1460" w:type="dxa"/>
            <w:vAlign w:val="bottom"/>
            <w:gridSpan w:val="2"/>
          </w:tcPr>
          <w:p>
            <w:pPr>
              <w:jc w:val="right"/>
              <w:ind w:right="500"/>
              <w:spacing w:after="0" w:line="270"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(1)</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Exercise Price</w:t>
            </w:r>
          </w:p>
        </w:tc>
        <w:tc>
          <w:tcPr>
            <w:tcW w:w="14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Value</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Life (in years)</w:t>
            </w:r>
          </w:p>
        </w:tc>
        <w:tc>
          <w:tcPr>
            <w:tcW w:w="32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1.98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1.38</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2.17</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Options exercised</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(48,369)</w:t>
            </w:r>
          </w:p>
        </w:tc>
        <w:tc>
          <w:tcPr>
            <w:tcW w:w="140" w:type="dxa"/>
            <w:vAlign w:val="bottom"/>
          </w:tcPr>
          <w:p>
            <w:pPr>
              <w:spacing w:after="0"/>
              <w:rPr>
                <w:sz w:val="20"/>
                <w:szCs w:val="20"/>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20"/>
                <w:szCs w:val="20"/>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0.83</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3,631,002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2.00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1.39</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2023</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3,642,958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143,607</w:t>
            </w:r>
          </w:p>
        </w:tc>
        <w:tc>
          <w:tcPr>
            <w:tcW w:w="14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3.82</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(19,164)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3.71</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Options exercised</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(36,009)</w:t>
            </w:r>
          </w:p>
        </w:tc>
        <w:tc>
          <w:tcPr>
            <w:tcW w:w="140" w:type="dxa"/>
            <w:vAlign w:val="bottom"/>
          </w:tcPr>
          <w:p>
            <w:pPr>
              <w:spacing w:after="0"/>
              <w:rPr>
                <w:sz w:val="20"/>
                <w:szCs w:val="20"/>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1.65</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3,731,392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2.20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1.30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At March 31, 2023</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2,029,985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3,731,392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hanging="209"/>
        <w:spacing w:after="0" w:line="277" w:lineRule="auto"/>
        <w:rPr>
          <w:sz w:val="20"/>
          <w:szCs w:val="20"/>
          <w:color w:val="auto"/>
        </w:rPr>
      </w:pPr>
      <w:r>
        <w:rPr>
          <w:rFonts w:ascii="Arial" w:cs="Arial" w:eastAsia="Arial" w:hAnsi="Arial"/>
          <w:sz w:val="18"/>
          <w:szCs w:val="18"/>
          <w:color w:val="auto"/>
        </w:rPr>
        <w:t>(1)Number of options and weighted average exercise price has been adjusted to reflect the exchange of Legacy Dragonfly’s stock options for New Dragonfly stock options at an exchange ratio of approximately 1.182 as a result of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 immediately. The fair value of the restricted stock units on the date of grant was $3,464 and was recorded as compensation expense.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grants of restricted stock units prior to October 7, 2022. The following table presents the restricted stock units activity for the three months ended March 31, 2023:</w:t>
      </w:r>
    </w:p>
    <w:p>
      <w:pPr>
        <w:sectPr>
          <w:pgSz w:w="11900" w:h="16838" w:orient="portrait"/>
          <w:cols w:equalWidth="0" w:num="1">
            <w:col w:w="11240"/>
          </w:cols>
          <w:pgMar w:left="320" w:top="68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300"/>
        <w:spacing w:after="0" w:line="260" w:lineRule="auto"/>
        <w:rPr>
          <w:sz w:val="20"/>
          <w:szCs w:val="20"/>
          <w:color w:val="auto"/>
        </w:rPr>
      </w:pPr>
      <w:r>
        <w:rPr>
          <w:rFonts w:ascii="Arial" w:cs="Arial" w:eastAsia="Arial" w:hAnsi="Arial"/>
          <w:sz w:val="18"/>
          <w:szCs w:val="18"/>
          <w:color w:val="auto"/>
        </w:rPr>
        <w:t>Unvested shares at January 1, 2023 Granted and unvested Vested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Unvested shares, March 31, 2023</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Vested as of March 31, 2023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Number of</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Weighted-Average</w:t>
            </w:r>
          </w:p>
        </w:tc>
      </w:tr>
      <w:tr>
        <w:trPr>
          <w:trHeight w:val="237"/>
        </w:trPr>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w w:val="90"/>
              </w:rPr>
              <w:t>Fair Market Value</w:t>
            </w:r>
          </w:p>
        </w:tc>
      </w:tr>
      <w:tr>
        <w:trPr>
          <w:trHeight w:val="202"/>
        </w:trPr>
        <w:tc>
          <w:tcPr>
            <w:tcW w:w="1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180,000</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14.00</w:t>
            </w:r>
          </w:p>
        </w:tc>
      </w:tr>
      <w:tr>
        <w:trPr>
          <w:trHeight w:val="216"/>
        </w:trPr>
        <w:tc>
          <w:tcPr>
            <w:tcW w:w="1480" w:type="dxa"/>
            <w:vAlign w:val="bottom"/>
          </w:tcPr>
          <w:p>
            <w:pPr>
              <w:jc w:val="right"/>
              <w:spacing w:after="0"/>
              <w:rPr>
                <w:sz w:val="20"/>
                <w:szCs w:val="20"/>
                <w:color w:val="auto"/>
              </w:rPr>
            </w:pPr>
            <w:r>
              <w:rPr>
                <w:rFonts w:ascii="Arial" w:cs="Arial" w:eastAsia="Arial" w:hAnsi="Arial"/>
                <w:sz w:val="18"/>
                <w:szCs w:val="18"/>
                <w:color w:val="auto"/>
              </w:rPr>
              <w:t>461,998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51"/>
        </w:trPr>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(461,998)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14.00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3"/>
        </w:trPr>
        <w:tc>
          <w:tcPr>
            <w:tcW w:w="1480" w:type="dxa"/>
            <w:vAlign w:val="bottom"/>
          </w:tcPr>
          <w:p>
            <w:pPr>
              <w:jc w:val="right"/>
              <w:spacing w:after="0"/>
              <w:rPr>
                <w:sz w:val="20"/>
                <w:szCs w:val="20"/>
                <w:color w:val="auto"/>
              </w:rPr>
            </w:pPr>
            <w:r>
              <w:rPr>
                <w:rFonts w:ascii="Arial" w:cs="Arial" w:eastAsia="Arial" w:hAnsi="Arial"/>
                <w:sz w:val="18"/>
                <w:szCs w:val="18"/>
                <w:color w:val="auto"/>
              </w:rPr>
              <w:t>461,998</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-890905</wp:posOffset>
            </wp:positionV>
            <wp:extent cx="4989195"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-608330</wp:posOffset>
            </wp:positionV>
            <wp:extent cx="4989195"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-290830</wp:posOffset>
            </wp:positionV>
            <wp:extent cx="498919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6680"/>
          </w:cols>
          <w:pgMar w:left="320" w:top="688" w:right="339" w:bottom="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there were 4,319,309 shares of unissued authorized and available for future awards under the 2022 Equity Incentive Plan and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Common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information needed to compute basic and diluted earnings (loss) per share for the three months ended March 31, 2023 and 2022:</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March 31, 2023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4,892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shares-basic</w:t>
            </w: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45,104,515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36,542,944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Earnings (Loss) per share, basic</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 average number of common shares-basic</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45,104,515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36,542,944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related to stock options and warrants</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3,351,481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Weighted average diluted shares outstanding</w:t>
            </w: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48,455,996</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36,542,944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diluted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number of potential shares of common stock that have been excluded from diluted net income per share net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because their effect was anti-dilutive:</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220" w:type="dxa"/>
            <w:vAlign w:val="bottom"/>
            <w:gridSpan w:val="3"/>
          </w:tcPr>
          <w:p>
            <w:pPr>
              <w:ind w:left="380"/>
              <w:spacing w:after="0"/>
              <w:rPr>
                <w:sz w:val="20"/>
                <w:szCs w:val="20"/>
                <w:color w:val="auto"/>
              </w:rPr>
            </w:pPr>
            <w:r>
              <w:rPr>
                <w:rFonts w:ascii="Arial" w:cs="Arial" w:eastAsia="Arial" w:hAnsi="Arial"/>
                <w:sz w:val="18"/>
                <w:szCs w:val="18"/>
                <w:color w:val="auto"/>
              </w:rPr>
              <w:t>March 31, 2023</w:t>
            </w:r>
          </w:p>
        </w:tc>
        <w:tc>
          <w:tcPr>
            <w:tcW w:w="2020" w:type="dxa"/>
            <w:vAlign w:val="bottom"/>
            <w:gridSpan w:val="2"/>
          </w:tcPr>
          <w:p>
            <w:pPr>
              <w:ind w:left="380"/>
              <w:spacing w:after="0"/>
              <w:rPr>
                <w:sz w:val="20"/>
                <w:szCs w:val="20"/>
                <w:color w:val="auto"/>
              </w:rPr>
            </w:pPr>
            <w:r>
              <w:rPr>
                <w:rFonts w:ascii="Arial" w:cs="Arial" w:eastAsia="Arial" w:hAnsi="Arial"/>
                <w:sz w:val="18"/>
                <w:szCs w:val="18"/>
                <w:color w:val="auto"/>
              </w:rPr>
              <w:t>March 31, 2022</w:t>
            </w:r>
          </w:p>
        </w:tc>
      </w:tr>
      <w:tr>
        <w:trPr>
          <w:trHeight w:val="216"/>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10,923,915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111,015</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3,631,002</w:t>
            </w:r>
          </w:p>
        </w:tc>
        <w:tc>
          <w:tcPr>
            <w:tcW w:w="100" w:type="dxa"/>
            <w:vAlign w:val="bottom"/>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Weighted average number of common shares-basic</w:t>
            </w: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11,034,930</w:t>
            </w: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3,631,002</w:t>
            </w:r>
          </w:p>
        </w:tc>
        <w:tc>
          <w:tcPr>
            <w:tcW w:w="10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tax provision and the resulting effective tax rate for interim periods is determined based upon its estimated annual effective tax rate adjusted for the effect of discrete items arising in that quarter. The Company recorded an income tax expense (benefit) of $0 and ($527) during the three months ended March 31,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 2023 the Company paid the $1,000 Principal Amount on the Note previously issued to Brian Nelson on March 5, 2023. Upon execution of the Note and funding of the Principal Amount, a payment of the $100 Loan Fee, was fully earned as of the date of the note and was due and paid in full in cash on April 4, 2023.</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26, 2023 (the “Separation Date”), the Company’s Chief Legal Officer’s employment with the Company ended and her employment agreement was deemed terminated as of that date by the Company without cause for purposes of determining severance thereunder. Under the terms of her employment agreement, Ms. Harvey is entitled to receive cash severance equal to $334,000 payable in 52 biweekly installments commencing 30 days from</w:t>
      </w:r>
    </w:p>
    <w:p>
      <w:pPr>
        <w:sectPr>
          <w:pgSz w:w="11900" w:h="16838" w:orient="portrait"/>
          <w:cols w:equalWidth="0" w:num="1">
            <w:col w:w="11240"/>
          </w:cols>
          <w:pgMar w:left="320" w:top="688" w:right="339" w:bottom="0" w:gutter="0" w:footer="0" w:header="0"/>
          <w:type w:val="continuous"/>
        </w:sectPr>
      </w:pPr>
    </w:p>
    <w:bookmarkStart w:id="168" w:name="page169"/>
    <w:bookmarkEnd w:id="168"/>
    <w:p>
      <w:pPr>
        <w:spacing w:after="0" w:line="277" w:lineRule="auto"/>
        <w:rPr>
          <w:sz w:val="20"/>
          <w:szCs w:val="20"/>
          <w:color w:val="auto"/>
        </w:rPr>
      </w:pPr>
      <w:r>
        <w:rPr>
          <w:rFonts w:ascii="Arial" w:cs="Arial" w:eastAsia="Arial" w:hAnsi="Arial"/>
          <w:sz w:val="18"/>
          <w:szCs w:val="18"/>
          <w:color w:val="auto"/>
        </w:rPr>
        <w:t>the Separation Date. Ms. Harvey’s outstanding options granted by the Company fully vested, and are exercisable for three (3) months following the Separation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94765" cy="8743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29476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 up to 10,000,000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 Shares of Common Stock underlying the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7580" w:type="dxa"/>
            <w:vAlign w:val="bottom"/>
          </w:tcPr>
          <w:p>
            <w:pPr>
              <w:ind w:left="1440"/>
              <w:spacing w:after="0"/>
              <w:rPr>
                <w:sz w:val="20"/>
                <w:szCs w:val="20"/>
                <w:color w:val="auto"/>
              </w:rPr>
            </w:pPr>
            <w:r>
              <w:rPr>
                <w:rFonts w:ascii="Arial" w:cs="Arial" w:eastAsia="Arial" w:hAnsi="Arial"/>
                <w:sz w:val="29"/>
                <w:szCs w:val="29"/>
                <w:b w:val="1"/>
                <w:bCs w:val="1"/>
                <w:color w:val="auto"/>
              </w:rPr>
              <w:t>Roth Capital Partners</w:t>
            </w:r>
          </w:p>
        </w:tc>
        <w:tc>
          <w:tcPr>
            <w:tcW w:w="3660" w:type="dxa"/>
            <w:vAlign w:val="bottom"/>
          </w:tcPr>
          <w:p>
            <w:pPr>
              <w:ind w:left="300"/>
              <w:spacing w:after="0"/>
              <w:rPr>
                <w:sz w:val="20"/>
                <w:szCs w:val="20"/>
                <w:color w:val="auto"/>
              </w:rPr>
            </w:pPr>
            <w:r>
              <w:rPr>
                <w:rFonts w:ascii="Arial" w:cs="Arial" w:eastAsia="Arial" w:hAnsi="Arial"/>
                <w:sz w:val="29"/>
                <w:szCs w:val="29"/>
                <w:b w:val="1"/>
                <w:bCs w:val="1"/>
                <w:color w:val="auto"/>
              </w:rPr>
              <w:t>Chardan</w:t>
            </w:r>
          </w:p>
        </w:tc>
      </w:tr>
      <w:tr>
        <w:trPr>
          <w:trHeight w:val="427"/>
        </w:trPr>
        <w:tc>
          <w:tcPr>
            <w:tcW w:w="7580" w:type="dxa"/>
            <w:vAlign w:val="bottom"/>
          </w:tcPr>
          <w:p>
            <w:pPr>
              <w:ind w:left="3960"/>
              <w:spacing w:after="0"/>
              <w:rPr>
                <w:sz w:val="20"/>
                <w:szCs w:val="20"/>
                <w:color w:val="auto"/>
              </w:rPr>
            </w:pPr>
            <w:r>
              <w:rPr>
                <w:rFonts w:ascii="Arial" w:cs="Arial" w:eastAsia="Arial" w:hAnsi="Arial"/>
                <w:sz w:val="18"/>
                <w:szCs w:val="18"/>
                <w:b w:val="1"/>
                <w:bCs w:val="1"/>
                <w:color w:val="auto"/>
                <w:w w:val="95"/>
              </w:rPr>
              <w:t>The date of this prospectus is June 20, 2023</w:t>
            </w:r>
          </w:p>
        </w:tc>
        <w:tc>
          <w:tcPr>
            <w:tcW w:w="3660" w:type="dxa"/>
            <w:vAlign w:val="bottom"/>
          </w:tcPr>
          <w:p>
            <w:pPr>
              <w:spacing w:after="0"/>
              <w:rPr>
                <w:sz w:val="24"/>
                <w:szCs w:val="24"/>
                <w:color w:val="auto"/>
              </w:rPr>
            </w:pPr>
          </w:p>
        </w:tc>
      </w:tr>
      <w:tr>
        <w:trPr>
          <w:trHeight w:val="439"/>
        </w:trPr>
        <w:tc>
          <w:tcPr>
            <w:tcW w:w="75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3"/>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lowerRoman"/>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lowerRoman"/>
      <w:start w:val="2"/>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lowerRoman"/>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4"/>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2023-06-22T05:22:04Z</dcterms:created>
  <dcterms:modified xsi:type="dcterms:W3CDTF">2023-06-22T05:22:04Z</dcterms:modified>
</cp:coreProperties>
</file>