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333- 267983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 Dated November 22, 2024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142875</wp:posOffset>
            </wp:positionV>
            <wp:extent cx="17487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21,512,027 Shares of Common Stock</w:t>
      </w:r>
    </w:p>
    <w:p>
      <w:pPr>
        <w:spacing w:after="0" w:line="22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Prospectus Supplement No. 2 supplements the prospectus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dated May 21, 2024 (as supplemented to date,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with the following attached document which we filed with the Securities and Exchange Commission:</w:t>
      </w:r>
    </w:p>
    <w:p>
      <w:pPr>
        <w:spacing w:after="0" w:line="159"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filed with the Securities and Exchange Commission on November 14, 2024.</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Securities and Exchange Commission on November 22, 2024.</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No. 2 should be read in conjunction with the Prospectus, which is required to be delivered with this Prospectus Supplement. This prospectus supplement updates, amends and supplements the information included in the Prospectus. If there is any inconsistency between the information in the Prospectus and this prospectus supplement, you should rely on the information in this Prospectus Supplement.</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to it.</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any investment in our common stock, you should carefully consider the risk factors for our common stock, which are described in the Prospectus, as amended or supplemented.</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as supplemented or amended by this Prospectus Supplement No. 2 and any other prospectus supplement or amendment thereto. We have not authorized anyone to provide you with different information.</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No. 2 is November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600" w:type="dxa"/>
            <w:vAlign w:val="bottom"/>
            <w:gridSpan w:val="3"/>
          </w:tcPr>
          <w:p>
            <w:pPr>
              <w:ind w:left="4800"/>
              <w:spacing w:after="0"/>
              <w:rPr>
                <w:sz w:val="20"/>
                <w:szCs w:val="20"/>
                <w:color w:val="auto"/>
              </w:rPr>
            </w:pPr>
            <w:r>
              <w:rPr>
                <w:rFonts w:ascii="Times New Roman" w:cs="Times New Roman" w:eastAsia="Times New Roman" w:hAnsi="Times New Roman"/>
                <w:sz w:val="18"/>
                <w:szCs w:val="18"/>
                <w:b w:val="1"/>
                <w:bCs w:val="1"/>
                <w:color w:val="auto"/>
              </w:rPr>
              <w:t>INDEX TO FILINGS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9"/>
              </w:rPr>
              <w:t>The Company’s Quarterly Report on Form 10-Q filed with the Securities and Exchange Commission on November 14, 2024.</w:t>
            </w:r>
          </w:p>
        </w:tc>
        <w:tc>
          <w:tcPr>
            <w:tcW w:w="1580" w:type="dxa"/>
            <w:vAlign w:val="bottom"/>
            <w:vMerge w:val="restart"/>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Annex</w:t>
            </w:r>
          </w:p>
        </w:tc>
        <w:tc>
          <w:tcPr>
            <w:tcW w:w="0" w:type="dxa"/>
            <w:vAlign w:val="bottom"/>
          </w:tcPr>
          <w:p>
            <w:pPr>
              <w:spacing w:after="0"/>
              <w:rPr>
                <w:sz w:val="1"/>
                <w:szCs w:val="1"/>
                <w:color w:val="auto"/>
              </w:rPr>
            </w:pPr>
          </w:p>
        </w:tc>
      </w:tr>
      <w:tr>
        <w:trPr>
          <w:trHeight w:val="174"/>
        </w:trPr>
        <w:tc>
          <w:tcPr>
            <w:tcW w:w="9020" w:type="dxa"/>
            <w:vAlign w:val="bottom"/>
            <w:tcBorders>
              <w:bottom w:val="single" w:sz="8" w:color="0000EE"/>
            </w:tcBorders>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6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196"/>
        </w:trPr>
        <w:tc>
          <w:tcPr>
            <w:tcW w:w="10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The Company’s Current Report on Form 8-K filed with the Securities and Exchange Commission on November 22, 2024.</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B</w:t>
            </w:r>
          </w:p>
        </w:tc>
        <w:tc>
          <w:tcPr>
            <w:tcW w:w="0" w:type="dxa"/>
            <w:vAlign w:val="bottom"/>
          </w:tcPr>
          <w:p>
            <w:pPr>
              <w:spacing w:after="0"/>
              <w:rPr>
                <w:sz w:val="1"/>
                <w:szCs w:val="1"/>
                <w:color w:val="auto"/>
              </w:rPr>
            </w:pPr>
          </w:p>
        </w:tc>
      </w:tr>
      <w:tr>
        <w:trPr>
          <w:trHeight w:val="453"/>
        </w:trPr>
        <w:tc>
          <w:tcPr>
            <w:tcW w:w="878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0"/>
          <w:szCs w:val="20"/>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UNDER SECTION 13 OR 15(d) OF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25" w:lineRule="exact"/>
        <w:rPr>
          <w:sz w:val="20"/>
          <w:szCs w:val="20"/>
          <w:color w:val="auto"/>
        </w:rPr>
      </w:pPr>
    </w:p>
    <w:p>
      <w:pPr>
        <w:ind w:left="2660" w:right="1860" w:hanging="2652"/>
        <w:spacing w:after="0" w:line="500" w:lineRule="auto"/>
        <w:tabs>
          <w:tab w:leader="none" w:pos="20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001-40730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6"/>
          </w:tcPr>
          <w:p>
            <w:pPr>
              <w:jc w:val="center"/>
              <w:ind w:left="3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26"/>
        </w:trPr>
        <w:tc>
          <w:tcPr>
            <w:tcW w:w="7640" w:type="dxa"/>
            <w:vAlign w:val="bottom"/>
            <w:gridSpan w:val="6"/>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85-1873463</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tcPr>
          <w:p>
            <w:pPr>
              <w:jc w:val="center"/>
              <w:ind w:right="18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40" w:type="dxa"/>
            <w:vAlign w:val="bottom"/>
            <w:gridSpan w:val="6"/>
          </w:tcPr>
          <w:p>
            <w:pPr>
              <w:jc w:val="center"/>
              <w:ind w:right="2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3600" w:type="dxa"/>
            <w:vAlign w:val="bottom"/>
          </w:tcPr>
          <w:p>
            <w:pPr>
              <w:spacing w:after="0"/>
              <w:rPr>
                <w:sz w:val="24"/>
                <w:szCs w:val="24"/>
                <w:color w:val="auto"/>
              </w:rPr>
            </w:pPr>
          </w:p>
        </w:tc>
      </w:tr>
      <w:tr>
        <w:trPr>
          <w:trHeight w:val="238"/>
        </w:trPr>
        <w:tc>
          <w:tcPr>
            <w:tcW w:w="76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74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(775) 622-3448</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6"/>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1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 at an exercise</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DFLIW</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price of $11.50 per share, subject to adjustment</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57" w:right="339" w:bottom="353"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3780" w:space="720"/>
            <w:col w:w="6740"/>
          </w:cols>
          <w:pgMar w:left="320" w:top="657" w:right="339" w:bottom="353" w:gutter="0" w:footer="0" w:header="0"/>
          <w:type w:val="continuous"/>
        </w:sectPr>
      </w:pPr>
    </w:p>
    <w:p>
      <w:pPr>
        <w:spacing w:after="0" w:line="1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12, 2024, there were 63,128,135 shares of the registrant’s common stock, par value $0.0001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657" w:right="339" w:bottom="353"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209"/>
        </w:trPr>
        <w:tc>
          <w:tcPr>
            <w:tcW w:w="106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5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September 30, 2024 and December 31, 2023</w:t>
            </w:r>
          </w:p>
        </w:tc>
        <w:tc>
          <w:tcPr>
            <w:tcW w:w="324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2024 and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(Deficit) Equity for the three and nine months ended September 30, 2024 and</w:t>
            </w:r>
          </w:p>
        </w:tc>
        <w:tc>
          <w:tcPr>
            <w:tcW w:w="640" w:type="dxa"/>
            <w:vAlign w:val="bottom"/>
            <w:shd w:val="clear" w:color="auto" w:fill="CCEEFF"/>
          </w:tcPr>
          <w:p>
            <w:pPr>
              <w:spacing w:after="0"/>
              <w:rPr>
                <w:sz w:val="15"/>
                <w:szCs w:val="15"/>
                <w:color w:val="auto"/>
              </w:rPr>
            </w:pPr>
          </w:p>
        </w:tc>
      </w:tr>
      <w:tr>
        <w:trPr>
          <w:trHeight w:val="217"/>
        </w:trPr>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168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12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1260" w:type="dxa"/>
            <w:vAlign w:val="bottom"/>
            <w:tcBorders>
              <w:top w:val="single" w:sz="8" w:color="0000EE"/>
              <w:bottom w:val="single" w:sz="8" w:color="CCEEFF"/>
            </w:tcBorders>
            <w:shd w:val="clear" w:color="auto" w:fill="CCEEFF"/>
          </w:tcPr>
          <w:p>
            <w:pPr>
              <w:spacing w:after="0"/>
              <w:rPr>
                <w:sz w:val="18"/>
                <w:szCs w:val="18"/>
                <w:color w:val="auto"/>
              </w:rPr>
            </w:pPr>
          </w:p>
        </w:tc>
        <w:tc>
          <w:tcPr>
            <w:tcW w:w="640" w:type="dxa"/>
            <w:vAlign w:val="bottom"/>
            <w:tcBorders>
              <w:top w:val="single" w:sz="8" w:color="0000EE"/>
              <w:bottom w:val="single" w:sz="8" w:color="CCEEFF"/>
            </w:tcBorders>
            <w:shd w:val="clear" w:color="auto" w:fill="CCEEFF"/>
          </w:tcPr>
          <w:p>
            <w:pPr>
              <w:spacing w:after="0"/>
              <w:rPr>
                <w:sz w:val="18"/>
                <w:szCs w:val="18"/>
                <w:color w:val="auto"/>
              </w:rPr>
            </w:pPr>
          </w:p>
        </w:tc>
        <w:tc>
          <w:tcPr>
            <w:tcW w:w="13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5"/>
        </w:trPr>
        <w:tc>
          <w:tcPr>
            <w:tcW w:w="7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5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8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7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50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50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Signatures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432"/>
        </w:trPr>
        <w:tc>
          <w:tcPr>
            <w:tcW w:w="7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460" w:type="dxa"/>
            <w:vAlign w:val="bottom"/>
            <w:tcBorders>
              <w:top w:val="single" w:sz="8" w:color="CCEEFF"/>
              <w:bottom w:val="single" w:sz="8" w:color="auto"/>
            </w:tcBorders>
            <w:gridSpan w:val="12"/>
          </w:tcPr>
          <w:p>
            <w:pPr>
              <w:ind w:left="48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8,019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12,713</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1,639</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38,778</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18,128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16,714</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9,032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w:t>
            </w: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(2,824)</w:t>
            </w:r>
          </w:p>
        </w:tc>
      </w:tr>
      <w:tr>
        <w:trPr>
          <w:trHeight w:val="209"/>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20,383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3,315</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83,881</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100" w:type="dxa"/>
            <w:vAlign w:val="bottom"/>
            <w:tcBorders>
              <w:bottom w:val="single" w:sz="8" w:color="CCEEFF"/>
            </w:tcBorders>
          </w:tcPr>
          <w:p>
            <w:pPr>
              <w:spacing w:after="0"/>
              <w:rPr>
                <w:sz w:val="22"/>
                <w:szCs w:val="22"/>
                <w:color w:val="auto"/>
              </w:rPr>
            </w:pPr>
          </w:p>
        </w:tc>
      </w:tr>
      <w:tr>
        <w:trPr>
          <w:trHeight w:val="197"/>
        </w:trPr>
        <w:tc>
          <w:tcPr>
            <w:tcW w:w="6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10,258</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8,672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7,107</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24,398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19,683</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4,463</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expenses-long term</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23,330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00" w:type="dxa"/>
            <w:vAlign w:val="bottom"/>
            <w:tcBorders>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47,292</w:t>
            </w:r>
          </w:p>
        </w:tc>
        <w:tc>
          <w:tcPr>
            <w:tcW w:w="100" w:type="dxa"/>
            <w:vAlign w:val="bottom"/>
            <w:shd w:val="clear" w:color="auto" w:fill="CCEEFF"/>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5,000,000 shares at $0.0001 par value, authorized,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shares issued and outstanding as of September 30, 2024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250,000,000 shares at $0.0001 par value, authorized, 62,767,982 and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60,260,282 shares issued and outstanding as of September 30, 2024 and December 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72,009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69,445</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(41,539)</w:t>
            </w:r>
          </w:p>
        </w:tc>
      </w:tr>
      <w:tr>
        <w:trPr>
          <w:trHeight w:val="209"/>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100" w:type="dxa"/>
            <w:vAlign w:val="bottom"/>
            <w:tcBorders>
              <w:bottom w:val="single" w:sz="8" w:color="CCEEFF"/>
            </w:tcBorders>
          </w:tcPr>
          <w:p>
            <w:pPr>
              <w:spacing w:after="0"/>
              <w:rPr>
                <w:sz w:val="18"/>
                <w:szCs w:val="18"/>
                <w:color w:val="auto"/>
              </w:rPr>
            </w:pPr>
          </w:p>
        </w:tc>
      </w:tr>
      <w:tr>
        <w:trPr>
          <w:trHeight w:val="223"/>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FOR THE THREE AND NINE MONTHS ENDED SEPTEMBER 30, 2024 AND 2023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6"/>
          </w:tcPr>
          <w:p>
            <w:pPr>
              <w:jc w:val="right"/>
              <w:ind w:right="741"/>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60" w:type="dxa"/>
            <w:vAlign w:val="bottom"/>
          </w:tcPr>
          <w:p>
            <w:pPr>
              <w:spacing w:after="0"/>
              <w:rPr>
                <w:sz w:val="18"/>
                <w:szCs w:val="18"/>
                <w:color w:val="auto"/>
              </w:rPr>
            </w:pPr>
          </w:p>
        </w:tc>
        <w:tc>
          <w:tcPr>
            <w:tcW w:w="284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234"/>
        </w:trPr>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12,720</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15,889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38,433</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53,954</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9,850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11,291</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29,345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40,765</w:t>
            </w:r>
          </w:p>
        </w:tc>
      </w:tr>
      <w:tr>
        <w:trPr>
          <w:trHeight w:val="210"/>
        </w:trPr>
        <w:tc>
          <w:tcPr>
            <w:tcW w:w="47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2,870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4,598</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9,088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13,189</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1,631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1,385</w:t>
            </w:r>
          </w:p>
        </w:tc>
        <w:tc>
          <w:tcPr>
            <w:tcW w:w="26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4,495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3,332</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4,361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6,005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14,878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23,114</w:t>
            </w: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Pr>
          <w:p>
            <w:pPr>
              <w:spacing w:after="0"/>
              <w:rPr>
                <w:sz w:val="19"/>
                <w:szCs w:val="19"/>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2,904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3,083</w:t>
            </w:r>
          </w:p>
        </w:tc>
        <w:tc>
          <w:tcPr>
            <w:tcW w:w="26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8,329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11,075</w:t>
            </w:r>
          </w:p>
        </w:tc>
      </w:tr>
      <w:tr>
        <w:trPr>
          <w:trHeight w:val="209"/>
        </w:trPr>
        <w:tc>
          <w:tcPr>
            <w:tcW w:w="4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Pr>
          <w:p>
            <w:pPr>
              <w:spacing w:after="0"/>
              <w:rPr>
                <w:sz w:val="19"/>
                <w:szCs w:val="19"/>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8,896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10,473</w:t>
            </w:r>
          </w:p>
        </w:tc>
        <w:tc>
          <w:tcPr>
            <w:tcW w:w="26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27,702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37,521</w:t>
            </w:r>
          </w:p>
        </w:tc>
      </w:tr>
      <w:tr>
        <w:trPr>
          <w:trHeight w:val="209"/>
        </w:trPr>
        <w:tc>
          <w:tcPr>
            <w:tcW w:w="4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(6,026)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(5,875)</w:t>
            </w:r>
          </w:p>
        </w:tc>
        <w:tc>
          <w:tcPr>
            <w:tcW w:w="26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(18,614)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(24,332)</w:t>
            </w:r>
          </w:p>
        </w:tc>
      </w:tr>
      <w:tr>
        <w:trPr>
          <w:trHeight w:val="216"/>
        </w:trPr>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(5,615)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(15,253)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(11,981)</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4,875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3,130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19,182</w:t>
            </w:r>
          </w:p>
        </w:tc>
      </w:tr>
      <w:tr>
        <w:trPr>
          <w:trHeight w:val="21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Borders>
              <w:bottom w:val="single" w:sz="8" w:color="CCEEFF"/>
            </w:tcBorders>
          </w:tcPr>
          <w:p>
            <w:pPr>
              <w:spacing w:after="0"/>
              <w:rPr>
                <w:sz w:val="18"/>
                <w:szCs w:val="18"/>
                <w:color w:val="auto"/>
              </w:rPr>
            </w:pPr>
          </w:p>
        </w:tc>
      </w:tr>
      <w:tr>
        <w:trPr>
          <w:trHeight w:val="209"/>
        </w:trPr>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26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(6,779)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(10,007)</w:t>
            </w:r>
          </w:p>
        </w:tc>
        <w:tc>
          <w:tcPr>
            <w:tcW w:w="26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(30,773)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(17,131)</w:t>
            </w: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60" w:type="dxa"/>
            <w:vAlign w:val="bottom"/>
          </w:tcPr>
          <w:p>
            <w:pPr>
              <w:spacing w:after="0"/>
              <w:rPr>
                <w:sz w:val="19"/>
                <w:szCs w:val="19"/>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(6,779)</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(10,007)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(30,773)</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(17,131)</w:t>
            </w:r>
          </w:p>
        </w:tc>
      </w:tr>
      <w:tr>
        <w:trPr>
          <w:trHeight w:val="196"/>
        </w:trPr>
        <w:tc>
          <w:tcPr>
            <w:tcW w:w="4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Basic &amp; Diluted</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(0.11)</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(0.17)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(0.50)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r>
      <w:tr>
        <w:trPr>
          <w:trHeight w:val="197"/>
        </w:trPr>
        <w:tc>
          <w:tcPr>
            <w:tcW w:w="4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&amp; Diluted</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62,328,555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58,736,013</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61,092,021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50,166,320</w:t>
            </w:r>
          </w:p>
        </w:tc>
        <w:tc>
          <w:tcPr>
            <w:tcW w:w="100" w:type="dxa"/>
            <w:vAlign w:val="bottom"/>
          </w:tcPr>
          <w:p>
            <w:pPr>
              <w:spacing w:after="0"/>
              <w:rPr>
                <w:sz w:val="19"/>
                <w:szCs w:val="19"/>
                <w:color w:val="auto"/>
              </w:rPr>
            </w:pPr>
          </w:p>
        </w:tc>
      </w:tr>
      <w:tr>
        <w:trPr>
          <w:trHeight w:val="491"/>
        </w:trPr>
        <w:tc>
          <w:tcPr>
            <w:tcW w:w="8140" w:type="dxa"/>
            <w:vAlign w:val="bottom"/>
            <w:gridSpan w:val="8"/>
          </w:tcPr>
          <w:p>
            <w:pP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 consolidated financial statements.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7"/>
        </w:trPr>
        <w:tc>
          <w:tcPr>
            <w:tcW w:w="4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180" w:type="dxa"/>
            <w:vAlign w:val="bottom"/>
          </w:tcPr>
          <w:p>
            <w:pPr>
              <w:spacing w:after="0"/>
              <w:rPr>
                <w:sz w:val="21"/>
                <w:szCs w:val="21"/>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Paid-In</w:t>
            </w: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1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(Deficit)</w:t>
            </w:r>
          </w:p>
        </w:tc>
        <w:tc>
          <w:tcPr>
            <w:tcW w:w="24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60,260,282</w:t>
            </w:r>
          </w:p>
        </w:tc>
        <w:tc>
          <w:tcPr>
            <w:tcW w:w="11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(41,539)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27,912</w:t>
            </w: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(10,367)</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09"/>
        </w:trPr>
        <w:tc>
          <w:tcPr>
            <w:tcW w:w="4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60,260,282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69,711</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(51,906)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17,811</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(13,627)</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public offering (ATM),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850,463</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under ESPP</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244,774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 cancellation</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61,367,633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70,793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(65,533)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5,266</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(6,779)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(6,779)</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public offering (ATM),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1,394,928</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09"/>
        </w:trPr>
        <w:tc>
          <w:tcPr>
            <w:tcW w:w="4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62,767,982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72,009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4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6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180" w:type="dxa"/>
            <w:vAlign w:val="bottom"/>
          </w:tcPr>
          <w:p>
            <w:pPr>
              <w:spacing w:after="0"/>
              <w:rPr>
                <w:sz w:val="21"/>
                <w:szCs w:val="21"/>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Paid-In</w:t>
            </w: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180" w:type="dxa"/>
            <w:vAlign w:val="bottom"/>
          </w:tcPr>
          <w:p>
            <w:pPr>
              <w:spacing w:after="0"/>
              <w:rPr>
                <w:sz w:val="19"/>
                <w:szCs w:val="19"/>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(Deficit)</w:t>
            </w:r>
          </w:p>
        </w:tc>
        <w:tc>
          <w:tcPr>
            <w:tcW w:w="24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43,272,728</w:t>
            </w:r>
          </w:p>
        </w:tc>
        <w:tc>
          <w:tcPr>
            <w:tcW w:w="11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(27,722</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10,743</w:t>
            </w: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public offering (ATM), net of</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73,500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36,009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public warrants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64,971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2,348,294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10,166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10,167</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4,487</w:t>
            </w:r>
          </w:p>
        </w:tc>
        <w:tc>
          <w:tcPr>
            <w:tcW w:w="1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4,487</w:t>
            </w:r>
          </w:p>
        </w:tc>
      </w:tr>
      <w:tr>
        <w:trPr>
          <w:trHeight w:val="209"/>
        </w:trPr>
        <w:tc>
          <w:tcPr>
            <w:tcW w:w="4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45,795,502</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54,551</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31,609</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(11,899)</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public offering, net of costs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11,405,000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7,877</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7,878</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public offering (ATM), net of</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69,012</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748,029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2,462</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461,998</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954</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58,504,541</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66,148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(34,846)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31,308</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103,071</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Cash exercise of liability classified warrants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273,100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946</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r>
      <w:tr>
        <w:trPr>
          <w:trHeight w:val="210"/>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58,880,712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68,293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(44,853)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23,446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66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jc w:val="center"/>
        <w:ind w:left="340" w:right="2340"/>
        <w:spacing w:after="0" w:line="265" w:lineRule="auto"/>
        <w:rPr>
          <w:sz w:val="20"/>
          <w:szCs w:val="20"/>
          <w:color w:val="auto"/>
        </w:rPr>
      </w:pPr>
      <w:r>
        <w:rPr>
          <w:rFonts w:ascii="Times New Roman" w:cs="Times New Roman" w:eastAsia="Times New Roman" w:hAnsi="Times New Roman"/>
          <w:sz w:val="18"/>
          <w:szCs w:val="18"/>
          <w:b w:val="1"/>
          <w:bCs w:val="1"/>
          <w:color w:val="auto"/>
        </w:rPr>
        <w:t>DRAGONFLY ENERGY HOLDINGS CORP. UNAUDITED CONDENSED CONSOLIDATED STATEMENTS OF CASH FLOWS NINE MONTHS ENDED SEPTEMBER 30, 2024 AND 2023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(30,773)   $</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(17,131)</w:t>
            </w: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16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759</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4,490</w:t>
            </w:r>
          </w:p>
        </w:tc>
        <w:tc>
          <w:tcPr>
            <w:tcW w:w="44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995</w:t>
            </w: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(3,130)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(19,182)</w:t>
            </w: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 (paid-in kind)</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6,590</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of assets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1,585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898</w:t>
            </w: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(2,128)</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(3,039)</w:t>
            </w: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14,765</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(635)</w:t>
            </w:r>
          </w:p>
        </w:tc>
        <w:tc>
          <w:tcPr>
            <w:tcW w:w="44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(445)</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174</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(1,657)</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168</w:t>
            </w:r>
          </w:p>
        </w:tc>
        <w:tc>
          <w:tcPr>
            <w:tcW w:w="44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4,833</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9"/>
                <w:szCs w:val="19"/>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3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Adjustments</w:t>
            </w:r>
          </w:p>
        </w:tc>
        <w:tc>
          <w:tcPr>
            <w:tcW w:w="16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26,061</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53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10"/>
        </w:trPr>
        <w:tc>
          <w:tcPr>
            <w:tcW w:w="5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(1,691)</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(6,507)</w:t>
            </w:r>
          </w:p>
        </w:tc>
      </w:tr>
      <w:tr>
        <w:trPr>
          <w:trHeight w:val="210"/>
        </w:trPr>
        <w:tc>
          <w:tcPr>
            <w:tcW w:w="5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(continued from previous page)</w:t>
            </w:r>
          </w:p>
        </w:tc>
        <w:tc>
          <w:tcPr>
            <w:tcW w:w="1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(ATM), net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public warrants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investor warrants</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(4,546)</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 - beginning of period</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12,713</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Cash and cash equivalents - end of period</w:t>
            </w:r>
          </w:p>
        </w:tc>
        <w:tc>
          <w:tcPr>
            <w:tcW w:w="1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6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4,782</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6,740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Non-Cash Items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2,460</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80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18,653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Recognition of leasehold improvements obtained in exchange for operating lease liability</w:t>
            </w:r>
          </w:p>
        </w:tc>
        <w:tc>
          <w:tcPr>
            <w:tcW w:w="1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4,683</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Recognition of warrant liability</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6,381</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13,762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Settlement of accrued liability for employee stock purchase plan</w:t>
            </w:r>
          </w:p>
        </w:tc>
        <w:tc>
          <w:tcPr>
            <w:tcW w:w="1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0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Non-cash impact of cash exercise of liability classified warrants</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12,629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Holdings Corp. (“New Dragonfly” or the “Company”)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GOING CONCERN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accounting principles generally accepted in the United States of America (“U.S. GAAP”) and present the consolidated financial statements of the Company and its wholly owned subsidiaries. All significant intercompany transactions and balances are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10-K filed with the SEC on April 16, 2024 (as amended April 29, 2024, the “Annual Report”) of the Company for the annual period ended December 31, 2023. The consolidated balance sheet as of December 31, 2023 was derived from the audited consolidated financial statements as of and for the year then 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incurred losses from operations and had negative cash flow from operations. As of September 30, 2024, the Company had $8,019 in cash and cash equivalents and a working capital deficit of $9,927. The Company’s ability to achieve profitability and positive cash flow depends on its ability to increase revenue, contain its expenses and maintain compliance with the financial covenants in its outstanding indebtedness agreements.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Company’s senior secured term loan facility in an aggregate principal amount of $75,000 (as amended,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8"/>
          <w:szCs w:val="18"/>
          <w:b w:val="1"/>
          <w:bCs w:val="1"/>
          <w:color w:val="auto"/>
        </w:rPr>
        <w:t>Note 6</w:t>
      </w:r>
      <w:r>
        <w:rPr>
          <w:rFonts w:ascii="Times New Roman" w:cs="Times New Roman" w:eastAsia="Times New Roman" w:hAnsi="Times New Roman"/>
          <w:sz w:val="18"/>
          <w:szCs w:val="18"/>
          <w:color w:val="auto"/>
        </w:rPr>
        <w:t>). On March 31, 2024, April 29, 2024, June 28, 2024, July 31, 2024, August 30, 2024, September 30, 2024 and October 31, 2024 the Company obtained waivers from the Term Loan administrative agent and lenders of its failures to satisfy the liquidity requirement under the Term Loan for the quarters ended March 31, 2024, June 30, 2024, and September 30, 2024 and the fiscal month ended April 30, 2024, July 31, 2024, August 31, 2024, 2024, September 30, 2024, and October 31, 2024 as applicable.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GOING CONCERN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 (Continued)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will need to raise additional debt and/or equity financings to fund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2023-07”) which will require companies to disclose significant segment expenses that are regularly provided to the chief operating decision maker (“CODM”). The pronouncement is effective for annual filings for the year ended December 31, 2024. The adoption of ASU 2023-07 will necessitate substantial changes to the notes to the financial statements, specifically in the area of segment disclosures. For a company that operates as a single-segment entity and previously did not need to comply with ASC 280 Segment Reporting (“ASC 280”), the changes include:</w:t>
      </w:r>
    </w:p>
    <w:p>
      <w:pPr>
        <w:spacing w:after="0" w:line="18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reportable segment entities are required to provide the new disclosures and all disclosures currently required under ASC 280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title and position of the CODM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significant segment expenses and “other segment items” for reach reportable segment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reportable segment profit or loss and assets in annual and interim periods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segment profitability measures used by the CODM provided such measures comply with the use of non-GAAP financial measures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still in the process of assessing the full impact of adopting this standard on the enhanced disclosure requirements in the notes to the Company’s financial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As of September 30, 2024 and December 31, 2023, the Company held no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30-90 days of the invoice date and the contracts do not have significant financing components. Trade accounts receivables are recorded gross and are net of any applicable allowance. The allowance for credit losses as of September 30, 2024 and December 31, 2023 were not 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Inventories (</w:t>
      </w: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 The inventory reserve as of September 30, 2024 and December 31, 2023 was not material.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slow-moving inventory, right of use asset, warrant liability, equity-based compensation, and income taxes.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September 30, 2024 and December 31, 2023, the contract liability related to the Company’s customer deposits were approximately $189 and $201,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$201 of the contract liability as of December 31, 2023 during the nine months ended September 30, 2024. The Company recognized $230 of the contract liability as of December 31, 2022 during the nine months ended September 30, 2023.</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(“Stryten”) (</w:t>
      </w:r>
      <w:r>
        <w:rPr>
          <w:rFonts w:ascii="Times New Roman" w:cs="Times New Roman" w:eastAsia="Times New Roman" w:hAnsi="Times New Roman"/>
          <w:sz w:val="18"/>
          <w:szCs w:val="18"/>
          <w:b w:val="1"/>
          <w:bCs w:val="1"/>
          <w:color w:val="auto"/>
        </w:rPr>
        <w:t>Note 8</w:t>
      </w:r>
      <w:r>
        <w:rPr>
          <w:rFonts w:ascii="Times New Roman" w:cs="Times New Roman" w:eastAsia="Times New Roman" w:hAnsi="Times New Roman"/>
          <w:sz w:val="18"/>
          <w:szCs w:val="18"/>
          <w:color w:val="auto"/>
        </w:rPr>
        <w:t>). The $5,000 initial licensing fee is being recognized as revenue on a straight-line basis over five years. For the three and nine months ended September 30, 2024, the Company has recorded $167 in revenue related to the License Agreement. As of September 30, 2024 and December 31, 2023, the contract liability related to the Company’s deferred revenue were approximately $4,833 and $0, respectively. As of September 30, 2024, the Company had $1,000 in short term deferred revenue and $3,833 in long-term deferred revenue related to the License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8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0" w:type="dxa"/>
            <w:vAlign w:val="bottom"/>
          </w:tcPr>
          <w:p>
            <w:pPr>
              <w:spacing w:after="0"/>
              <w:rPr>
                <w:sz w:val="1"/>
                <w:szCs w:val="1"/>
                <w:color w:val="auto"/>
              </w:rPr>
            </w:pPr>
          </w:p>
        </w:tc>
      </w:tr>
      <w:tr>
        <w:trPr>
          <w:trHeight w:val="234"/>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color w:val="auto"/>
              </w:rPr>
              <w:t>September 30</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left="590"/>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vMerge w:val="continue"/>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to customer</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7,400</w:t>
            </w:r>
          </w:p>
        </w:tc>
        <w:tc>
          <w:tcPr>
            <w:tcW w:w="9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5,584</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21,376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fee revenue</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w:t>
            </w:r>
          </w:p>
        </w:tc>
        <w:tc>
          <w:tcPr>
            <w:tcW w:w="9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September 30, 2024 and December 31, 2023 to be $482 and $307,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4600" w:type="dxa"/>
            <w:vAlign w:val="bottom"/>
            <w:tcBorders>
              <w:top w:val="single" w:sz="8" w:color="CCEEFF"/>
            </w:tcBorders>
            <w:shd w:val="clear" w:color="auto" w:fill="CCEEFF"/>
          </w:tcPr>
          <w:p>
            <w:pPr>
              <w:jc w:val="center"/>
              <w:ind w:right="2290"/>
              <w:spacing w:after="0"/>
              <w:rPr>
                <w:sz w:val="20"/>
                <w:szCs w:val="20"/>
                <w:color w:val="auto"/>
              </w:rPr>
            </w:pPr>
            <w:r>
              <w:rPr>
                <w:rFonts w:ascii="Times New Roman" w:cs="Times New Roman" w:eastAsia="Times New Roman" w:hAnsi="Times New Roman"/>
                <w:sz w:val="18"/>
                <w:szCs w:val="18"/>
                <w:color w:val="auto"/>
              </w:rPr>
              <w:t>Beginning warranty obligation</w:t>
            </w:r>
          </w:p>
        </w:tc>
        <w:tc>
          <w:tcPr>
            <w:tcW w:w="2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jc w:val="center"/>
              <w:ind w:right="2310"/>
              <w:spacing w:after="0"/>
              <w:rPr>
                <w:sz w:val="20"/>
                <w:szCs w:val="20"/>
                <w:color w:val="auto"/>
              </w:rPr>
            </w:pPr>
            <w:r>
              <w:rPr>
                <w:rFonts w:ascii="Times New Roman" w:cs="Times New Roman" w:eastAsia="Times New Roman" w:hAnsi="Times New Roman"/>
                <w:sz w:val="18"/>
                <w:szCs w:val="18"/>
                <w:color w:val="auto"/>
              </w:rPr>
              <w:t>Provision of warranty expense</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8"/>
                <w:szCs w:val="18"/>
                <w:color w:val="auto"/>
              </w:rPr>
            </w:pPr>
          </w:p>
        </w:tc>
      </w:tr>
      <w:tr>
        <w:trPr>
          <w:trHeight w:val="230"/>
        </w:trPr>
        <w:tc>
          <w:tcPr>
            <w:tcW w:w="4600" w:type="dxa"/>
            <w:vAlign w:val="bottom"/>
            <w:shd w:val="clear" w:color="auto" w:fill="CCEEFF"/>
          </w:tcPr>
          <w:p>
            <w:pPr>
              <w:jc w:val="center"/>
              <w:ind w:right="2330"/>
              <w:spacing w:after="0"/>
              <w:rPr>
                <w:sz w:val="20"/>
                <w:szCs w:val="20"/>
                <w:color w:val="auto"/>
              </w:rPr>
            </w:pPr>
            <w:r>
              <w:rPr>
                <w:rFonts w:ascii="Times New Roman" w:cs="Times New Roman" w:eastAsia="Times New Roman" w:hAnsi="Times New Roman"/>
                <w:sz w:val="18"/>
                <w:szCs w:val="18"/>
                <w:color w:val="auto"/>
              </w:rPr>
              <w:t>Settlement of warranty claims</w:t>
            </w:r>
          </w:p>
        </w:tc>
        <w:tc>
          <w:tcPr>
            <w:tcW w:w="2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r>
      <w:tr>
        <w:trPr>
          <w:trHeight w:val="223"/>
        </w:trPr>
        <w:tc>
          <w:tcPr>
            <w:tcW w:w="4600" w:type="dxa"/>
            <w:vAlign w:val="bottom"/>
          </w:tcPr>
          <w:p>
            <w:pPr>
              <w:jc w:val="center"/>
              <w:ind w:right="2250"/>
              <w:spacing w:after="0"/>
              <w:rPr>
                <w:sz w:val="20"/>
                <w:szCs w:val="20"/>
                <w:color w:val="auto"/>
              </w:rPr>
            </w:pPr>
            <w:r>
              <w:rPr>
                <w:rFonts w:ascii="Times New Roman" w:cs="Times New Roman" w:eastAsia="Times New Roman" w:hAnsi="Times New Roman"/>
                <w:sz w:val="18"/>
                <w:szCs w:val="18"/>
                <w:color w:val="auto"/>
              </w:rPr>
              <w:t>Ending warrant obligation</w:t>
            </w:r>
          </w:p>
        </w:tc>
        <w:tc>
          <w:tcPr>
            <w:tcW w:w="2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receivables from Customer A, Customer B, and Customer C comprised approximately 19%, 12% and 10%, respectively, of accounts receivable. As of December 31, 2023, receivables from Customer D and E comprised approximately 28% and 10%, respectively, of accounts receivable.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sales from Customer A comprised approximately 15% of the Company’s total revenue. For the nine months ended September 30, 2023, sales from Customer B accounted for approximately 19% of the Company’s total revenue. For the three months ended September 30, 2024, sales from Customer A comprised approximately 16% of the Company’s total revenue. For the three months ended September 30, 2023, sales from Customer C accounted for approximately 11% of the Company’s total revenue.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(Continued)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payables to Vendor A and Vendor B comprised approximately 36% and 18%, respectively, of accounts payables. As of December 31, 2023, payables to Vendor A comprised approximately 65% of accounts payables.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Vendor A accounted for approximately 11% of the Company’s total purchases. For the nine months ended September 30, 2023, Vendor B accounted for approximately 16% of the Company’s total purchases. For the three months ended September 30, 2024, Vendor A and Vendor C accounted for approximately 16% and 13%, respectively, of the Company’s total purchases. For the three months ended September 30, 2023, Vendor C, D and E accounted for approximately 14%, 11%, and 10%, respectively, of the Company’s total purchases.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 consultants using a fair value method which requires the recognition of compensation expense for costs related to all stock-based payments, including stock options (</w:t>
      </w:r>
      <w:r>
        <w:rPr>
          <w:rFonts w:ascii="Times New Roman" w:cs="Times New Roman" w:eastAsia="Times New Roman" w:hAnsi="Times New Roman"/>
          <w:sz w:val="18"/>
          <w:szCs w:val="18"/>
          <w:b w:val="1"/>
          <w:bCs w:val="1"/>
          <w:color w:val="auto"/>
        </w:rPr>
        <w:t>Note 12</w:t>
      </w:r>
      <w:r>
        <w:rPr>
          <w:rFonts w:ascii="Times New Roman" w:cs="Times New Roman" w:eastAsia="Times New Roman" w:hAnsi="Times New Roman"/>
          <w:sz w:val="18"/>
          <w:szCs w:val="18"/>
          <w:color w:val="auto"/>
        </w:rPr>
        <w:t>).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(“RSUs”)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had a liability of $91 as of September 30, 2024 and December 31, 2023, of uncertain tax positions.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per Common Share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Diluted net loss per share is calculated using the weighted-average number of common shares outstanding during the period and, if dilutive, the weighted-average number of potential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common shares included in the computation of diluted net loss gives effect to all potentially dilutive common equivalent shares, including outstanding stock options and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per share because their effect was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32,181,100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23,219,622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109,375</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217,000</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1,748,687</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3,274,940</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34,039,162</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26,711,562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the condensed consolidated financial statements and these accompanying notes. The reclassifications did not have a material impact on the Company’s unaudited condensed consolidated financial statements and related disclosures. The impact on any prior period disclosures was immaterial.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7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a similar asset or liability, either directly or indirectly.</w:t>
      </w:r>
    </w:p>
    <w:p>
      <w:pPr>
        <w:spacing w:after="0" w:line="20" w:lineRule="exact"/>
        <w:rPr>
          <w:rFonts w:ascii="Times New Roman" w:cs="Times New Roman" w:eastAsia="Times New Roman" w:hAnsi="Times New Roman"/>
          <w:sz w:val="17"/>
          <w:szCs w:val="17"/>
          <w:color w:val="auto"/>
        </w:rPr>
      </w:pPr>
    </w:p>
    <w:p>
      <w:pPr>
        <w:ind w:left="340" w:hanging="332"/>
        <w:spacing w:after="0" w:line="26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inputs that market participants would use in pricing the asset or liability.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Condensed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6"/>
          </w:tcPr>
          <w:p>
            <w:pPr>
              <w:ind w:left="1060"/>
              <w:spacing w:after="0"/>
              <w:rPr>
                <w:sz w:val="20"/>
                <w:szCs w:val="20"/>
                <w:color w:val="auto"/>
              </w:rPr>
            </w:pPr>
            <w:r>
              <w:rPr>
                <w:rFonts w:ascii="Times New Roman" w:cs="Times New Roman" w:eastAsia="Times New Roman" w:hAnsi="Times New Roman"/>
                <w:sz w:val="18"/>
                <w:szCs w:val="18"/>
                <w:color w:val="auto"/>
              </w:rPr>
              <w:t>As of September 30, 2024</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5,017</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5,017</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2,686</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Condensed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6"/>
          </w:tcPr>
          <w:p>
            <w:pPr>
              <w:ind w:left="1060"/>
              <w:spacing w:after="0"/>
              <w:rPr>
                <w:sz w:val="20"/>
                <w:szCs w:val="20"/>
                <w:color w:val="auto"/>
              </w:rPr>
            </w:pPr>
            <w:r>
              <w:rPr>
                <w:rFonts w:ascii="Times New Roman" w:cs="Times New Roman" w:eastAsia="Times New Roman" w:hAnsi="Times New Roman"/>
                <w:sz w:val="18"/>
                <w:szCs w:val="18"/>
                <w:color w:val="auto"/>
              </w:rPr>
              <w:t>As of December 31, 2023</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3,434</w:t>
            </w:r>
          </w:p>
        </w:tc>
        <w:tc>
          <w:tcPr>
            <w:tcW w:w="8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and accounts payable are considered level 1 and approximate fair value as of September 30, 2024 and December 31, 2023 because of the relatively short maturity of these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as of September 30, 2024 and December 31, 2023 approximates fair value as the interest rate does not differ significantly from the current market rates available to the Company for similar debt and is considered level 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 forward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for Level 3 items measured at fair value on recurring basis using significant unobservable inputs are as follows: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606044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line="227" w:lineRule="auto"/>
        <w:rPr>
          <w:sz w:val="20"/>
          <w:szCs w:val="20"/>
          <w:color w:val="auto"/>
        </w:rPr>
      </w:pPr>
      <w:r>
        <w:rPr>
          <w:rFonts w:ascii="Times New Roman" w:cs="Times New Roman" w:eastAsia="Times New Roman" w:hAnsi="Times New Roman"/>
          <w:sz w:val="18"/>
          <w:szCs w:val="18"/>
          <w:color w:val="auto"/>
        </w:rPr>
        <w:t>Change in fair value, gain included in net loss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06044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0604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0440" cy="171450"/>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7"/>
          <w:szCs w:val="17"/>
          <w:color w:val="auto"/>
        </w:rPr>
        <w:t>Change in fair value, (gain) loss included in net loss</w:t>
      </w:r>
      <w:r>
        <w:rPr>
          <w:rFonts w:ascii="Times New Roman" w:cs="Times New Roman" w:eastAsia="Times New Roman" w:hAnsi="Times New Roman"/>
          <w:sz w:val="28"/>
          <w:szCs w:val="28"/>
          <w:color w:val="auto"/>
          <w:vertAlign w:val="superscript"/>
        </w:rPr>
        <w:t>(1)</w:t>
      </w:r>
    </w:p>
    <w:p>
      <w:pPr>
        <w:spacing w:after="0"/>
        <w:rPr>
          <w:sz w:val="20"/>
          <w:szCs w:val="20"/>
          <w:color w:val="auto"/>
        </w:rPr>
      </w:pPr>
      <w:r>
        <w:rPr>
          <w:rFonts w:ascii="Times New Roman" w:cs="Times New Roman" w:eastAsia="Times New Roman" w:hAnsi="Times New Roman"/>
          <w:sz w:val="18"/>
          <w:szCs w:val="18"/>
          <w:b w:val="1"/>
          <w:bCs w:val="1"/>
          <w:color w:val="auto"/>
        </w:rPr>
        <w:t>Fair value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0604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Warrants Issued</w:t>
      </w:r>
    </w:p>
    <w:p>
      <w:pPr>
        <w:spacing w:after="0" w:line="229" w:lineRule="auto"/>
        <w:rPr>
          <w:sz w:val="20"/>
          <w:szCs w:val="20"/>
          <w:color w:val="auto"/>
        </w:rPr>
      </w:pPr>
      <w:r>
        <w:rPr>
          <w:rFonts w:ascii="Times New Roman" w:cs="Times New Roman" w:eastAsia="Times New Roman" w:hAnsi="Times New Roman"/>
          <w:sz w:val="17"/>
          <w:szCs w:val="17"/>
          <w:color w:val="auto"/>
        </w:rPr>
        <w:t>Change in fair value, (gain) loss included in net loss</w:t>
      </w:r>
      <w:r>
        <w:rPr>
          <w:rFonts w:ascii="Times New Roman" w:cs="Times New Roman" w:eastAsia="Times New Roman" w:hAnsi="Times New Roman"/>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06044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Fair value as of September 30, 2024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Warrant Liability –</w:t>
            </w:r>
          </w:p>
        </w:tc>
        <w:tc>
          <w:tcPr>
            <w:tcW w:w="10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June Public Offering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1,010</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3,214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3"/>
                <w:szCs w:val="23"/>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5,502</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5,491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5,017</w:t>
            </w:r>
          </w:p>
        </w:tc>
        <w:tc>
          <w:tcPr>
            <w:tcW w:w="28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2,686</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5220" w:space="720"/>
            <w:col w:w="5300"/>
          </w:cols>
          <w:pgMar w:left="320" w:top="657"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as of January 1,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exercises</w:t>
      </w:r>
    </w:p>
    <w:p>
      <w:pPr>
        <w:spacing w:after="0" w:line="219" w:lineRule="auto"/>
        <w:rPr>
          <w:sz w:val="20"/>
          <w:szCs w:val="20"/>
          <w:color w:val="auto"/>
        </w:rPr>
      </w:pPr>
      <w:r>
        <w:rPr>
          <w:rFonts w:ascii="Times New Roman" w:cs="Times New Roman" w:eastAsia="Times New Roman" w:hAnsi="Times New Roman"/>
          <w:sz w:val="17"/>
          <w:szCs w:val="17"/>
          <w:color w:val="auto"/>
        </w:rPr>
        <w:t>Change in fair value, gain included in net loss</w:t>
      </w:r>
      <w:r>
        <w:rPr>
          <w:rFonts w:ascii="Times New Roman" w:cs="Times New Roman" w:eastAsia="Times New Roman" w:hAnsi="Times New Roman"/>
          <w:sz w:val="28"/>
          <w:szCs w:val="28"/>
          <w:color w:val="auto"/>
          <w:vertAlign w:val="superscript"/>
        </w:rPr>
        <w:t>(1)</w:t>
      </w:r>
    </w:p>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exercises</w:t>
      </w:r>
    </w:p>
    <w:p>
      <w:pPr>
        <w:spacing w:after="0" w:line="219" w:lineRule="auto"/>
        <w:rPr>
          <w:sz w:val="20"/>
          <w:szCs w:val="20"/>
          <w:color w:val="auto"/>
        </w:rPr>
      </w:pPr>
      <w:r>
        <w:rPr>
          <w:rFonts w:ascii="Times New Roman" w:cs="Times New Roman" w:eastAsia="Times New Roman" w:hAnsi="Times New Roman"/>
          <w:sz w:val="17"/>
          <w:szCs w:val="17"/>
          <w:color w:val="auto"/>
        </w:rPr>
        <w:t>Change in fair value, gain included in net loss</w:t>
      </w:r>
      <w:r>
        <w:rPr>
          <w:rFonts w:ascii="Times New Roman" w:cs="Times New Roman" w:eastAsia="Times New Roman" w:hAnsi="Times New Roman"/>
          <w:sz w:val="28"/>
          <w:szCs w:val="28"/>
          <w:color w:val="auto"/>
          <w:vertAlign w:val="superscript"/>
        </w:rPr>
        <w:t>(1)</w:t>
      </w:r>
    </w:p>
    <w:p>
      <w:pPr>
        <w:spacing w:after="0"/>
        <w:rPr>
          <w:sz w:val="20"/>
          <w:szCs w:val="20"/>
          <w:color w:val="auto"/>
        </w:rPr>
      </w:pPr>
      <w:r>
        <w:rPr>
          <w:rFonts w:ascii="Times New Roman" w:cs="Times New Roman" w:eastAsia="Times New Roman" w:hAnsi="Times New Roman"/>
          <w:sz w:val="18"/>
          <w:szCs w:val="18"/>
          <w:b w:val="1"/>
          <w:bCs w:val="1"/>
          <w:color w:val="auto"/>
        </w:rPr>
        <w:t>Fair value as of June 30, 2023</w:t>
      </w:r>
    </w:p>
    <w:p>
      <w:pPr>
        <w:spacing w:after="0" w:line="197" w:lineRule="auto"/>
        <w:rPr>
          <w:sz w:val="20"/>
          <w:szCs w:val="20"/>
          <w:color w:val="auto"/>
        </w:rPr>
      </w:pPr>
      <w:r>
        <w:rPr>
          <w:rFonts w:ascii="Times New Roman" w:cs="Times New Roman" w:eastAsia="Times New Roman" w:hAnsi="Times New Roman"/>
          <w:sz w:val="17"/>
          <w:szCs w:val="17"/>
          <w:color w:val="auto"/>
        </w:rPr>
        <w:t>Change in fair value, loss included in net loss</w:t>
      </w:r>
      <w:r>
        <w:rPr>
          <w:rFonts w:ascii="Times New Roman" w:cs="Times New Roman" w:eastAsia="Times New Roman" w:hAnsi="Times New Roman"/>
          <w:sz w:val="28"/>
          <w:szCs w:val="28"/>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exercises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as of September 30, 2023</w:t>
      </w:r>
    </w:p>
    <w:p>
      <w:pPr>
        <w:spacing w:after="0" w:line="20" w:lineRule="exact"/>
        <w:rPr>
          <w:sz w:val="20"/>
          <w:szCs w:val="20"/>
          <w:color w:val="auto"/>
        </w:rPr>
      </w:pPr>
      <w:r>
        <w:rPr>
          <w:sz w:val="20"/>
          <w:szCs w:val="20"/>
          <w:color w:val="auto"/>
        </w:rPr>
        <w:br w:type="column"/>
      </w:r>
    </w:p>
    <w:p>
      <w:pPr>
        <w:jc w:val="center"/>
        <w:ind w:right="54"/>
        <w:spacing w:after="0"/>
        <w:rPr>
          <w:sz w:val="20"/>
          <w:szCs w:val="20"/>
          <w:color w:val="auto"/>
        </w:rPr>
      </w:pPr>
      <w:r>
        <w:rPr>
          <w:rFonts w:ascii="Times New Roman" w:cs="Times New Roman" w:eastAsia="Times New Roman" w:hAnsi="Times New Roman"/>
          <w:sz w:val="18"/>
          <w:szCs w:val="18"/>
          <w:b w:val="1"/>
          <w:bCs w:val="1"/>
          <w:color w:val="auto"/>
        </w:rPr>
        <w:t>Warrant Liability –</w:t>
      </w:r>
    </w:p>
    <w:p>
      <w:pPr>
        <w:spacing w:after="0" w:line="31" w:lineRule="exact"/>
        <w:rPr>
          <w:sz w:val="20"/>
          <w:szCs w:val="20"/>
          <w:color w:val="auto"/>
        </w:rPr>
      </w:pPr>
    </w:p>
    <w:p>
      <w:pPr>
        <w:jc w:val="center"/>
        <w:ind w:right="54"/>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5715</wp:posOffset>
            </wp:positionV>
            <wp:extent cx="606044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ind w:left="1126" w:hanging="1126"/>
        <w:spacing w:after="0"/>
        <w:tabs>
          <w:tab w:leader="none" w:pos="11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2" w:lineRule="exact"/>
        <w:rPr>
          <w:rFonts w:ascii="Times New Roman" w:cs="Times New Roman" w:eastAsia="Times New Roman" w:hAnsi="Times New Roman"/>
          <w:sz w:val="18"/>
          <w:szCs w:val="18"/>
          <w:color w:val="auto"/>
        </w:rPr>
      </w:pPr>
    </w:p>
    <w:p>
      <w:pPr>
        <w:ind w:left="11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5715</wp:posOffset>
            </wp:positionV>
            <wp:extent cx="60604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0440" cy="17145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028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1" w:lineRule="exact"/>
        <w:rPr>
          <w:sz w:val="20"/>
          <w:szCs w:val="20"/>
          <w:color w:val="auto"/>
        </w:rPr>
      </w:pPr>
    </w:p>
    <w:p>
      <w:pPr>
        <w:ind w:left="1206"/>
        <w:spacing w:after="0"/>
        <w:rPr>
          <w:sz w:val="20"/>
          <w:szCs w:val="20"/>
          <w:color w:val="auto"/>
        </w:rPr>
      </w:pPr>
      <w:r>
        <w:rPr>
          <w:rFonts w:ascii="Times New Roman" w:cs="Times New Roman" w:eastAsia="Times New Roman" w:hAnsi="Times New Roman"/>
          <w:sz w:val="18"/>
          <w:szCs w:val="18"/>
          <w:color w:val="auto"/>
        </w:rPr>
        <w:t>4,021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14605</wp:posOffset>
            </wp:positionV>
            <wp:extent cx="60604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5715</wp:posOffset>
            </wp:positionV>
            <wp:extent cx="60604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0440" cy="17145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028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1" w:lineRule="exact"/>
        <w:rPr>
          <w:sz w:val="20"/>
          <w:szCs w:val="20"/>
          <w:color w:val="auto"/>
        </w:rPr>
      </w:pPr>
    </w:p>
    <w:p>
      <w:pPr>
        <w:ind w:left="1346"/>
        <w:spacing w:after="0"/>
        <w:rPr>
          <w:sz w:val="20"/>
          <w:szCs w:val="20"/>
          <w:color w:val="auto"/>
        </w:rPr>
      </w:pPr>
      <w:r>
        <w:rPr>
          <w:rFonts w:ascii="Times New Roman" w:cs="Times New Roman" w:eastAsia="Times New Roman" w:hAnsi="Times New Roman"/>
          <w:sz w:val="18"/>
          <w:szCs w:val="18"/>
          <w:color w:val="auto"/>
        </w:rPr>
        <w:t>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14605</wp:posOffset>
            </wp:positionV>
            <wp:extent cx="606044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17145</wp:posOffset>
            </wp:positionV>
            <wp:extent cx="606044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0440" cy="171450"/>
                    </a:xfrm>
                    <a:prstGeom prst="rect">
                      <a:avLst/>
                    </a:prstGeom>
                    <a:noFill/>
                  </pic:spPr>
                </pic:pic>
              </a:graphicData>
            </a:graphic>
          </wp:anchor>
        </w:drawing>
      </w:r>
    </w:p>
    <w:p>
      <w:pPr>
        <w:spacing w:after="0" w:line="30" w:lineRule="exact"/>
        <w:rPr>
          <w:sz w:val="20"/>
          <w:szCs w:val="20"/>
          <w:color w:val="auto"/>
        </w:rPr>
      </w:pPr>
    </w:p>
    <w:p>
      <w:pPr>
        <w:ind w:left="1366" w:hanging="1366"/>
        <w:spacing w:after="0"/>
        <w:tabs>
          <w:tab w:leader="none" w:pos="13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028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778"/>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31" w:lineRule="exact"/>
        <w:rPr>
          <w:sz w:val="20"/>
          <w:szCs w:val="20"/>
          <w:color w:val="auto"/>
        </w:rPr>
      </w:pPr>
    </w:p>
    <w:p>
      <w:pPr>
        <w:jc w:val="center"/>
        <w:ind w:right="1778"/>
        <w:spacing w:after="0"/>
        <w:rPr>
          <w:sz w:val="20"/>
          <w:szCs w:val="20"/>
          <w:color w:val="auto"/>
        </w:rPr>
      </w:pPr>
      <w:r>
        <w:rPr>
          <w:rFonts w:ascii="Times New Roman" w:cs="Times New Roman" w:eastAsia="Times New Roman" w:hAnsi="Times New Roman"/>
          <w:sz w:val="18"/>
          <w:szCs w:val="18"/>
          <w:b w:val="1"/>
          <w:bCs w:val="1"/>
          <w:color w:val="auto"/>
        </w:rPr>
        <w:t>June Public Offering</w:t>
      </w:r>
    </w:p>
    <w:p>
      <w:pPr>
        <w:spacing w:after="0" w:line="9" w:lineRule="exact"/>
        <w:rPr>
          <w:sz w:val="20"/>
          <w:szCs w:val="20"/>
          <w:color w:val="auto"/>
        </w:rPr>
      </w:pPr>
    </w:p>
    <w:tbl>
      <w:tblPr>
        <w:tblLayout w:type="fixed"/>
        <w:tblInd w:w="2" w:type="dxa"/>
        <w:tblCellMar>
          <w:top w:w="0" w:type="dxa"/>
          <w:left w:w="0" w:type="dxa"/>
          <w:bottom w:w="0" w:type="dxa"/>
          <w:right w:w="0" w:type="dxa"/>
        </w:tblCellMar>
      </w:tblPr>
      <w:tr>
        <w:trPr>
          <w:trHeight w:val="191"/>
        </w:trPr>
        <w:tc>
          <w:tcPr>
            <w:tcW w:w="820" w:type="dxa"/>
            <w:vAlign w:val="bottom"/>
            <w:tcBorders>
              <w:top w:val="single" w:sz="8" w:color="auto"/>
            </w:tcBorders>
          </w:tcPr>
          <w:p>
            <w:pPr>
              <w:jc w:val="right"/>
              <w:ind w:right="6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6" w:lineRule="exact"/>
        <w:rPr>
          <w:sz w:val="20"/>
          <w:szCs w:val="20"/>
          <w:color w:val="auto"/>
        </w:rPr>
      </w:pPr>
    </w:p>
    <w:p>
      <w:pPr>
        <w:ind w:left="1562"/>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28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7" w:lineRule="exact"/>
        <w:rPr>
          <w:sz w:val="20"/>
          <w:szCs w:val="20"/>
          <w:color w:val="auto"/>
        </w:rPr>
      </w:pPr>
    </w:p>
    <w:p>
      <w:pPr>
        <w:ind w:left="1562"/>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13,762</w:t>
      </w:r>
    </w:p>
    <w:p>
      <w:pPr>
        <w:spacing w:after="0" w:line="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028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1" w:lineRule="exact"/>
        <w:rPr>
          <w:sz w:val="20"/>
          <w:szCs w:val="20"/>
          <w:color w:val="auto"/>
        </w:rPr>
      </w:pPr>
    </w:p>
    <w:p>
      <w:pPr>
        <w:ind w:left="1122"/>
        <w:spacing w:after="0"/>
        <w:rPr>
          <w:sz w:val="20"/>
          <w:szCs w:val="20"/>
          <w:color w:val="auto"/>
        </w:rPr>
      </w:pPr>
      <w:r>
        <w:rPr>
          <w:rFonts w:ascii="Times New Roman" w:cs="Times New Roman" w:eastAsia="Times New Roman" w:hAnsi="Times New Roman"/>
          <w:sz w:val="18"/>
          <w:szCs w:val="18"/>
          <w:color w:val="auto"/>
        </w:rPr>
        <w:t>13,612</w:t>
      </w:r>
    </w:p>
    <w:p>
      <w:pPr>
        <w:spacing w:after="0" w:line="45" w:lineRule="exact"/>
        <w:rPr>
          <w:sz w:val="20"/>
          <w:szCs w:val="20"/>
          <w:color w:val="auto"/>
        </w:rPr>
      </w:pPr>
    </w:p>
    <w:p>
      <w:pPr>
        <w:ind w:left="1342"/>
        <w:spacing w:after="0"/>
        <w:rPr>
          <w:sz w:val="20"/>
          <w:szCs w:val="20"/>
          <w:color w:val="auto"/>
        </w:rPr>
      </w:pPr>
      <w:r>
        <w:rPr>
          <w:rFonts w:ascii="Times New Roman" w:cs="Times New Roman" w:eastAsia="Times New Roman" w:hAnsi="Times New Roman"/>
          <w:sz w:val="18"/>
          <w:szCs w:val="18"/>
          <w:color w:val="auto"/>
        </w:rPr>
        <w:t>154</w:t>
      </w:r>
    </w:p>
    <w:p>
      <w:pPr>
        <w:spacing w:after="0" w:line="27"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028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8" w:lineRule="exact"/>
        <w:rPr>
          <w:sz w:val="20"/>
          <w:szCs w:val="20"/>
          <w:color w:val="auto"/>
        </w:rPr>
      </w:pPr>
    </w:p>
    <w:p>
      <w:pPr>
        <w:ind w:left="1122" w:hanging="1122"/>
        <w:spacing w:after="0"/>
        <w:tabs>
          <w:tab w:leader="none" w:pos="11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028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214" w:space="720"/>
            <w:col w:w="1686" w:space="218"/>
            <w:col w:w="3402"/>
          </w:cols>
          <w:pgMar w:left="320" w:top="657" w:right="339" w:bottom="1440" w:gutter="0" w:footer="0" w:header="0"/>
          <w:type w:val="continuous"/>
        </w:sectPr>
      </w:pPr>
    </w:p>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i w:val="1"/>
          <w:iCs w:val="1"/>
          <w:color w:val="auto"/>
        </w:rPr>
        <w:t>Changes in fair value of warrant liabilities are disclosed separately in the Condensed Consolidated Statements of Operations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INVENTORY</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COMMITMENTS AND CONTINGENCIES</w:t>
            </w: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46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leases related to the main office, warehouse space, research and development lab, engineering office, and sales office, all located in Reno, Nevada. The leases require annual escalating monthly payments ranging from $111 to $309.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 certificate of substantial completion has been issued and the lease commencement date was March 25, 2024. The Company began paying monthly rent under the lease on July 24, 2024.</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2024 the Company entered into a lease agreement, pursuant to which the Company agreed to lease an approximately 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is $45 for the first ten months, starting June 1, 2024, and is subject to a three percent (3.0%) increase on the anniversary of the Lease Commencement Date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570039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40005</wp:posOffset>
            </wp:positionV>
            <wp:extent cx="570039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0"/>
                <w:szCs w:val="20"/>
                <w:color w:val="auto"/>
              </w:rPr>
            </w:pPr>
          </w:p>
        </w:tc>
        <w:tc>
          <w:tcPr>
            <w:tcW w:w="1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2,867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1,288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8.62 years</w:t>
            </w: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2.6 years</w:t>
            </w: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860" w:space="720"/>
            <w:col w:w="4660"/>
          </w:cols>
          <w:pgMar w:left="320" w:top="657" w:right="33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the Company’s incremental borrowing rate include its implied credit rating and an estimate of secured borrowing rates based on comparable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future minimum lease payments under these operating leases are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50"/>
        </w:trPr>
        <w:tc>
          <w:tcPr>
            <w:tcW w:w="52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December 31, 2024</w:t>
            </w:r>
            <w:r>
              <w:rPr>
                <w:rFonts w:ascii="Times New Roman" w:cs="Times New Roman" w:eastAsia="Times New Roman" w:hAnsi="Times New Roman"/>
                <w:sz w:val="28"/>
                <w:szCs w:val="28"/>
                <w:color w:val="auto"/>
                <w:vertAlign w:val="superscript"/>
              </w:rPr>
              <w:t>(1)</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60" w:type="dxa"/>
            <w:vAlign w:val="bottom"/>
            <w:shd w:val="clear" w:color="auto" w:fill="CCEEFF"/>
          </w:tcPr>
          <w:p>
            <w:pPr>
              <w:spacing w:after="0"/>
              <w:rPr>
                <w:sz w:val="21"/>
                <w:szCs w:val="2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60" w:type="dxa"/>
            <w:vAlign w:val="bottom"/>
            <w:shd w:val="clear" w:color="auto" w:fill="CCEEFF"/>
          </w:tcPr>
          <w:p>
            <w:pPr>
              <w:spacing w:after="0"/>
              <w:rPr>
                <w:sz w:val="18"/>
                <w:szCs w:val="18"/>
                <w:color w:val="auto"/>
              </w:rPr>
            </w:pPr>
          </w:p>
        </w:tc>
      </w:tr>
      <w:tr>
        <w:trPr>
          <w:trHeight w:val="229"/>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19,325</w:t>
            </w:r>
          </w:p>
        </w:tc>
        <w:tc>
          <w:tcPr>
            <w:tcW w:w="60" w:type="dxa"/>
            <w:vAlign w:val="bottom"/>
            <w:tcBorders>
              <w:bottom w:val="single" w:sz="8" w:color="CCEEFF"/>
            </w:tcBorders>
          </w:tcPr>
          <w:p>
            <w:pPr>
              <w:spacing w:after="0"/>
              <w:rPr>
                <w:sz w:val="19"/>
                <w:szCs w:val="19"/>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36,988</w:t>
            </w:r>
          </w:p>
        </w:tc>
        <w:tc>
          <w:tcPr>
            <w:tcW w:w="60" w:type="dxa"/>
            <w:vAlign w:val="bottom"/>
            <w:shd w:val="clear" w:color="auto" w:fill="CCEEFF"/>
          </w:tcPr>
          <w:p>
            <w:pPr>
              <w:spacing w:after="0"/>
              <w:rPr>
                <w:sz w:val="18"/>
                <w:szCs w:val="18"/>
                <w:color w:val="auto"/>
              </w:rPr>
            </w:pPr>
          </w:p>
        </w:tc>
      </w:tr>
      <w:tr>
        <w:trPr>
          <w:trHeight w:val="210"/>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60" w:type="dxa"/>
            <w:vAlign w:val="bottom"/>
            <w:tcBorders>
              <w:bottom w:val="single" w:sz="8" w:color="CCEEFF"/>
            </w:tcBorders>
          </w:tcPr>
          <w:p>
            <w:pPr>
              <w:spacing w:after="0"/>
              <w:rPr>
                <w:sz w:val="18"/>
                <w:szCs w:val="18"/>
                <w:color w:val="auto"/>
              </w:rPr>
            </w:pPr>
          </w:p>
        </w:tc>
      </w:tr>
      <w:tr>
        <w:trPr>
          <w:trHeight w:val="223"/>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7720" w:type="dxa"/>
            <w:vAlign w:val="bottom"/>
            <w:gridSpan w:val="9"/>
          </w:tcPr>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Represents scheduled payments for the remaining three-month period ending December 31, 2024.</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234"/>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cost</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Classification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0"/>
        </w:trPr>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2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196"/>
        </w:trPr>
        <w:tc>
          <w:tcPr>
            <w:tcW w:w="260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lease cost</w:t>
            </w:r>
          </w:p>
        </w:tc>
        <w:tc>
          <w:tcPr>
            <w:tcW w:w="2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1,201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389</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entered into finance lease agreements for equipment to support the Company’s operations. Payments under the finance lease agreements are fixed for a term of 3-5 years. The leased assets are recognized in property plant &amp; equipment.</w:t>
      </w:r>
    </w:p>
    <w:p>
      <w:pPr>
        <w:sectPr>
          <w:pgSz w:w="11900" w:h="16838" w:orient="portrait"/>
          <w:cols w:equalWidth="0" w:num="1">
            <w:col w:w="11240"/>
          </w:cols>
          <w:pgMar w:left="320" w:top="65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financing leases as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-119380</wp:posOffset>
            </wp:positionV>
            <wp:extent cx="606044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line="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17145</wp:posOffset>
            </wp:positionV>
            <wp:extent cx="606044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Long-term finance lease liabilities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40005</wp:posOffset>
            </wp:positionV>
            <wp:extent cx="606044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spacing w:after="0" w:line="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2.0 years</w:t>
            </w: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 years</w:t>
            </w: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960" w:space="720"/>
            <w:col w:w="4560"/>
          </w:cols>
          <w:pgMar w:left="320" w:top="6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future minimum lease payments under these operating leases are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50"/>
        </w:trPr>
        <w:tc>
          <w:tcPr>
            <w:tcW w:w="52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December 31, 2024</w:t>
            </w:r>
            <w:r>
              <w:rPr>
                <w:rFonts w:ascii="Times New Roman" w:cs="Times New Roman" w:eastAsia="Times New Roman" w:hAnsi="Times New Roman"/>
                <w:sz w:val="28"/>
                <w:szCs w:val="28"/>
                <w:color w:val="auto"/>
                <w:vertAlign w:val="superscript"/>
              </w:rPr>
              <w:t>(1)</w:t>
            </w:r>
          </w:p>
        </w:tc>
        <w:tc>
          <w:tcPr>
            <w:tcW w:w="7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1"/>
                <w:szCs w:val="2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r>
      <w:tr>
        <w:trPr>
          <w:trHeight w:val="230"/>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tcPr>
          <w:p>
            <w:pPr>
              <w:spacing w:after="0"/>
              <w:rPr>
                <w:sz w:val="19"/>
                <w:szCs w:val="19"/>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r>
      <w:tr>
        <w:trPr>
          <w:trHeight w:val="230"/>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tcPr>
          <w:p>
            <w:pPr>
              <w:spacing w:after="0"/>
              <w:rPr>
                <w:sz w:val="19"/>
                <w:szCs w:val="19"/>
                <w:color w:val="auto"/>
              </w:rPr>
            </w:pPr>
          </w:p>
        </w:tc>
      </w:tr>
      <w:tr>
        <w:trPr>
          <w:trHeight w:val="223"/>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Represents scheduled payments for the remaining three-month period ending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7 for further discussion regarding contingent consideration arising from the April 2022 Asset Purchase agreement with Thomason Jones Company, LLC.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6 - LONG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“Closing Date”), in connection with the merger, CNTQ, Legacy Dragonfly and CCM Investments 5 LLC, an affiliate of CCM LLC (“CCM 5”, and in connection with the Term Loan, the “Chardan Lender”), and EICF Agent LLC (“EIP”) entered into the Term Loan, Guarantee and Security Agreement (the “Original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merger and related transactions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5.0% per annum (or $937.5 on the first day of each calendar quarter) beginning twenty-four (24) months after the Closing Date and matures on the fourth anniversary of the Closing Date (“Maturity Date”). The Term Loan accrues interest as follows: (i) until October 1, 2024, at a per annum rate equal to adjusted SOFR plus 7.0% payable in cash plus an amount ranging from 4.5% to 6.5%, depending on the senior leverage ratio of the consolidated company, which will be paid in kind; (ii) at all times thereafter, at a per annum rate equal to adjusted SOFR plus a margin ranging from 11.5% to 13.5% payable in cash, depending on the senior leverage ratio of the consolidated company. In each of the foregoing cases, adjusted SOFR will be no less than 1%; (iii) effective April 1, 2024 and thereafter, interest payable to certain lenders subject to regulations of the U.S. Small Business Administration (“SBA”) with outstanding principal on that date of $30,846 will be limited to 14.0% per annum (except for default interest permitted under SBA regulations, as applicable); and (iv) the other outstanding principal will accrue interest from April 1, 2024 thereafter until October 1, 2024, at a per annum rate equal to adjusted SOFR plus 7.0% payable in cash plus an amount ranging from 4.5% to 6.5%, depending on the Company’s senior leverage ratio, and at all times thereafter, at a per annum rate equal to adjusted SOFR plus a margin ranging from 11.5% to 13.5%, depending on the senior leverage ratio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interest based on the Term Loan Agreement, as amended, are as follows:</w:t>
      </w:r>
    </w:p>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April 1, 2024, was paid in cash.</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July 1, 2024, became payable in kind.</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October 1, 2024, became payable partly in cash and partly in-kind, at a per annum rate equal to adjusted SOFR plus 7.0% payable in cash plus an amount ranging from 4.5% to 6.5% paid-in-kind, depending on the senior leverage ratio of the consolidated company (subject to the 14.0% limit for lenders subject to SBA regulations).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payment date occurring on or after January 1, 2025, interest will be payable in cash.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of the foregoing cases, adjusted SOFR will be no less than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6 - LONG TERM DEBT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optional prepayments by the Company upon written notice, the Term Loan Agreement provides for mandatory prepayments upon receipt of proceeds from certain transactions or casualty events. The Company is required to prepay the Term Loan based on excess cash flow, as defined in the agreement, beginning with the financial statements for the year ended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prepaid the first four installments of the Term Loan which amounted to $5,275 and pushed back the first principal payment to October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10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Lenders have been granted a first priority lien, and security interest in, the mortgaged properties underlying the Company’s mortgages.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and 2023, a total of $10,531 and $10,736, respectively, of interest expense was incurred under the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2024 and 2023, a total of $3,509 and $3,589, respectively, of interest expense was incurred under the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debt issuance costs amounted to $4,490 and $995, respectively, during the nine months ended September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debt issuance costs amounted to $2,062 and $375, respectively, during the three months ended September 30, 2024 and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balance of $24,398 on September 30, 2024, consisted of $69,725 in principal, plus $12,719 PIK interest, less $58,046 in unamortized debt discount related to the debt issuance costs. The carrying balance of $19,683 on December 31, 2023, consisted of $69,725 in principal, plus $6,130 PIK interest, less $56,172 in unamortized debt discount related to the debt issuance costs.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13, 2024, the Company received a waiver from its Administrative Agent and Term Loan Lenders (the “May 2024 Waiver”) in regards to its compliance with the Senior Leverage Ratio and Fixed Charge Coverage Ratio tests (the “Tests”) as of the last day of the quarter ended March 31, 2024. The May 2024 Waiver provided for a one-time issuance of penny warrants (the “May 2024 Penny Warrants”) to purchase up to 2,550,000 shares of the Company’s common stock (the “May 2024 Penny Warrant Shares”). The May 2024 Penny Warrants have an exercise price of $0.01 per share, were valued at $3,022, and recorded as a debt discount. The May 2024 Penny Warrants were issued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2024, the Company entered into a Limited Waiver and First Amendment to the Term Loan with the Term Loan Lenders in regards to its compliance with the Tests as of the last day of the quarter ended June 30, 2024 and certain amendments to the Term Loan. The First Amendment provided for a one-time issuance of Penny Warrants to purchase up to 2,100,000 shares of the Company’s Common Stock at an exercise price of $0.01 per share (the “June 2024 Penny Warrants”), valued at $1,767 and recorded as a debt discount. The June 2024 Penny Warrants were issued in connection with the Term Loan Lenders’ agreement to waive the Tests under the Term Loan for the quarter ended June 30, 2024 and to amend the Term Loan. The June 2024 Penny Warrants are immediately exercisable upon issuance and will expire ten years from the date of issuance.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6 - LONG TERM DEBT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License Agreement, on July 29, 2024, the Company, Legacy Dragonfly and Battle Born LLC entered into a Limited Waiver, Consent and Second Amendment (the “Second Amendment”) to the Term Loan.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Second Amendment, the Term Loan Lenders (i) consented to the transactions contemplated by the License Agreement and the Trademark Transfer Agreement and (ii) agreed to waive the mandatory prepayment under the Term Loan that would have been due to the Lenders under the Loan Agreement upon Battle Born LLC’s receipt of the Initial Licensing Fee.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Second Amendment, Battle Born LLC entered into a Joinder Agreement with the Term Loan Lenders whereby Battle Born LLC became a guarantor and credit party to the Term Loan.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2024, August 30, 2024, September 30, 2024, and October 31, 2024 the Company received waivers from its Administrative Agent and the Term Loan Lenders in regards to its compliance with the Liquidity test as of the last day of the fiscal months ended July 31, 2024, August 31, 2024, September 30, 2024, and October 31, 2024.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30, 2024, the Company entered into a Limited Waiver and Third Amendment (the “Third Amendment”, together with the Original Term Loan Agreement, the First Amendment and the Second Amendment, the “Term Loan Agreement”) to the Term Loan Agreement with the Term Loan Lenders in regards to its compliance with the Tests as of the last day of the quarter ended September 30, 2024 and certain amendments to the Term Loan Agreement. The Third Amendment provided for a one-time issuance of penny warrants (the “September 2024 Penny Warrants”, collectively with the Original Penny Warrants, the May 2024 Penny Warrants and the June 2024 Penny Warrants, the “Penny Warrants”) to purchase up to 3,000,000 shares of the Company’s Common Stock at an exercise price of $0.01 per share (the “September 2024 Penny Warrant Shares”, collectively with the Original Penny Warrants, and the May 2024 Penny Warrants, the “Penny Warrant Shares”), valued at $1,576 and recorded as a debt discount. The September 2024 Penny Warrants were issued in connection with the Term Loan Lenders’ agreement to waive the Tests under the Term Loan for the quarter ended September 30, 2024 and to amend the Term Loan Agreement. The September 2024 Penny Warrants are immediately exercisable upon issuance and will expire ten years from the date of issuance.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6 -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restrictive financial covenants pertaining to Maximum Senior Leverage Ratio, Liquidity, Fixed Charge Coverage Ratio, and Capital Expenditures as defined in the Term Loan Agreement. As of September 30, 2024, the Company was not in compliance with its financial covenants pertaining to the fixed charge coverage ratio, liquidity, and the maximum senior leverage ratio. On March 31, 2024, April 29, 2024, June 28, 2024, July 31, 2024, August 30, 2024, September 30, 2024, and October 31, 2024, the Company obtained waivers from the Term Loan Lenders and administrative agent in regards to its failure to satisfy the liquidity requirement under the Term Loan for the quarters ended March 31, 2024, June 30, 2024, and September 30, 2024, and the fiscal month ended April 30, 2024, July 31, 2024, August 31, 2024, September 30, 2024, and October 31, 2024 as applicable. If the Company is unable to obtain a waiver or if the Company is unable to comply with such covenants, the Term Loan Lenders have the right to accelerate the maturity of the Term Loan Agreement. Because of this, the entire debt is classified as current instead of long-term debt.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September 30, 2024 the future debt maturities are as follows:</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68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For Year Ended December 31,</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60" w:type="dxa"/>
            <w:vAlign w:val="bottom"/>
          </w:tcPr>
          <w:p>
            <w:pPr>
              <w:spacing w:after="0"/>
              <w:rPr>
                <w:sz w:val="18"/>
                <w:szCs w:val="18"/>
                <w:color w:val="auto"/>
              </w:rPr>
            </w:pPr>
          </w:p>
        </w:tc>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81,506</w:t>
            </w:r>
          </w:p>
        </w:tc>
        <w:tc>
          <w:tcPr>
            <w:tcW w:w="100" w:type="dxa"/>
            <w:vAlign w:val="bottom"/>
            <w:shd w:val="clear" w:color="auto" w:fill="CCEEFF"/>
          </w:tcPr>
          <w:p>
            <w:pPr>
              <w:spacing w:after="0"/>
              <w:rPr>
                <w:sz w:val="19"/>
                <w:szCs w:val="19"/>
                <w:color w:val="auto"/>
              </w:rPr>
            </w:pPr>
          </w:p>
        </w:tc>
      </w:tr>
      <w:tr>
        <w:trPr>
          <w:trHeight w:val="209"/>
        </w:trPr>
        <w:tc>
          <w:tcPr>
            <w:tcW w:w="86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82,444</w:t>
            </w:r>
          </w:p>
        </w:tc>
        <w:tc>
          <w:tcPr>
            <w:tcW w:w="10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Estimated interest paid-in-kind</w:t>
            </w:r>
          </w:p>
        </w:tc>
        <w:tc>
          <w:tcPr>
            <w:tcW w:w="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09"/>
        </w:trPr>
        <w:tc>
          <w:tcPr>
            <w:tcW w:w="86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82,444</w:t>
            </w:r>
          </w:p>
        </w:tc>
        <w:tc>
          <w:tcPr>
            <w:tcW w:w="10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(58,046)</w:t>
            </w:r>
          </w:p>
        </w:tc>
      </w:tr>
      <w:tr>
        <w:trPr>
          <w:trHeight w:val="210"/>
        </w:trPr>
        <w:tc>
          <w:tcPr>
            <w:tcW w:w="86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24,398</w:t>
            </w:r>
          </w:p>
        </w:tc>
        <w:tc>
          <w:tcPr>
            <w:tcW w:w="10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(24,398)</w:t>
            </w:r>
          </w:p>
        </w:tc>
      </w:tr>
      <w:tr>
        <w:trPr>
          <w:trHeight w:val="223"/>
        </w:trPr>
        <w:tc>
          <w:tcPr>
            <w:tcW w:w="86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ASSET PURCHASE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Thomason Jones Company, LLC</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FASB ASC</w:t>
      </w:r>
    </w:p>
    <w:p>
      <w:pPr>
        <w:spacing w:after="0" w:line="1" w:lineRule="exact"/>
        <w:rPr>
          <w:sz w:val="20"/>
          <w:szCs w:val="20"/>
          <w:color w:val="auto"/>
        </w:rPr>
      </w:pPr>
    </w:p>
    <w:p>
      <w:pPr>
        <w:jc w:val="both"/>
        <w:ind w:firstLine="8"/>
        <w:spacing w:after="0" w:line="255" w:lineRule="auto"/>
        <w:tabs>
          <w:tab w:leader="none" w:pos="3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within twenty-four months of the acquisition, the Company is obligated to pay each of Thomason and Jones $1,000. The Company may satisfy this obligation in cash or by issuing common stock at its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 weighted expected outcome approach, considering the likelihood of reaching the gross sales target.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has recognized $2,000 of compensation expense in connection with this arrangement. During the period January 1, 2024 through the quarter ended September 30, 2024, no compensation expense has been recognized. This expense is reflected in the statement of operations under Sales and marketing expense. The total amount was recognized as compensation expense as of December 31, 2023, since it was deemed earned and no further service performance was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LICENSE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2024, Legacy Dragonfly and Battle Born LLC, a wholly-owned subsidiary of Legacy Dragonfly, entered into the License Agreement with Stryten. Under the terms of the License Agreement, Battle Born LLC granted Stryten an exclusive, worldwide license to use certain trademarks associated with the Company’s lithium-ion battery brand, Battle Born Batteries®, for business-to-business battery sales in specified markets. In exchange, Stryten paid an initial licensing fee of $5,000 and will make additional mid-single digit royalty payments to be paid based on net sales to be paid quarterly utilizing the licensed trademarks, with total royalties capped at $25,000. Once the cap is reached, Stryten will be required to pay a nominal annual license fee. The License Agreement is perpetual unless terminated in accordance with its terms. Concurrently, the Company transferred all intellectual property rights related to the licensed trademarks to Battle Born LLC and retained a worldwide license outside of Stryten’s designated markets. The $5,000 initial licensing fee is being recognized as revenue on a straight-line basis over five years. For the three and nine months ended September 30, 2024, the Company has recorded $167 in revenue related to the amortization of the License Agreement and no royalty payments have been received or earned. As of September 30, 2024, the Company has recorded $1,000 in short term deferred revenue and $3,833 in long-term deferred revenue related to the license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9 - RELATED PARTY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25, 2022, the Company entered into a separation and release of claims agreement with its Chief Operating Officer (the “COO”). As consideration for the COO’s execution of the agreement, the Company agreed to pay the employee a lump sum payment of $100 which is included in general and administrative expenses in the statements of operations, payments equivalent to $1,000 divided into twenty-four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100,000 options and 76,316 options expired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its former COO in which the COO waived their rights to a transaction bonus resulting from the merger transaction in lieu of a Company van. The Company accounted for the cost of the van as an employee bonus, resulting in $116 of general and administrative expense for the prior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2023, the Company entered into a convertible promissory note (the “Note”) with a board member in the amount of $1,000, or the Principal Amount. Upon execution of the Note and funding of the original principal sum, a payment of $100 (the “Loan Fee”) was fully earned as of the date of the Note and was due and payable in full in cash on April 4, 2023. The Company paid the Principal Amount and the Loan Fee on April 1, 2023 and April 4, 2023,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2023, the Company entered into a separation and release of claims agreement with its former Chief Legal Officer (the “CLO”). As consideration for the CLO’s execution of the agreement, the Company agreed to pay the employee payments equivalent to $720 divided into twenty-four</w:t>
      </w:r>
    </w:p>
    <w:p>
      <w:pPr>
        <w:jc w:val="both"/>
        <w:ind w:firstLine="8"/>
        <w:spacing w:after="0" w:line="255" w:lineRule="auto"/>
        <w:tabs>
          <w:tab w:leader="none" w:pos="3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payments commencing on June 1, 2023, and all outstanding equity-based compensation awards to become fully vested and exercisable at an expense of $76. The CLO shall have three (3) months from the termination date to exercise outstanding options. The three (3) month period ended on July 26, 2023 in which the options were not exercised and the options were forfeited as a result.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9 - RELATED PARTY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Public Warrants are classified as equity and as of September 30, 2024 and September 30, 2023, there were 9,422,529 Public Warrants issued and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no public warrants were exercised.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3,126,472 warrants on a cashless basis, with the Company agreeing to issue 1,100,000 shares of Common Stock in connection with such exercise. There were 1,501,386 private warrants outstanding as of September 30, 2024 and December 31, 2023,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 (Continued)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The Company determined, through use of a Binomial Lattice model, that the fair value of each Private Placement Warrant less a discount for the difference in remaining life is equivalent to that of each Public Warrant.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Term Loan Agreement on October 7, 2022, and as a required term and condition thereof, the Company issued (i) the penny warrants to the Term Loan Lenders exercisable to purchase an aggregate of 2,593,056 shares of Common Stock (the “Original Penny Warrants”) and</w:t>
      </w:r>
    </w:p>
    <w:p>
      <w:pPr>
        <w:jc w:val="both"/>
        <w:ind w:firstLine="8"/>
        <w:spacing w:after="0" w:line="251" w:lineRule="auto"/>
        <w:tabs>
          <w:tab w:leader="none" w:pos="2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 warrants to issue warrants to the Term Loan Lenders exercisable to purchase an aggregate of 1,600,000 shares of Common Stock at $10 per share (the “$10 Warrants” and, together with the Original Penny Warrants, the “Term Loan Warrants”). The $10 Warrants were exercised on a cashless basis on October 10, 2022, with the Company issuing 457,142 shares of Common Stock in connection with such exercise. During the year ended December 31, 2023, Original Penny Warrant holders exercised 2,000,000 warrants on a cashless basis, with the Company agreeing to issue 1,996,323 shares of Common Stock in connection with such exercise. During the year ended December 31, 2023 the Company issued additional Original Penny Warrants to purchase 4,783 shares of Common Stock to the Term Loan Lenders in accordance with the anti-dilution provisions of the Original Penny Warrants with respect to certain sales made by the Company under the ChEF Equity Facility. In addition, pursuant to the Company’s limited waiver agreement on December 29, 2023 between the Company and the Term Loan Lenders and lending agent, the Company agreed to issue to the lenders additional penny warrants exercisable to purchase an aggregate 1,286,671 shares of its Common Stock.</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2024, the Company received the May 2024 Waiver in regards to its compliance with the Tests as of the last day of the quarter ended March 31, 2024. The May 2024 Waiver provided for a one-time issuance of the May 2024 Penny Warrants to purchase up to 2,550,000 shares of the Company’s common stock,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28, 2024, the Company entered into the First Amendment to the Term Loan with the Term Loan Lenders in regards to its compliance with the Tests for the quarter ended June 30, 2024. The First Amendment provided for a one-time issuance of the June 2024 Penny Warrants to purchase up to 2,100,000 shares of the Company’s common stock, at an exercise price of $0.01 per share, in connection with the Term Loan Lenders’ agreement to waive the Tests under the Term Loan for the quarter ended June 30, 2024 and certain amendments to the Term Loan. The June 2024 Penny Warrants are immediately exercisable upon issuance and will expire ten years from the date of issuance.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30, 2024, the Company entered into the Third Amendment to the Term Loan with the Term Loan Lenders in regards to its compliance with the Tests for the quarter ended September 30, 2024. The Third Amendment provided for a one-time issuance the September 2024 Penny Warrants to purchase up to 3,000,000 shares of the Company’s Common Stock, at an exercise price of $0.01 per share, in connection with the Term Loan Lenders agreement to waive the Tests under the Term Loan for the quarter ended September 30, 2024 and to amend the Term Loan. The September 2024 Penny Warrants are immediately exercisable upon issuance and will expire ten years from the date of issuance. The May 2024 Penny Warrants, the June 2024 Penny Warrants, and the September 2024 Penny Warrants were valued utilizing a Black-Scholes model with the following assumptions:</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May 2024 Penny</w:t>
            </w:r>
          </w:p>
        </w:tc>
        <w:tc>
          <w:tcPr>
            <w:tcW w:w="10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2024 Penny</w:t>
            </w:r>
          </w:p>
        </w:tc>
        <w:tc>
          <w:tcPr>
            <w:tcW w:w="120" w:type="dxa"/>
            <w:vAlign w:val="bottom"/>
          </w:tcPr>
          <w:p>
            <w:pPr>
              <w:spacing w:after="0"/>
              <w:rPr>
                <w:sz w:val="18"/>
                <w:szCs w:val="18"/>
                <w:color w:val="auto"/>
              </w:rPr>
            </w:pP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September 2024</w:t>
            </w:r>
          </w:p>
        </w:tc>
      </w:tr>
      <w:tr>
        <w:trPr>
          <w:trHeight w:val="238"/>
        </w:trPr>
        <w:tc>
          <w:tcPr>
            <w:tcW w:w="2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0"/>
                <w:szCs w:val="20"/>
                <w:color w:val="auto"/>
              </w:rPr>
            </w:pP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Penny Warrants</w:t>
            </w: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5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 years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 years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concluded the Penny Warrants are not considered indexed to the Company’s Common Stock and to be accounted for as liabilities under ASC</w:t>
      </w:r>
    </w:p>
    <w:p>
      <w:pPr>
        <w:spacing w:after="0" w:line="39" w:lineRule="exact"/>
        <w:rPr>
          <w:sz w:val="20"/>
          <w:szCs w:val="20"/>
          <w:color w:val="auto"/>
        </w:rPr>
      </w:pPr>
    </w:p>
    <w:p>
      <w:pPr>
        <w:ind w:firstLine="8"/>
        <w:spacing w:after="0" w:line="260" w:lineRule="auto"/>
        <w:tabs>
          <w:tab w:leader="none" w:pos="3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the estimated fair value is recognized as a liability each reporting period, with changes in the fair value recognized within income each period. There were no Term Loan Warrants outstanding prior to the merger.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Penny Warrants: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3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96.00%</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50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Investor Warrants issued in the June 2023 Offering: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4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4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08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46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106.00%</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308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459"/>
        </w:trPr>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Company’s warrants from January 1, 2024 to September 30, 2024:</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Warrants (including Penny Warrants):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2024</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7,670,524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September 30, 2024</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9,555,034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Warrants: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2024</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September 30, 2024</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COMMON STOCK</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6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dividends on common stock had been declared by the Company.</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2024 and 2023, the Company had reserved shares of common stock for issuance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25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1,748,687</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3,274,940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4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62,767,982</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58,880,712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4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32,181,100</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23,219,622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4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25,000,000</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4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8,359,925</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4,470,153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130,057,694</w:t>
            </w:r>
          </w:p>
        </w:tc>
        <w:tc>
          <w:tcPr>
            <w:tcW w:w="3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129,845,427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50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29</w:t>
            </w: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vMerge w:val="continue"/>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11 - COMMON STOCK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7, 2022, 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$150 million, pursuant to the terms of the Purchase Agreement (the “ChEF Equity Facility”). In addition, the Company appointed LifeSci Capital, LLC as “qualified independent underwriter” with respect to the transactions contemplated by the Purchase Agreement. On May 20, 2024, the Company entered into an amendment to the Original Purchase Agreement (the “A&amp;R Purchase Agreement”, together with the Original Purchase Agreement, the “Purchase Agreement”) with CCM LLC to update the volume weighted average price purchase mechanics of the equity facility to permit Intraday VWAP Purchases (as defined in the A&amp;R Purchase Agreement). Under the terms of the Purchase Agreement, the Company issued 98,500 shares pursuant to the Purchase Agreement with CCM LLC for aggregate net proceeds to the Company of $671 from the period January 1, 2023 through September 30, 2023. The Company issued 2,245,391 shares pursuant to the Purchase Agreement with CCM LLC for aggregate proceeds to the Company of $1,705 from the period January 1, 2024 through September 30, 2024. In accordance with the anti-dilution provisions of the penny warrants with respect to certain sales made by the Company under the ChEF Equity Facility, 20,524 penny warrants were issued from the period January 1, 2024 through September 30,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expense for options and RSUs totaling $759 and $6,387 was recognized in the Company’s consolidated statements of operations for the nine months ended September 30, 2024 and 2023, respectively. Share-based compensation expense for options and RSUs totaling $256 and $946 was recognized in the Company’s consolidated statements of operations for the three months ended September 30, 2024 and 2023,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$759 of share-based compensation incurred during the nine months ended September 30, 2024, $81 is allocated to cost of goods sold, $136 to research and development, $198 to selling and marketing, and $344 to general and administrative expenses. Of the $6,387 of share-based compensation incurred during the nine months ended September 30, 2023, $104 is allocated to cost of goods sold, $82 to research and development, $1,033 to selling and marketing, and $5,168 to general and administrative expenses.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$256 of share-based compensation incurred during the three months ended September 30, 2024, $21 is allocated to cost of goods sold, $35 to research and development, $71 to selling and marketing, and $129 to general and administrative expenses. Of the $946 of share-based compensation incurred during the three months ended September 30, 2023, $29 is allocated to cost of goods sold, $33 to research and development, $62 to selling and marketing, and $822 to general and administrative expenses.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2,464,400 shares of the Company’s common stock were initially available for issuance under the ESPP. The share limit will automatically increase on the first trading day in January of each year by an amount equal to lesser of (1) 1% of the total number of outstanding shares of the Company’s common stock on December 31 in the prior year, (2) 1,500,000 shares, or (3) such number as determined by the Company’s board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362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6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2,364,787</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1.57</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(228,888)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1.63</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(376,121)</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8"/>
                <w:szCs w:val="18"/>
                <w:color w:val="auto"/>
              </w:rPr>
            </w:pPr>
          </w:p>
        </w:tc>
        <w:tc>
          <w:tcPr>
            <w:tcW w:w="14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1.60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(11,091)</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0.53</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September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1,748,687</w:t>
            </w:r>
          </w:p>
        </w:tc>
        <w:tc>
          <w:tcPr>
            <w:tcW w:w="3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1.56</w:t>
            </w:r>
          </w:p>
        </w:tc>
        <w:tc>
          <w:tcPr>
            <w:tcW w:w="34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2"/>
                <w:szCs w:val="22"/>
                <w:color w:val="auto"/>
              </w:rPr>
            </w:pPr>
          </w:p>
        </w:tc>
      </w:tr>
      <w:tr>
        <w:trPr>
          <w:trHeight w:val="196"/>
        </w:trPr>
        <w:tc>
          <w:tcPr>
            <w:tcW w:w="3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2024</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1,469,296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1,748,687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11,091 shares as a result of exercised stock options upon the receipt of proceeds of approximately $4.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10, 2023, the Company granted 461,998 restricted stock units (“RSUs”) under the 2022 plan, which vested immediately. The fair value of these restricted stock units on the grant date was $3,464, and the full amount was recorded as compensation expense during the nine months ended September 30, 2023. No related expense was recorded during the three months ended September 30, 2023. During the nine months ended September 30, 2023, the Company also granted 37,000 additional RSUs. The fair value of these unvested RSUs was $121, with $14 of expense recorded during both the three and nine months ended September 30, 2023. Additionally, during the three months ended September 30, 2023, the Company granted another 9,000 RSUs. The fair value of these RSUs on the grant date was $16, and no expense was recognized for this grant during the three months ended September 30,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5, 2024, the Company granted 220,000 RSUs of which 100,000 vested immediately. The fair value of the 220,000 RSUs was $95 and an expense of $48 was recorded as compensation expense during the nine months ended September 30,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12, 2024, the Company issued a total of 836,295 RSUs to the following employees: (i) 567,407 RSUs to the Chief Executive Officer; (ii) 181,481 RSUs to the Chief Revenue Officer; and (iii) 87,407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the board of directors authorized the issuance of 222,222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17, 2024, the Company issued 3,428 shares in exchange for 4,875 vested RSU’s less shares deducted to cover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22, 2024, the Company issued 375 shares in exchange for 375 vested RSU’s.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24, 2024, the Company granted 21,750 RSUs. The fair value of the 2,191,377 RSUs granted during the three months ended June 30, 2024 was $995 and an expense of $154 was recorded as compensation expense during the nine months ended September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(Continued)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restricted stock unit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2024, the Company issued a total of 735,000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735,000 RSUs was $448 and an expense of $17 was recorded as compensation expense during the nine months ended September 30, 2024,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2024, the Company issued a total of 20,000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20,000 RSUs was $12 and no expense was recorded as compensation expense during the nine months ended September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RSUs activity for the nine months ended September 30, 2024:</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38"/>
        </w:trPr>
        <w:tc>
          <w:tcPr>
            <w:tcW w:w="56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Market Value</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unvested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3,166,377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(109,375)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18"/>
                <w:szCs w:val="18"/>
                <w:color w:val="auto"/>
              </w:rPr>
            </w:pP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September 30, 2024</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8,359,925 shares of unissued authorized and available for future awards under the 2022 Equity Incentive Plan and the ESPP.</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the ESPP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 On April 24, 2024, the Company issued 244,774 common shares in connection with its Employee Stock Purchase Plan for a total consideration of approximately $112. The ESPP allows employees to purchase shares at a 15% discount to the lesser of the stock price at the beginning or the end of the offering period, which was October 1, 2023, and April 1, 2024, respectively. The discount resulted in an exercise price of $0.46 per share. During the three and nine months ended September 30, 2024, the Company did not recognize any compensation expense. On April 1, 2024, the Company commenced a second offering under the ESPP, which ran through September 30, 2024, with the same terms as the first offering. As of September 30, 2024, the Company had 305,552 shares reserved for issuance in connection with the second ESPP offering. The Company recorded a liability of approximately $186 related to employee contributions. However, $51 of this amount was disallowed for issuance due to the 10,000-share purchase limit. The remaining $135 was settled after the third quarter ended September 30, 2024, and the corresponding shares were issued.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SUPPLIER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REVISIONS OF PREVIOUSLY ISSUED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revised the previously issued financial statements for the quarter ended September 30, 2023 for the underpayment of tariffs to U.S. Customs and Border Protection (“CBP”) related to the improper classification and valuation of certain of the products used in its batteries. The Company has reported the underpayment to CBP. The underpayment of tariffs was primarily the result of utilizing an improper tariff rate. The additional amount of the tariffs was allocated between inventory and cost of goods sold based on the status of imported items (i.e. included in the inventories held vs included in the inventories already sold to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Staff Accounting Bulletin (“SAB”) 99, Materiality, and SAB 108, Considering the Effects of Prior Year Misstatements when Quantifying Misstatements in Current Year Financial Statements, the Company evaluated the materiality of the error from qualitative and quantitative perspectives, and concluded that the error was immaterial to any prior annual or interim financial statements. Notwithstanding this conclusion, management has revised the accompanying condensed consolidated financial statements for the quarter ended September 30, 2023 and related notes included herein to correct this error for the financial statements for the quarter ended September 30, 2023 presented.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NOTE 14 - REVISIONS OF PREVIOUSLY ISSUED FINANCIAL STATEMENTS (CONTINUED)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tables present the effect of correcting this error on the Company’s previously issued financial statements.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4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the three months ended September 30, 2023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920" w:type="dxa"/>
            <w:vAlign w:val="bottom"/>
            <w:tcBorders>
              <w:top w:val="single" w:sz="8" w:color="auto"/>
            </w:tcBorders>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As previously</w:t>
            </w:r>
          </w:p>
        </w:tc>
        <w:tc>
          <w:tcPr>
            <w:tcW w:w="1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gridSpan w:val="2"/>
            <w:vMerge w:val="continue"/>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23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Adjustment</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As revised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4,572</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(5,901)</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(3,977)</w:t>
            </w: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(10,023)</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(10,023)</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 the nine months ended September 30, 2023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920" w:type="dxa"/>
            <w:vAlign w:val="bottom"/>
            <w:tcBorders>
              <w:top w:val="single" w:sz="8" w:color="auto"/>
            </w:tcBorders>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As previously</w:t>
            </w:r>
          </w:p>
        </w:tc>
        <w:tc>
          <w:tcPr>
            <w:tcW w:w="1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gridSpan w:val="2"/>
            <w:vMerge w:val="continue"/>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23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Adjustment</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As revised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40,541</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13,413</w:t>
            </w: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(24,108)</w:t>
            </w: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(24,332)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(11,905)</w:t>
            </w: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(11,981)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(16,831)</w:t>
            </w: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(16,831)</w:t>
            </w: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(0.34)</w:t>
            </w: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bottom w:val="single" w:sz="8" w:color="auto"/>
            </w:tcBorders>
            <w:gridSpan w:val="5"/>
          </w:tcPr>
          <w:p>
            <w:pPr>
              <w:jc w:val="center"/>
              <w:ind w:left="1110"/>
              <w:spacing w:after="0"/>
              <w:rPr>
                <w:sz w:val="20"/>
                <w:szCs w:val="20"/>
                <w:color w:val="auto"/>
              </w:rPr>
            </w:pPr>
            <w:r>
              <w:rPr>
                <w:rFonts w:ascii="Times New Roman" w:cs="Times New Roman" w:eastAsia="Times New Roman" w:hAnsi="Times New Roman"/>
                <w:sz w:val="18"/>
                <w:szCs w:val="18"/>
                <w:color w:val="auto"/>
              </w:rPr>
              <w:t>For the Period Ended September 30, 2023</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92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As previously</w:t>
            </w: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gridSpan w:val="2"/>
            <w:vMerge w:val="continue"/>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23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Adjustment</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As revised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Accrued Tariffs</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NOTE 14 - REVISIONS OF PREVIOUSLY ISSUED FINANCIAL STATEMENTS (CONTINUED)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bottom w:val="single" w:sz="8" w:color="auto"/>
            </w:tcBorders>
            <w:gridSpan w:val="5"/>
          </w:tcPr>
          <w:p>
            <w:pPr>
              <w:jc w:val="center"/>
              <w:ind w:left="1110"/>
              <w:spacing w:after="0"/>
              <w:rPr>
                <w:sz w:val="20"/>
                <w:szCs w:val="20"/>
                <w:color w:val="auto"/>
              </w:rPr>
            </w:pPr>
            <w:r>
              <w:rPr>
                <w:rFonts w:ascii="Times New Roman" w:cs="Times New Roman" w:eastAsia="Times New Roman" w:hAnsi="Times New Roman"/>
                <w:sz w:val="18"/>
                <w:szCs w:val="18"/>
                <w:color w:val="auto"/>
              </w:rPr>
              <w:t>For the Period Ended September 30, 2023</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tc>
        <w:tc>
          <w:tcPr>
            <w:tcW w:w="1920" w:type="dxa"/>
            <w:vAlign w:val="bottom"/>
            <w:gridSpan w:val="2"/>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As previously</w:t>
            </w: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gridSpan w:val="2"/>
            <w:vMerge w:val="continue"/>
          </w:tcPr>
          <w:p>
            <w:pPr>
              <w:spacing w:after="0"/>
              <w:rPr>
                <w:sz w:val="20"/>
                <w:szCs w:val="20"/>
                <w:color w:val="auto"/>
              </w:rPr>
            </w:pPr>
          </w:p>
        </w:tc>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reported</w:t>
            </w:r>
          </w:p>
        </w:tc>
        <w:tc>
          <w:tcPr>
            <w:tcW w:w="23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Adjustment</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As revised</w:t>
            </w: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 January 1, 2023</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(27,133)</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 March 31, 2023</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(22,241)</w:t>
            </w: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(706)</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(22,947)</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(11,700)</w:t>
            </w: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(11,899)</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 June 30, 2023</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(33,941)</w:t>
            </w: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(905)</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(34,846)</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(10,023)</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(10,007)</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 September 30, 2023</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(43,964)</w:t>
            </w: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(889)</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(44,853)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October 1, 2024 through November 12, 2024, the Company issued and sold approximately 53,719 shares of Common Stock under the ChEF Equity Facility, resulting in additional net cash proceeds of $26,660. In addition, from October 1, 2024 through November 12, 2024, the Company issued certain Penny Warrants to purchase 419 shares of Common Stock to the Term Loan Lenders in accordance with the anti-dilution provisions of the Penny Warrants with respect to certain sales the Company made under the ChEF Equity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References in this report (the “</w:t>
      </w:r>
      <w:r>
        <w:rPr>
          <w:rFonts w:ascii="Times New Roman" w:cs="Times New Roman" w:eastAsia="Times New Roman" w:hAnsi="Times New Roman"/>
          <w:sz w:val="18"/>
          <w:szCs w:val="18"/>
          <w:b w:val="1"/>
          <w:bCs w:val="1"/>
          <w:i w:val="1"/>
          <w:iCs w:val="1"/>
          <w:color w:val="auto"/>
        </w:rPr>
        <w:t>Quarterly Report</w:t>
      </w:r>
      <w:r>
        <w:rPr>
          <w:rFonts w:ascii="Times New Roman" w:cs="Times New Roman" w:eastAsia="Times New Roman" w:hAnsi="Times New Roman"/>
          <w:sz w:val="18"/>
          <w:szCs w:val="18"/>
          <w:i w:val="1"/>
          <w:iCs w:val="1"/>
          <w:color w:val="auto"/>
        </w:rPr>
        <w:t>”) to “we,” “us,” “our” or the “Company” refer to Dragonfly Energy Holdings Corp., a Nevada corporation. References to “Legacy Dragonfly” refer to Dragonfly Energy Corp., a Nevada corporation, one of our wholly-owned subsidiaries.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completion of the Business Combination (as defined herein),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2023 included in our Annual Report on Form 10-K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i w:val="1"/>
          <w:iCs w:val="1"/>
          <w:color w:val="auto"/>
        </w:rPr>
        <w:t>”) on April 16, 2024, as amended April 29, 2024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i w:val="1"/>
          <w:iCs w:val="1"/>
          <w:color w:val="auto"/>
        </w:rPr>
        <w:t>”),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made pursuant to the safe harbor provisions of the Private Securities Litigation Reform Act of 1995 under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including Keystone’s decision in July 2023, that, due to weaker demand for its products and their subsequent focus on reducing costs, it would no longer install our storage solutions as standard equipment, but rather return to offering those solutions as an option to dealers and consumers;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 (“</w:t>
      </w:r>
      <w:r>
        <w:rPr>
          <w:rFonts w:ascii="Times New Roman" w:cs="Times New Roman" w:eastAsia="Times New Roman" w:hAnsi="Times New Roman"/>
          <w:sz w:val="18"/>
          <w:szCs w:val="18"/>
          <w:b w:val="1"/>
          <w:bCs w:val="1"/>
          <w:color w:val="auto"/>
        </w:rPr>
        <w:t>Stryten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and our public warrants on the Nasdaq Capital Market;</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equity facility;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geopolitical events, including the Russia-Ukraine conflict and Hamas’ attack on Israel, and their effects on our operations;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a single manufacturing facility.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18"/>
          <w:szCs w:val="18"/>
          <w:i w:val="1"/>
          <w:iCs w:val="1"/>
          <w:color w:val="auto"/>
        </w:rPr>
        <w:t>Part I-Item 1A-Risk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of our Annual Report, for additional risks which could adversely impact our business and financial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 (“</w:t>
      </w:r>
      <w:r>
        <w:rPr>
          <w:rFonts w:ascii="Times New Roman" w:cs="Times New Roman" w:eastAsia="Times New Roman" w:hAnsi="Times New Roman"/>
          <w:sz w:val="18"/>
          <w:szCs w:val="18"/>
          <w:b w:val="1"/>
          <w:bCs w:val="1"/>
          <w:color w:val="auto"/>
        </w:rPr>
        <w:t>RV</w:t>
      </w:r>
      <w:r>
        <w:rPr>
          <w:rFonts w:ascii="Times New Roman" w:cs="Times New Roman" w:eastAsia="Times New Roman" w:hAnsi="Times New Roman"/>
          <w:sz w:val="18"/>
          <w:szCs w:val="18"/>
          <w:color w:val="auto"/>
        </w:rPr>
        <w:t>”), marine vessel, and solar, oil and gas and off-grid industries, with disruptive solid-state cell technology currently under development.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2020, we have sold over 320,000 batteries. For the quarters ended September 30, 2024, and September 30, 2023, we sold 10,283 and 14,886 batteries, respectively, and had $12.7 million and $15.9 million in net sales, respectively. For the nine months ended September 30, 2024 and September 30, 2023, we sold 32,907 and 56,183 batteries, respectively, and had $38.4 million and $54.0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“Dragonfly” branded batteries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decrease in sales is a reflection of weaker demand from both OEM and DTC customers in our core RV and marine markets due to rising interest rates and inflation.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We currently source the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cells incorporated into our batteries from a limited number of carefully selected suppliers that can meet our demanding quality standards and with whom we have developed long-term relationships.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we announced that we achieved full certification for our energy storage products to be deployed for use in oil &amp; gas operations in North America. As a result of this certification, we are working Connexa Energy Company (“</w:t>
      </w:r>
      <w:r>
        <w:rPr>
          <w:rFonts w:ascii="Times New Roman" w:cs="Times New Roman" w:eastAsia="Times New Roman" w:hAnsi="Times New Roman"/>
          <w:sz w:val="18"/>
          <w:szCs w:val="18"/>
          <w:b w:val="1"/>
          <w:bCs w:val="1"/>
          <w:color w:val="auto"/>
        </w:rPr>
        <w:t>Connexa</w:t>
      </w:r>
      <w:r>
        <w:rPr>
          <w:rFonts w:ascii="Times New Roman" w:cs="Times New Roman" w:eastAsia="Times New Roman" w:hAnsi="Times New Roman"/>
          <w:sz w:val="18"/>
          <w:szCs w:val="18"/>
          <w:color w:val="auto"/>
        </w:rPr>
        <w:t>”) to deliver a power product to Alegacy Equipment, LLC (“</w:t>
      </w:r>
      <w:r>
        <w:rPr>
          <w:rFonts w:ascii="Times New Roman" w:cs="Times New Roman" w:eastAsia="Times New Roman" w:hAnsi="Times New Roman"/>
          <w:sz w:val="18"/>
          <w:szCs w:val="18"/>
          <w:b w:val="1"/>
          <w:bCs w:val="1"/>
          <w:color w:val="auto"/>
        </w:rPr>
        <w:t>Alegacy Equipment</w:t>
      </w:r>
      <w:r>
        <w:rPr>
          <w:rFonts w:ascii="Times New Roman" w:cs="Times New Roman" w:eastAsia="Times New Roman" w:hAnsi="Times New Roman"/>
          <w:sz w:val="18"/>
          <w:szCs w:val="18"/>
          <w:color w:val="auto"/>
        </w:rPr>
        <w:t>”), a market leading natural gas compressor package company, and its affiliate Agnes Systems. The power systems, which Connexa expects to integrate, are expected to be used in natural gas compression equipment to reduce methane emissions in gas pipelines. We expect the first of these systems to be deployed in the fourth quarter of 2024 and this business line to begin contributing to net sales during the fourth quarter of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 w:cs="Times New Roman" w:eastAsia="Times New Roman" w:hAnsi="Times New Roman"/>
          <w:sz w:val="18"/>
          <w:szCs w:val="18"/>
          <w:b w:val="1"/>
          <w:bCs w:val="1"/>
          <w:color w:val="auto"/>
        </w:rPr>
        <w:t>Thomason Jones</w:t>
      </w:r>
      <w:r>
        <w:rPr>
          <w:rFonts w:ascii="Times New Roman" w:cs="Times New Roman" w:eastAsia="Times New Roman" w:hAnsi="Times New Roman"/>
          <w:sz w:val="18"/>
          <w:szCs w:val="18"/>
          <w:color w:val="auto"/>
        </w:rPr>
        <w:t>”) and the other parties thereto, we also acquired the assets, including the Wakespeed Offshore brand (“</w:t>
      </w:r>
      <w:r>
        <w:rPr>
          <w:rFonts w:ascii="Times New Roman" w:cs="Times New Roman" w:eastAsia="Times New Roman" w:hAnsi="Times New Roman"/>
          <w:sz w:val="18"/>
          <w:szCs w:val="18"/>
          <w:b w:val="1"/>
          <w:bCs w:val="1"/>
          <w:color w:val="auto"/>
        </w:rPr>
        <w:t>Wakespeed</w:t>
      </w:r>
      <w:r>
        <w:rPr>
          <w:rFonts w:ascii="Times New Roman" w:cs="Times New Roman" w:eastAsia="Times New Roman" w:hAnsi="Times New Roman"/>
          <w:sz w:val="18"/>
          <w:szCs w:val="18"/>
          <w:color w:val="auto"/>
        </w:rPr>
        <w:t>”) of Thomason Jones, allowing us to include our own alternator regulator in systems that we sell.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and expect to begin scaling production during 2025. In addition, we are currently exploring opportunities within North America as part of our efforts to build a cell manufacturing facility.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2024, we had cash totaling $8.0 million. Our net loss for the quarter ended September 30, 2024 was $6.8 million and our net loss for the quarter ended September 30, 2023 was $10.0 million. As a result of becoming a publicly traded company, we continue to need to hire additional personnel and implement procedures and processes to address public company regulatory requirements and customary practices. We have incurred and expect to continue to incur additional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Capital Resources</w:t>
      </w:r>
      <w:r>
        <w:rPr>
          <w:rFonts w:ascii="Times New Roman" w:cs="Times New Roman" w:eastAsia="Times New Roman" w:hAnsi="Times New Roman"/>
          <w:sz w:val="18"/>
          <w:szCs w:val="18"/>
          <w:color w:val="auto"/>
        </w:rPr>
        <w:t>” below, we expect that we will need to raise additional funds, including through the use of our $150 million equity facility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 with Chardan Capital Markets LLC (“</w:t>
      </w:r>
      <w:r>
        <w:rPr>
          <w:rFonts w:ascii="Times New Roman" w:cs="Times New Roman" w:eastAsia="Times New Roman" w:hAnsi="Times New Roman"/>
          <w:sz w:val="18"/>
          <w:szCs w:val="18"/>
          <w:b w:val="1"/>
          <w:bCs w:val="1"/>
          <w:color w:val="auto"/>
        </w:rPr>
        <w:t>CCM LLC</w:t>
      </w:r>
      <w:r>
        <w:rPr>
          <w:rFonts w:ascii="Times New Roman" w:cs="Times New Roman" w:eastAsia="Times New Roman" w:hAnsi="Times New Roman"/>
          <w:sz w:val="18"/>
          <w:szCs w:val="18"/>
          <w:color w:val="auto"/>
        </w:rPr>
        <w:t>”)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Stryten</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29, 2024, Legacy Dragonfly and Battle Born Battery Products, LLC (“</w:t>
      </w:r>
      <w:r>
        <w:rPr>
          <w:rFonts w:ascii="Times New Roman" w:cs="Times New Roman" w:eastAsia="Times New Roman" w:hAnsi="Times New Roman"/>
          <w:sz w:val="18"/>
          <w:szCs w:val="18"/>
          <w:b w:val="1"/>
          <w:bCs w:val="1"/>
          <w:color w:val="auto"/>
        </w:rPr>
        <w:t>Battle Born LLC</w:t>
      </w:r>
      <w:r>
        <w:rPr>
          <w:rFonts w:ascii="Times New Roman" w:cs="Times New Roman" w:eastAsia="Times New Roman" w:hAnsi="Times New Roman"/>
          <w:sz w:val="18"/>
          <w:szCs w:val="18"/>
          <w:color w:val="auto"/>
        </w:rPr>
        <w:t>”), a newly formed wholly-owned subsidiary of Legacy Dragonfly, entered into a License Agreement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with Stryten. Pursuant to the License Agreement, Battle Born LLC granted Stryten an exclusive, worldwide license to use certain trademarks relating to Legacy Dragonfly’s lithium-ion battery brand, Battle Born Batteries® (the “</w:t>
      </w:r>
      <w:r>
        <w:rPr>
          <w:rFonts w:ascii="Times New Roman" w:cs="Times New Roman" w:eastAsia="Times New Roman" w:hAnsi="Times New Roman"/>
          <w:sz w:val="18"/>
          <w:szCs w:val="18"/>
          <w:b w:val="1"/>
          <w:bCs w:val="1"/>
          <w:color w:val="auto"/>
        </w:rPr>
        <w:t>Licensed Trademarks</w:t>
      </w:r>
      <w:r>
        <w:rPr>
          <w:rFonts w:ascii="Times New Roman" w:cs="Times New Roman" w:eastAsia="Times New Roman" w:hAnsi="Times New Roman"/>
          <w:sz w:val="18"/>
          <w:szCs w:val="18"/>
          <w:color w:val="auto"/>
        </w:rPr>
        <w:t>”) for business-to-business sales of batteries to customers within the following markets: (i) automative, (ii) marine, (iii) powersports, (iv) lawn and garden, (v) golf cart, and (vi) military and defense (such industries, the “</w:t>
      </w:r>
      <w:r>
        <w:rPr>
          <w:rFonts w:ascii="Times New Roman" w:cs="Times New Roman" w:eastAsia="Times New Roman" w:hAnsi="Times New Roman"/>
          <w:sz w:val="18"/>
          <w:szCs w:val="18"/>
          <w:b w:val="1"/>
          <w:bCs w:val="1"/>
          <w:color w:val="auto"/>
        </w:rPr>
        <w:t>Stryten Market</w:t>
      </w:r>
      <w:r>
        <w:rPr>
          <w:rFonts w:ascii="Times New Roman" w:cs="Times New Roman" w:eastAsia="Times New Roman" w:hAnsi="Times New Roman"/>
          <w:sz w:val="18"/>
          <w:szCs w:val="18"/>
          <w:color w:val="auto"/>
        </w:rPr>
        <w:t>”). In exchange for the licensing rights, Stryten agreed to pay Battle Born LLC an initial licensing fee of five million dollars ($5,000,000) (the “</w:t>
      </w:r>
      <w:r>
        <w:rPr>
          <w:rFonts w:ascii="Times New Roman" w:cs="Times New Roman" w:eastAsia="Times New Roman" w:hAnsi="Times New Roman"/>
          <w:sz w:val="18"/>
          <w:szCs w:val="18"/>
          <w:b w:val="1"/>
          <w:bCs w:val="1"/>
          <w:color w:val="auto"/>
        </w:rPr>
        <w:t>Initial Licensing Fee</w:t>
      </w:r>
      <w:r>
        <w:rPr>
          <w:rFonts w:ascii="Times New Roman" w:cs="Times New Roman" w:eastAsia="Times New Roman" w:hAnsi="Times New Roman"/>
          <w:sz w:val="18"/>
          <w:szCs w:val="18"/>
          <w:color w:val="auto"/>
        </w:rPr>
        <w:t>”). 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2022, we entered into a purchase agreement with CCM LLC in connection with the ChEF Equity Facility, which was subsequently amended on May 20, 2024 (as amended,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We intend to opportunistically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2023, we entered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Roth Capital Partners, LLC, as representative of the several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pursuant to which we sold to the Underwriters, in a firm commitment underwritten public offering (the “</w:t>
      </w:r>
      <w:r>
        <w:rPr>
          <w:rFonts w:ascii="Times New Roman" w:cs="Times New Roman" w:eastAsia="Times New Roman" w:hAnsi="Times New Roman"/>
          <w:sz w:val="18"/>
          <w:szCs w:val="18"/>
          <w:b w:val="1"/>
          <w:bCs w:val="1"/>
          <w:color w:val="auto"/>
        </w:rPr>
        <w:t>June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 Offering</w:t>
      </w:r>
      <w:r>
        <w:rPr>
          <w:rFonts w:ascii="Times New Roman" w:cs="Times New Roman" w:eastAsia="Times New Roman" w:hAnsi="Times New Roman"/>
          <w:sz w:val="18"/>
          <w:szCs w:val="18"/>
          <w:color w:val="auto"/>
        </w:rPr>
        <w:t>”), an aggregate of (i) 10,000,000 shares of our common stock, par value $0.0001, and (ii) accompanying warrants to purchase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10,000,000 shares of common stock (the “</w:t>
      </w:r>
      <w:r>
        <w:rPr>
          <w:rFonts w:ascii="Times New Roman" w:cs="Times New Roman" w:eastAsia="Times New Roman" w:hAnsi="Times New Roman"/>
          <w:sz w:val="18"/>
          <w:szCs w:val="18"/>
          <w:b w:val="1"/>
          <w:bCs w:val="1"/>
          <w:color w:val="auto"/>
        </w:rPr>
        <w:t>Investor Warrants</w:t>
      </w:r>
      <w:r>
        <w:rPr>
          <w:rFonts w:ascii="Times New Roman" w:cs="Times New Roman" w:eastAsia="Times New Roman" w:hAnsi="Times New Roman"/>
          <w:sz w:val="18"/>
          <w:szCs w:val="18"/>
          <w:color w:val="auto"/>
        </w:rPr>
        <w:t>”), at the combined public offering price of $2.00 per share and accompanying Investor Warrant, less underwriting discounts and commissions, and (iii) warrants to purchase up to an aggregate of 570,250 shares of common stock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$20.7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29, 2023, we received a waiver (the “</w:t>
      </w:r>
      <w:r>
        <w:rPr>
          <w:rFonts w:ascii="Times New Roman" w:cs="Times New Roman" w:eastAsia="Times New Roman" w:hAnsi="Times New Roman"/>
          <w:sz w:val="18"/>
          <w:szCs w:val="18"/>
          <w:b w:val="1"/>
          <w:bCs w:val="1"/>
          <w:color w:val="auto"/>
        </w:rPr>
        <w:t>December 2023 Waiver</w:t>
      </w:r>
      <w:r>
        <w:rPr>
          <w:rFonts w:ascii="Times New Roman" w:cs="Times New Roman" w:eastAsia="Times New Roman" w:hAnsi="Times New Roman"/>
          <w:sz w:val="18"/>
          <w:szCs w:val="18"/>
          <w:color w:val="auto"/>
        </w:rPr>
        <w:t>”) from the Term Loan Lenders (as defined below) in regards to our compliance with the fixed charge coverage ratio and maximum senior leverage ratio with respect to the minimum cash requirements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under the Term Loan (as defined below) as of the last day of the quarter ended December 31, 2023. The December 2023 Waiver provided for a one-time issuance of penny warrants (the “</w:t>
      </w:r>
      <w:r>
        <w:rPr>
          <w:rFonts w:ascii="Times New Roman" w:cs="Times New Roman" w:eastAsia="Times New Roman" w:hAnsi="Times New Roman"/>
          <w:sz w:val="18"/>
          <w:szCs w:val="18"/>
          <w:b w:val="1"/>
          <w:bCs w:val="1"/>
          <w:color w:val="auto"/>
        </w:rPr>
        <w:t>December 2023 Penny Warrants</w:t>
      </w:r>
      <w:r>
        <w:rPr>
          <w:rFonts w:ascii="Times New Roman" w:cs="Times New Roman" w:eastAsia="Times New Roman" w:hAnsi="Times New Roman"/>
          <w:sz w:val="18"/>
          <w:szCs w:val="18"/>
          <w:color w:val="auto"/>
        </w:rPr>
        <w:t>”) to purchase up to 1,286,671 shares of our common stock, at an exercise price of $0.01 per share, in connection with the Term Loan Lenders’ agreement to waive the Tests under the Term Loan for the quarter ended December 31, 2023. The December 2023 Penny Warrants were immediately exercisable upon issuance and will expire ten years from the date of issuance.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May 13, 2024, we received a waiver (the “</w:t>
      </w:r>
      <w:r>
        <w:rPr>
          <w:rFonts w:ascii="Times New Roman" w:cs="Times New Roman" w:eastAsia="Times New Roman" w:hAnsi="Times New Roman"/>
          <w:sz w:val="18"/>
          <w:szCs w:val="18"/>
          <w:b w:val="1"/>
          <w:bCs w:val="1"/>
          <w:color w:val="auto"/>
        </w:rPr>
        <w:t>May 2024 Waiver</w:t>
      </w:r>
      <w:r>
        <w:rPr>
          <w:rFonts w:ascii="Times New Roman" w:cs="Times New Roman" w:eastAsia="Times New Roman" w:hAnsi="Times New Roman"/>
          <w:sz w:val="18"/>
          <w:szCs w:val="18"/>
          <w:color w:val="auto"/>
        </w:rPr>
        <w:t>”) from the Term Loan Lenders in regards to our compliance with the Tests as of the last day of the quarter ended March 31, 2024. The May 2024 Waiver provided for a one-time issuance of penny warrants (the “</w:t>
      </w:r>
      <w:r>
        <w:rPr>
          <w:rFonts w:ascii="Times New Roman" w:cs="Times New Roman" w:eastAsia="Times New Roman" w:hAnsi="Times New Roman"/>
          <w:sz w:val="18"/>
          <w:szCs w:val="18"/>
          <w:b w:val="1"/>
          <w:bCs w:val="1"/>
          <w:color w:val="auto"/>
        </w:rPr>
        <w:t>May 2024 Penny Warrants</w:t>
      </w:r>
      <w:r>
        <w:rPr>
          <w:rFonts w:ascii="Times New Roman" w:cs="Times New Roman" w:eastAsia="Times New Roman" w:hAnsi="Times New Roman"/>
          <w:sz w:val="18"/>
          <w:szCs w:val="18"/>
          <w:color w:val="auto"/>
        </w:rPr>
        <w:t>”) to purchase up to 2,550,000 shares of our common stock (the “</w:t>
      </w:r>
      <w:r>
        <w:rPr>
          <w:rFonts w:ascii="Times New Roman" w:cs="Times New Roman" w:eastAsia="Times New Roman" w:hAnsi="Times New Roman"/>
          <w:sz w:val="18"/>
          <w:szCs w:val="18"/>
          <w:b w:val="1"/>
          <w:bCs w:val="1"/>
          <w:color w:val="auto"/>
        </w:rPr>
        <w:t>May 2024 Penny 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2024 Private Placement and First Amendment to Term Loan Agreement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28, 2024, we received a limited waiver and first amendment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to the Term Loan Agreement (as defined below) from the Term Loan Lenders in regards to our compliance with the Tests as of the last day of the quarter ended June 30, 2024. The Amendment provided for a one-time issuance of penny warrants (the “</w:t>
      </w:r>
      <w:r>
        <w:rPr>
          <w:rFonts w:ascii="Times New Roman" w:cs="Times New Roman" w:eastAsia="Times New Roman" w:hAnsi="Times New Roman"/>
          <w:sz w:val="18"/>
          <w:szCs w:val="18"/>
          <w:b w:val="1"/>
          <w:bCs w:val="1"/>
          <w:color w:val="auto"/>
        </w:rPr>
        <w:t>June 2024 Penny Warrants</w:t>
      </w:r>
      <w:r>
        <w:rPr>
          <w:rFonts w:ascii="Times New Roman" w:cs="Times New Roman" w:eastAsia="Times New Roman" w:hAnsi="Times New Roman"/>
          <w:sz w:val="18"/>
          <w:szCs w:val="18"/>
          <w:color w:val="auto"/>
        </w:rPr>
        <w:t>”) to purchase up to 2,100,000 shares of our common stock (the “</w:t>
      </w:r>
      <w:r>
        <w:rPr>
          <w:rFonts w:ascii="Times New Roman" w:cs="Times New Roman" w:eastAsia="Times New Roman" w:hAnsi="Times New Roman"/>
          <w:sz w:val="18"/>
          <w:szCs w:val="18"/>
          <w:b w:val="1"/>
          <w:bCs w:val="1"/>
          <w:color w:val="auto"/>
        </w:rPr>
        <w:t>June 2024 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quarter ended June 30, 2024. The June 2024 Penny Warrants were immediately exercisable upon issuance and will expire ten years from the date of issuance.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Amendment to Term Loan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License Agreement, on July 29, 2024, us, Legacy Dragonfly and Battle Born LLC entered into a Limited Waiver, Consent and Second Amendment to the Term Loan, Guarantee and Security Agreement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with the Term Loan Lenders under our Original Term Loan Agreement (as defined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Second Amendment, the Term Loan Lenders (i) consented to the transactions contemplated by the License Agreement and the Trademark Transfer Agreement and (ii) agreed to waive the mandatory prepayment under the Loan Agreement that would have been due to the Term Loan Lenders under the Loan Agreement upon Battle Born LLC’s receipt of the Initial Licensing Fee.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connection with the Amendment, Battle Born LLC entered into a Joinder Agreement with the Term Loan Lenders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whereby Battle Born LLC became a guarantor and credit party to the Loan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Private Placement and Third Amendment to the Term Loan Agreement</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30, 2024, we received a limited waiver and third amendment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together with the Original Term Loan Agreement, the First Amendment and the Second Amendment,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to the Term Loan Agreement from the Term Loan Lenders in regards to our compliance with the Tests as of the last day of the quarter ended September 30, 2024. The Third Amendment provided for a one-time issuance of penny warrants (the “</w:t>
      </w:r>
      <w:r>
        <w:rPr>
          <w:rFonts w:ascii="Times New Roman" w:cs="Times New Roman" w:eastAsia="Times New Roman" w:hAnsi="Times New Roman"/>
          <w:sz w:val="18"/>
          <w:szCs w:val="18"/>
          <w:b w:val="1"/>
          <w:bCs w:val="1"/>
          <w:color w:val="auto"/>
        </w:rPr>
        <w:t>September 2024 Penny Warrants</w:t>
      </w:r>
      <w:r>
        <w:rPr>
          <w:rFonts w:ascii="Times New Roman" w:cs="Times New Roman" w:eastAsia="Times New Roman" w:hAnsi="Times New Roman"/>
          <w:sz w:val="18"/>
          <w:szCs w:val="18"/>
          <w:color w:val="auto"/>
        </w:rPr>
        <w:t>”) to purchase up to 3,000,000 shares of our common stock (the “</w:t>
      </w:r>
      <w:r>
        <w:rPr>
          <w:rFonts w:ascii="Times New Roman" w:cs="Times New Roman" w:eastAsia="Times New Roman" w:hAnsi="Times New Roman"/>
          <w:sz w:val="18"/>
          <w:szCs w:val="18"/>
          <w:b w:val="1"/>
          <w:bCs w:val="1"/>
          <w:color w:val="auto"/>
        </w:rPr>
        <w:t>Septembe</w:t>
      </w: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Penny 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for the quarter ended September 30, 2024. The September 2024 Penny Warrants were immediately exercisable upon issuance and will expire ten years from the date of issuance.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(as defined in the Term Loan Agreement) plus the Applicable Margin (as defined in the Term Loan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Distribution Developments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in developing our distribution channels. Our batteries have now received approval for installation at Daimler Truck CTS, Rush Enterprises CVS, and Fontaine Modification, all of which are PDI or modification and upfit centers. This development ensures the ready availability of batteries for shipment on new trucks and allows for their inclusion in the tractor’s purchase price.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June 18, 2024, we announced we entered into a partnership with Meyer Distributing, Inc. (“</w:t>
      </w:r>
      <w:r>
        <w:rPr>
          <w:rFonts w:ascii="Times New Roman" w:cs="Times New Roman" w:eastAsia="Times New Roman" w:hAnsi="Times New Roman"/>
          <w:sz w:val="18"/>
          <w:szCs w:val="18"/>
          <w:b w:val="1"/>
          <w:bCs w:val="1"/>
          <w:color w:val="auto"/>
        </w:rPr>
        <w:t>Meyer Distributing</w:t>
      </w:r>
      <w:r>
        <w:rPr>
          <w:rFonts w:ascii="Times New Roman" w:cs="Times New Roman" w:eastAsia="Times New Roman" w:hAnsi="Times New Roman"/>
          <w:sz w:val="18"/>
          <w:szCs w:val="18"/>
          <w:color w:val="auto"/>
        </w:rPr>
        <w:t>”), a leading distributor of specialty products across North America. We expect to leverage Meyer Distributing’s distribution network to deliver Battle Born Batteries to new business-to-business customers in the RV and surrounding industries.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Trucking Market Milestones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12, 2024, we announced that we would be partnering with Highway Transport, a leader in North American liquid chemical transportation, to transition Highway Transport’s entire fleet of over 500 trucks to our Battle Born all-electric APUs. As part of the partnership, Highway Transport is expected to install the Battle Born all-electric APUs on new tractors in addition to retrofitting current models in Highway Transport’s fleet. This partnership with Highway Transport marks a major step forward for our reach in the commercial trucking sector. We believe the planned integration of the Battle Born all-electric APU into Highway Transport’s fleet paves the way for wider adoption of our clean energy solutions, accelerating the transition towards a more sustainable transportation landscape.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2024, we announced that we are now a provider of lithium based liftgate power solutions for Refreshment Services Pepsi, a privately-held independent bottler and distributor for Pepsi-Cola® products. With distribution centers across the U.S., Refreshment Services Pepsi will begin integrating our Battle Born Batteries products into their fleet to power liftgate operations. The expansion of our lithium-based power solutions to liftgate applications broadens sales opportunities within the trucking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we completed a demonstration of our first off-grid methane reclamation payer system in collaboration with Alegacy Equipment and Anges Systems for the oil and gas industry.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14, 2024, we introduced Dragonfly IntelLigence® to the heavy-duty trucking market. This patent-pending smart battery technology provides fleets and truck drivers access to real-time system monitoring and app-based connectivity. We believe Dragonfly IntelLigence provides additional value to our Battle Born all-electric APUs by delivering enhanced visibility over our battery system.</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November 13, 2024, we announced we had entered into a partnership with Keystone Automotive Operations, Inc. (“</w:t>
      </w:r>
      <w:r>
        <w:rPr>
          <w:rFonts w:ascii="Times New Roman" w:cs="Times New Roman" w:eastAsia="Times New Roman" w:hAnsi="Times New Roman"/>
          <w:sz w:val="18"/>
          <w:szCs w:val="18"/>
          <w:b w:val="1"/>
          <w:bCs w:val="1"/>
          <w:color w:val="auto"/>
        </w:rPr>
        <w:t>Keystone Automotive</w:t>
      </w:r>
      <w:r>
        <w:rPr>
          <w:rFonts w:ascii="Times New Roman" w:cs="Times New Roman" w:eastAsia="Times New Roman" w:hAnsi="Times New Roman"/>
          <w:sz w:val="18"/>
          <w:szCs w:val="18"/>
          <w:color w:val="auto"/>
        </w:rPr>
        <w:t>”), a leading distributor and marketer of specialty automotive equipment and accessories in North America, for the distribution of Battle Born Batteries products. This partnership is expected to increase the availability of Battle Born Batteries products by leveraging Keystone Automotive’s extensive distribution network.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DTC and (2) through OEMs, particularly in the RV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fuel costs and energy demands (including an increasing trend towards the use of green energy), as well as overall macro-economic conditions, such as interest rates and inflation. Sales of our batteries have benefited from the increased adoption of the RV lifestyle, the demand for and inclusion of additional appliances and electronics in RVs, and the accelerating trend of solar power adoption among RV customers. However, rising fuel costs and other macro-economic conditions have caused a downward shift in decisions taken by end market consumers around spending in the RV market and in July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as a result in this change in strategy there was a material limiting effect on our revenue in 2023. Based on our ongoing discussions with customers and current forecast projections, we remain cautiously optimistic about increased revenue potential in the RV market. While the DTC segment shows continued uncertainty amid broader market conditions, we have noted progress in the OEM market, where daily revenue rates have been increasing in the third quarter of 2024. However, seasonality factors associated with the holiday period in the fourth quarter of 2024 may limit gross revenue, even as OEM demand trends positively.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a significant portion of our sales come from the RV market, we also offer targeted solutions using the same products for the marine market. These solutions cater to OEMs and consumers alike, addressing the power needs of various vessels like sailboats, powerboats, and fishing boats (center console and bass). We have worked closely to follow ABYC (American Boat &amp; Yacht Council) Standards to develop systems that adhere to the recent ABYC E-13 Guidelines (Standards for Lithium Batteries). We have also begun generating sales in the trucking market in the third quarter of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285"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other end markets that we have identified as opportunities for our LFP batteries, including medium and heavy-duty trucking, specialty and work vehicles, solar integration, oil and gas, industrial, rail, material handling,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w:t>
      </w:r>
    </w:p>
    <w:p>
      <w:pPr>
        <w:spacing w:after="0" w:line="3" w:lineRule="exact"/>
        <w:rPr>
          <w:sz w:val="20"/>
          <w:szCs w:val="20"/>
          <w:color w:val="auto"/>
        </w:rPr>
      </w:pPr>
    </w:p>
    <w:p>
      <w:pPr>
        <w:jc w:val="both"/>
        <w:ind w:firstLine="8"/>
        <w:spacing w:after="0" w:line="253" w:lineRule="auto"/>
        <w:tabs>
          <w:tab w:leader="none" w:pos="2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now actively working down our inventory to more appropriate safety stock levels.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domestic cell manufacturing,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we entered into a lease on February 8, 2022 for an additional 390,240 square foot warehouse in Reno, Nevada (the “</w:t>
      </w:r>
      <w:r>
        <w:rPr>
          <w:rFonts w:ascii="Times New Roman" w:cs="Times New Roman" w:eastAsia="Times New Roman" w:hAnsi="Times New Roman"/>
          <w:sz w:val="18"/>
          <w:szCs w:val="18"/>
          <w:b w:val="1"/>
          <w:bCs w:val="1"/>
          <w:color w:val="auto"/>
        </w:rPr>
        <w:t>Reno Warehouse</w:t>
      </w:r>
      <w:r>
        <w:rPr>
          <w:rFonts w:ascii="Times New Roman" w:cs="Times New Roman" w:eastAsia="Times New Roman" w:hAnsi="Times New Roman"/>
          <w:sz w:val="18"/>
          <w:szCs w:val="18"/>
          <w:color w:val="auto"/>
        </w:rPr>
        <w:t>”). The commencement date for the lease for the Reno Warehouse was March 25, 2024, based on the construction project being identified as “substantially complete”. The Reno Warehouse will enable us to consolidate various operations in Reno, NV and will allow for expected expansion for new markets. We expect to begin operations in the Reno Warehouse in the fourth quarter of 2024 with the consolidation of operations expected to occur in the second quarter of 2025.</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April 12, 2024, we entered into a lease agreement (the “</w:t>
      </w:r>
      <w:r>
        <w:rPr>
          <w:rFonts w:ascii="Times New Roman" w:cs="Times New Roman" w:eastAsia="Times New Roman" w:hAnsi="Times New Roman"/>
          <w:sz w:val="18"/>
          <w:szCs w:val="18"/>
          <w:b w:val="1"/>
          <w:bCs w:val="1"/>
          <w:color w:val="auto"/>
        </w:rPr>
        <w:t>Fernley Lease Agreement</w:t>
      </w:r>
      <w:r>
        <w:rPr>
          <w:rFonts w:ascii="Times New Roman" w:cs="Times New Roman" w:eastAsia="Times New Roman" w:hAnsi="Times New Roman"/>
          <w:sz w:val="18"/>
          <w:szCs w:val="18"/>
          <w:color w:val="auto"/>
        </w:rPr>
        <w:t>”) pursuant to which we agreed to lease an approximately 64,000 square foot facility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in Fernley, Nevada, to be used for general, warehousing, assembly/light manufacturing, painting of products, storage fulfillment, distribution of our products, and other uses as permitted under in the Fernley Lease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lithium-ion batteries using a dry-electrode process. We are focused on scaling the process to allow for the low-cost domestic manufacturing of cells. We are also applying the dry-electrode process to the production of solid-state lithium-ion batteries having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are primarily generated from the sale of our LFP batteries to OEMs and consumers,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the change in fair value of the warrant liability and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Three months ended September 30, 2024, and September 30, 2023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September 30, 2024 and September 30, 2023. This data should be read together with our financial statements and related notes included elsewhere in this Quarterly Report,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0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12,720</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15,889</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9,850</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77.4</w:t>
            </w:r>
          </w:p>
        </w:tc>
        <w:tc>
          <w:tcPr>
            <w:tcW w:w="44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11,291</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71.1</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1,631</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12.8</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1,385</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4,361</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34.3</w:t>
            </w:r>
          </w:p>
        </w:tc>
        <w:tc>
          <w:tcPr>
            <w:tcW w:w="4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6,005</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2,904</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22.8</w:t>
            </w: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3,083</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19.4</w:t>
            </w: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3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3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(6,026)</w:t>
            </w: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(47.4)</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(5,615)</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(44.1)</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(3,987)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4,875</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38.3</w:t>
            </w: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3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(6,779)</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54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3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5,153</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10,305</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40.5</w:t>
            </w: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3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7,400</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5,584</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58.2</w:t>
            </w: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3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800" w:type="dxa"/>
            <w:vAlign w:val="bottom"/>
            <w:gridSpan w:val="2"/>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12,720</w:t>
            </w:r>
          </w:p>
        </w:tc>
        <w:tc>
          <w:tcPr>
            <w:tcW w:w="1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15,889</w:t>
            </w:r>
          </w:p>
        </w:tc>
      </w:tr>
      <w:tr>
        <w:trPr>
          <w:trHeight w:val="426"/>
        </w:trPr>
        <w:tc>
          <w:tcPr>
            <w:tcW w:w="3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45</w:t>
            </w:r>
          </w:p>
        </w:tc>
        <w:tc>
          <w:tcPr>
            <w:tcW w:w="12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decreased by $3.2 million, or 19.9%, to $12.7 million for the three months ended September 30, 2024, as compared to $15.9 million for the three months ended September 30, 2023. This decrease was primarily due to lower DTC battery sales offset by higher OEM battery, accessory sales and licensing revenue. For the three months ended September 30, 2024, DTC revenue decreased by $5.1 million to $5.2 million, compared to $10.3 million in the third quarter of 2023 due to decreased customer demand for our products, rising interest rates, and inflation. OEM revenue increased by $1.8 million to $7.4 million, compared to $5.6 million in the third quarter of 2023. We believe this increase may be attributable to a recovering RV market, the implementation of our smart battery technology product line, and us beginning to penetrate the heavy-duty trucking market. Licensing revenue was recognized in August and September in the amount of $0.2 million. We expect our deployment of products for use in oil and gas operations in North America to begin contributing to net sales during the fourth quarter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decreased by $1.4 million, or 12.8%, to $9.9 million for the three months ended September 30, 2024, as compared to $11.3 million for the three months ended September 30, 2023. This decrease was primarily due to lower unit volume. We expect our Cost of Goods Sold to increase in conjunction with the anticipated increase in revenue over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by $1.7 million, or 37.6%, to $2.9 million for the three months ended September 30, 2024, as compared to $4.6 million for the three months ended September 30, 2023. The decrease in gross profit was primarily due to a lower unit volume of sales. Gross margin decreased by 6.4% from 28.9% to 22.5%, which is a result of higher lower margin OEM sales and lower higher margin DTC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$0.2 million, or 17.8%, to $1.6 million for the three months ended September 30, 2024, as compared to $1.4 million for the three months ended September 30, 2023. The increase was primarily due to higher wage expense in the amount of $0.2 million and $0.2 million for increased lease expense for new lease offset by lower patent expense in the amount of $0.1 million and lower materials and supplies. While we expect to continue to grow the Research and Development headcount, we expect to do so at a slower rate than in prior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decreased by $1.6 million, or 27.4%, to $4.4 million for the three months ended September 30, 2024, as compared to $6.0 million for the three months ended September 30, 2023. This decrease was primarily due to employee-related costs in the amount of $1.3 million. Impacting this is a higher stock-based compensation in the amount of $0.7 million both in the prior year along with lower employee-related costs in the amount of $0.6 million due to decreased headcount. Professional services, legal, insurance expenses and travel are lower by $1.1 million. Offsetting these lower costs is an increase in computer expense related to the Reno Warehouse in the amount of $0.1 million and rent expense in the amount of $0.7 million for the Reno Warehouse, which was mostly allocated to general and administrative expenses since we have not occupied the building as of September 30, 2024. We expect General and Administrative Expenses, as a percentage of revenue, to decline over the next twelve months.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$0.2 million, or 5.8%, to $2.9 million for the three months ended September 30, 2024, as compared to $3.1 million for the three months ended September 30, 2023. This decrease is mostly related to lower shipping costs of $0.2 million, which was related to a reduction in units sold. We expect our Selling and Marketing Expenses to be relatively stable over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totaled $0.8 million for the three months ended September 30, 2024 as compared to total other expense of $4.1 million for the three months ended September 30, 2023. Other expense of $0.8 million in three months ended September 30, 2024 was comprised primarily of interest expense of $5.6 million related to our debt securities and a positive change in fair market value of warrant liability in the amount of $4.9 million. The $4.1 million of other expense in three months ended September 30, 2023 was comprised $4.0 million in interest expense related to our debt securities and a negative change in fair market value of warrant liability of $0.1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tax expense recorded for the three months ended September 30, 2024 or the three months ended September 30, 2023. Based on available evidence as of September 30, 2024 and September 30, 2023, management believes it is more likely than not that some or all the deferred tax assets will not be realized. Accordingly, we established a 100% valuation allowance. As a result of the full valuation allowance, we did not record a tax benefit during the three months ended September 30, 2023 or the three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a net loss of $6.8 million for the three months ended September 30, 2024, as compared to net loss of $10.0 million for the three months ended September 30, 2023. As described above, this result was driven by lower sales partially offset by lower cost of goods sold, and lower operating expenses, and a decrease in other income (due to the change in fair market value of our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Nine months ended September 30, 2024 and September 30, 2023</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2024, and the nine months ended September 30, 2023. This data should be read together with our financial statements and related notes included elsewhere in this Quarterly Report,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0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38,433</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53,954</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29,345</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76.4</w:t>
            </w:r>
          </w:p>
        </w:tc>
        <w:tc>
          <w:tcPr>
            <w:tcW w:w="44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40,765</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75.6</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4,495</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3,332</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14,878</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38.7</w:t>
            </w:r>
          </w:p>
        </w:tc>
        <w:tc>
          <w:tcPr>
            <w:tcW w:w="4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23,114</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8,329</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21.7</w:t>
            </w: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11,075</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w:t>
            </w: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27,702</w:t>
            </w:r>
          </w:p>
        </w:tc>
        <w:tc>
          <w:tcPr>
            <w:tcW w:w="3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37,521</w:t>
            </w:r>
          </w:p>
        </w:tc>
        <w:tc>
          <w:tcPr>
            <w:tcW w:w="3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(18,614)</w:t>
            </w: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(48.4)</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(24,332)</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w w:val="97"/>
              </w:rPr>
              <w:t>(15,253)</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(39.7)</w:t>
            </w:r>
          </w:p>
        </w:tc>
        <w:tc>
          <w:tcPr>
            <w:tcW w:w="44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(11,981)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(36)</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3,130</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19,182</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(12,159</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(30,773)</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(30,773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52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4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2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16,890</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30,314</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44.0</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2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21,376</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23,640</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55.6</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2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Net Sales</w:t>
            </w: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38,433</w:t>
            </w:r>
          </w:p>
        </w:tc>
        <w:tc>
          <w:tcPr>
            <w:tcW w:w="1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53,954</w:t>
            </w:r>
          </w:p>
        </w:tc>
      </w:tr>
      <w:tr>
        <w:trPr>
          <w:trHeight w:val="20"/>
        </w:trPr>
        <w:tc>
          <w:tcPr>
            <w:tcW w:w="4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decreased by 15.5 million, or 28.8%, to $38.4 million for the nine months ended September 30, 2024, as compared to $54.0 million for the nine months ended September 30, 2023. This decrease was mainly due to lower DTC and OEM battery and accessory sales offset by a higher average sales price and licensing revenue recognized at $0.2 million. For the nine months ended September 30, 2024, DTC revenue decreased by $13.4 million to $16.9 million due to decreased customer demand for our products related to rising interest rates and inflation. OEM revenue decreased by $2.3 million to $21.4 million primarily due to our largest RV customer changing our product from a standard offering to an option. Excluding this customer our RV OEM sales were up 33% year over year for the nine months ended September 30, 2024. We expect our deployment of products for use in oil and gas operations in North America to begin contributing to net sales during the fourth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$11.4 million, or 28.0%, to $29.3 million for the nine months ended September 30, 2024, as compared to $40.8 million for the nine months ended September 30, 2023. This decrease was primarily due to lower unit volume resulting in a $10.9 million decrease of product cost and $0.5 million decrease in labor expense associated with lower headcount. We expect our Cost of Goods Sold to increase in conjunction with the anticipated increase in revenue over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decreased by $4.1 million, or 31.1%, to $9.1 million for the nine months ended September 30, 2024, as compared to $13.2 million for the nine months ended September 30, 2023. The decrease in gross profit was primarily due to a lower unit volume of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$1.2 million, or 34.9%, to $4.5 million for the nine months ended September 30, 2024, as compared to $3.3 million for the nine months ended September 30, 2023. The increase was primarily due to higher wage expense in the amount of $0.8 million and $0.3 million for increased lease expense for new building in Fernley. Depreciation related to an increase in assets, which was higher by $0.1 million. While we expect to continue to grow the Research and Development headcount, we expect to do so at a slower rate than in prior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decreased by $8.2 million, or 35.6%, to $14.9 million for the nine months ended September 30, 2024, as compared to $23.1 million for the nine months ended September 30, 2023. This decrease was primarily due to lower employee related costs in the amount of $7.3 million. Impacting this is a prior year severance package in the amount of $0.7 million and lower stock-based compensation in the amount of $4.8 million along with lower employee related costs in the amount of $1.8 million due to decreased headcount. Professional services, legal and insurance expenses are lower by $2.1 million as a result of prior year public offering expenses and lower insurance premiums. Travel expenses in General and Administrative decreased by $0.5 million due to allocation to the other functional areas in 2024. Offsetting these lower expenses is a $1.7 million increase in rent expense for the Reno Warehouse, which was mostly allocated to general and administrative expenses since we have not occupied the building as of September 30, 2024. We expect General and Administrative Expenses, as a percentage of revenue, to decline over the next twelve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by $2.8 million, or 24.8%, to $8.3 million for the nine months ended September 30, 2024, as compared to $11.1 million for the nine months ended September 30, 2023. This decrease was primarily due to a $2.3 million decrease in wage-related expenses of which $1.2 million is related to the prior year expense for the Wakespeed earnout and $1.0 million is due to lower stock compensation and bonus expense. Lower shipping costs in the amount of $0.9 million was related to a reduction in units sold. Offsetting these lower expenses is an increase of $0.4 million other marketing expense includes travel expenses allocated from general and administrative to selling and marketing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totaled $12.2 million for the nine months ended September 30, 2024 as compared to total other income of $7.2 million for the nine months ended September 30, 2023. Other expense for the nine months ended September 30, 2024 is comprised of a positive change in fair market value of our warrants in the amount of $3.1 million and $15.3 million in interest expense related to our debt securities. Other income for the nine months ended September 30, 2023 was comprised of a positive change in fair market value of our warrants in the amount of $19.2 million partially offset by $12.0 million in interest expense related to our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tax expense recorded for the nine months ended September 30, 2024 or the nine months ended September 30, 2023. Based on available evidence as of September 30, 2024 and September 30, 2023, management believes it is more likely than not that some or all the deferred tax assets will not be realized. Accordingly, we established a 100% valuation allowance. As a result of the full valuation allowance, we did not record a tax benefit during the nine months ended September 30, 2024 or the nine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generated a net loss of $30.8 million for the nine months ended September 30, 2024, as compared to net loss of $17.1 million for the nine months ended September 30, 2023. This was a result of an increase in other expense (primarily as a result of a change in fair market value of our warrants) and lower sales offset by decreased cost of goods sold and lower 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estimates are those most critical to the judgments and estimates used in the preparation of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 and ASC 815, Derivatives and Hedging (“</w:t>
      </w:r>
      <w:r>
        <w:rPr>
          <w:rFonts w:ascii="Times New Roman" w:cs="Times New Roman" w:eastAsia="Times New Roman" w:hAnsi="Times New Roman"/>
          <w:sz w:val="18"/>
          <w:szCs w:val="18"/>
          <w:b w:val="1"/>
          <w:bCs w:val="1"/>
          <w:color w:val="auto"/>
        </w:rPr>
        <w:t>ASC 815</w:t>
      </w:r>
      <w:r>
        <w:rPr>
          <w:rFonts w:ascii="Times New Roman" w:cs="Times New Roman" w:eastAsia="Times New Roman" w:hAnsi="Times New Roman"/>
          <w:sz w:val="18"/>
          <w:szCs w:val="18"/>
          <w:color w:val="auto"/>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w:t>
      </w:r>
      <w:r>
        <w:rPr>
          <w:rFonts w:ascii="Times New Roman" w:cs="Times New Roman" w:eastAsia="Times New Roman" w:hAnsi="Times New Roman"/>
          <w:sz w:val="18"/>
          <w:szCs w:val="18"/>
          <w:i w:val="1"/>
          <w:iCs w:val="1"/>
          <w:color w:val="auto"/>
        </w:rPr>
        <w:t>Note 9-Warrants</w:t>
      </w:r>
      <w:r>
        <w:rPr>
          <w:rFonts w:ascii="Times New Roman" w:cs="Times New Roman" w:eastAsia="Times New Roman" w:hAnsi="Times New Roman"/>
          <w:sz w:val="18"/>
          <w:szCs w:val="18"/>
          <w:color w:val="auto"/>
        </w:rPr>
        <w:t>” in our accompanying condensed consolidated financial statements for information on the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awards are valued based on the closing trading price of our common stock on the date of grant. Changes in assumptions used to estimate fair value could result in materially different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right-of-use assets and assumed lease liabilities are measured based on the remaining lease payments over the remaining portion of the lease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our leases do not provide an implicit rate, our incremental borrowing rate is used as a discount rate in determining the present value of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incremental borrowing rate was determined by comparing current low- and high-end mortgage loan rates and calculating an average. For our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Damonte lease, to be conservative in our estimate, we chose to use the high-end average as our incremental borrowing rate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Arrangement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license arrangements that involve receiving upfront compensation, which is recognized as revenue over a five-year period. Management estimates the appropriate recognition pattern based on the expected delivery of related services and the period over which the economic benefits will be realized. This estimate involves judgments about the timing of performance obligations and the likelihood of continued customer engagement. Changes in these assumptions or unexpected developments could result in adjustments to revenue recognition, impacting the financial statements. As of the reporting date, management believes the estimate reflects the current understanding of the license arrangement’s performance obligations.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Quarterly Report includes a non-generally accepted account principles within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measure that we use to supplement our results presented in accordance with U.S. GAAP. Earnings before interest tax and amortization (“</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is defined as earnings before interest and other income (expenses), income taxes, and depreciation and amortization. Adjusted EBITDA is calculated as EBITDA adjusted for stock-based compensation, employee separation expenses, costs associated with the June 2023 Offering,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our adjusted EBITDA, reconciled to net (loss) income for the three and nine months ended September 30, 2024, and September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(6,779)</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7"/>
              </w:rPr>
              <w:t>(10,007)</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(30,773)</w:t>
            </w:r>
          </w:p>
        </w:tc>
        <w:tc>
          <w:tcPr>
            <w:tcW w:w="48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(17,131)</w:t>
            </w: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5,615</w:t>
            </w:r>
          </w:p>
        </w:tc>
        <w:tc>
          <w:tcPr>
            <w:tcW w:w="9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3,987</w:t>
            </w:r>
          </w:p>
        </w:tc>
        <w:tc>
          <w:tcPr>
            <w:tcW w:w="32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15,253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80" w:type="dxa"/>
            <w:vAlign w:val="bottom"/>
          </w:tcPr>
          <w:p>
            <w:pPr>
              <w:spacing w:after="0"/>
              <w:rPr>
                <w:sz w:val="18"/>
                <w:szCs w:val="18"/>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327</w:t>
            </w:r>
          </w:p>
        </w:tc>
        <w:tc>
          <w:tcPr>
            <w:tcW w:w="9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316</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shd w:val="clear" w:color="auto" w:fill="CCEEFF"/>
          </w:tcPr>
          <w:p>
            <w:pPr>
              <w:spacing w:after="0"/>
              <w:rPr>
                <w:sz w:val="19"/>
                <w:szCs w:val="19"/>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gridSpan w:val="2"/>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40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256</w:t>
            </w:r>
          </w:p>
        </w:tc>
        <w:tc>
          <w:tcPr>
            <w:tcW w:w="920" w:type="dxa"/>
            <w:vAlign w:val="bottom"/>
          </w:tcPr>
          <w:p>
            <w:pPr>
              <w:spacing w:after="0"/>
              <w:rPr>
                <w:sz w:val="22"/>
                <w:szCs w:val="22"/>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946</w:t>
            </w:r>
          </w:p>
        </w:tc>
        <w:tc>
          <w:tcPr>
            <w:tcW w:w="320" w:type="dxa"/>
            <w:vAlign w:val="bottom"/>
          </w:tcPr>
          <w:p>
            <w:pPr>
              <w:spacing w:after="0"/>
              <w:rPr>
                <w:sz w:val="22"/>
                <w:szCs w:val="22"/>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80" w:type="dxa"/>
            <w:vAlign w:val="bottom"/>
          </w:tcPr>
          <w:p>
            <w:pPr>
              <w:spacing w:after="0"/>
              <w:rPr>
                <w:sz w:val="22"/>
                <w:szCs w:val="22"/>
                <w:color w:val="auto"/>
              </w:rPr>
            </w:pPr>
          </w:p>
        </w:tc>
      </w:tr>
      <w:tr>
        <w:trPr>
          <w:trHeight w:val="257"/>
        </w:trPr>
        <w:tc>
          <w:tcPr>
            <w:tcW w:w="40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Separation Agreement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22"/>
                <w:szCs w:val="22"/>
                <w:color w:val="auto"/>
              </w:rPr>
            </w:pPr>
          </w:p>
        </w:tc>
      </w:tr>
      <w:tr>
        <w:trPr>
          <w:trHeight w:val="256"/>
        </w:trPr>
        <w:tc>
          <w:tcPr>
            <w:tcW w:w="40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June Offering Costs </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2"/>
                <w:szCs w:val="22"/>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2"/>
                <w:szCs w:val="22"/>
                <w:color w:val="auto"/>
              </w:rPr>
            </w:pPr>
          </w:p>
        </w:tc>
      </w:tr>
      <w:tr>
        <w:trPr>
          <w:trHeight w:val="270"/>
        </w:trPr>
        <w:tc>
          <w:tcPr>
            <w:tcW w:w="40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Change in fair market value of warrant liability </w:t>
            </w:r>
            <w:r>
              <w:rPr>
                <w:rFonts w:ascii="Times New Roman" w:cs="Times New Roman" w:eastAsia="Times New Roman" w:hAnsi="Times New Roman"/>
                <w:sz w:val="29"/>
                <w:szCs w:val="29"/>
                <w:color w:val="auto"/>
                <w:vertAlign w:val="superscript"/>
              </w:rPr>
              <w:t>(4)</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(4,875)</w:t>
            </w:r>
          </w:p>
        </w:tc>
        <w:tc>
          <w:tcPr>
            <w:tcW w:w="9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(3,130)</w:t>
            </w: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(19,182)</w:t>
            </w: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Pr>
          <w:p>
            <w:pPr>
              <w:spacing w:after="0"/>
              <w:rPr>
                <w:sz w:val="19"/>
                <w:szCs w:val="19"/>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4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and RSU grants made to our employees, consultants and board members.</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Agreement is comprised of $720 in cash severance associated with separation agreement dated April 26, 2023 between us and our former Chief Legal Officer.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Offering Costs is comprised of fees and expenses, including legal, accounting, and other expenses associated with our secondary offering.</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market value of warrant liabilities represents the change in fair value from January 1, 2023 through September 30, 2023 and January 1, 2024 through September 30,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September 30, 2024, we had cash totaling $8.0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29, 2024, Legacy Dragonfly and Battle Born LLC entered into the License with Stryten. In exchange for the licensing rights, Stryten agreed to pay Battle Born LLC the Initial Licensing Fee of five million dollars ($5,000,000). Per the License Agreement, payment for the Initial Licensing Fee is due within 30 days of the effective date of the License Agreement. We received the Initial Licensing Fee in August 2024.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continue our research and development efforts (particularly those related to lithium-ion cell manufacturing and battery development), expand our production lines, scale up production operations and look to enter into adjacent markets for our batteries. We expect to deploy a significant amount of capital to continue our development and optimization of our solid-state battery technology, as well as continued investment to automate and increase the production capacity of our existing assembly operation, expansion of our facilities and new strategic investments, including deployment and scaling of our dry-electrode cell manufacturing processes.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contraction of our business and uncertainty around the timing of future needs, we reduced our purchase activities in 2024. As a result, our inventory balance at September 30, 2024 decreased by $14.8 million to $24.0 million, compared to $38.8 million at December 31, 2023.</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and strategic initiatives.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pursuant to the Term Loan, Guarantee and Security Agreement (the “</w:t>
      </w:r>
      <w:r>
        <w:rPr>
          <w:rFonts w:ascii="Times New Roman" w:cs="Times New Roman" w:eastAsia="Times New Roman" w:hAnsi="Times New Roman"/>
          <w:sz w:val="18"/>
          <w:szCs w:val="18"/>
          <w:b w:val="1"/>
          <w:bCs w:val="1"/>
          <w:color w:val="auto"/>
        </w:rPr>
        <w:t>Original Term Loan Agreement</w:t>
      </w:r>
      <w:r>
        <w:rPr>
          <w:rFonts w:ascii="Times New Roman" w:cs="Times New Roman" w:eastAsia="Times New Roman" w:hAnsi="Times New Roman"/>
          <w:sz w:val="18"/>
          <w:szCs w:val="18"/>
          <w:color w:val="auto"/>
        </w:rPr>
        <w:t>”) by and among, us, Legacy Dragonfly, Alter Domus (US) LLC, as the Agent to the lenders time-to-time party thereto (such lenders,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the proceeds of which were used to repay the $45 million fixed rate senior notes, and ChEF Equity Facility. On June 28, 2024, we entered into the First Amendment with the Term Loan Lenders. The First Amendment provided for a one-time issuance of the June 2024 Penny Warrants to purchase up to 2,100,000 shares of common stock and certain amendments to the Term Loan. On July 29, 2024, we entered into the Second Amendment with the Term Loan Lenders in connection with the License Agreement. On September 30, 2024, we entered into the Third Amendment with the Term Loan Lenders, which provided for the issuance of the September 2024 Penny Warrants to purchase up to 3,000,000 shares of common stock and certain amendments to the Term Loan Agreement.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License Agreement, on July 29, 2024, us, Legacy Dragonfly and Battle Born LLC entered into the Second Amendment (together with the Original Term Loan, the First Amendment, the Second Amendment, and the Third Amendment,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Second Amendment, the Term Loan Lenders (i) consented to the transactions contemplated by the License Agreement and the Trademark Transfer Agreement and (ii) agreed to waive the mandatory prepayment under the Term Loan that would have been due to the Term Loan Lenders under the Term Loan Agreement upon Battle Born LLC’s receipt of the Initial Licensing Fee. In connection with the Second Amendment, Battle Born LLC entered into the Joinder.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proceeds were used to: (i) support the Business Combination, (ii) prepay the fixed rate senior notes at closing of the Business Combination,</w:t>
      </w:r>
    </w:p>
    <w:p>
      <w:pPr>
        <w:spacing w:after="0" w:line="27" w:lineRule="exact"/>
        <w:rPr>
          <w:sz w:val="20"/>
          <w:szCs w:val="20"/>
          <w:color w:val="auto"/>
        </w:rPr>
      </w:pPr>
    </w:p>
    <w:p>
      <w:pPr>
        <w:jc w:val="both"/>
        <w:ind w:firstLine="8"/>
        <w:spacing w:after="0" w:line="251" w:lineRule="auto"/>
        <w:tabs>
          <w:tab w:leader="none" w:pos="3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May 13, 2024, June 28, 2024, and September 30, 2024, we obtained waivers from Alter Domus (US) LLC, as the administrative agent for the lenders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EICF Agent LLC and certain third-party financing source of our failure to satisfy the Tests under the Term Loan during the quarters ended March 31, 2023, September 30, 2023, December 31, 2023, March 31, 2024, June 30, 2024, and September 30, 2024. On March 31, 2024, April 29, 2024, June 28, 2024, July 31, 2024, August 30, 2024, September 30, 2024, and October 31, 2024 we received additional waivers from the Administrative Agent and the Term Loan Lenders in regard to our compliance with the liquidity requirement under the Term Loan as of the last day of the fiscal quarters ended March 31, 2024, June 30, 2024, and September 30, 2024, and as of the last fiscal day for the months ended April 30, 2024, June 30, 2024, July 31, 2024, August 31, 2024, September 30, 2024, and October 31, 2024. However, it is probable that we will fail to meet these covenants within the next twelve months. In accordance with U.S. GAAP, we reclassified our notes payable from a long-term liability to a current liability. The Term Loan accrues interest as follows: (i) until April 1, 2024, at a per annum rate equal to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plus 7% payable in cash plus an amount ranging from 4.5% to 6.5%, depending on our senior leverage ratio; (ii) effective April 1, 2024 and thereafter, interest payable to certain lenders subject to regulations of the U.S. Small Business Administration (“</w:t>
      </w:r>
      <w:r>
        <w:rPr>
          <w:rFonts w:ascii="Times New Roman" w:cs="Times New Roman" w:eastAsia="Times New Roman" w:hAnsi="Times New Roman"/>
          <w:sz w:val="18"/>
          <w:szCs w:val="18"/>
          <w:b w:val="1"/>
          <w:bCs w:val="1"/>
          <w:color w:val="auto"/>
        </w:rPr>
        <w:t>SBA</w:t>
      </w:r>
      <w:r>
        <w:rPr>
          <w:rFonts w:ascii="Times New Roman" w:cs="Times New Roman" w:eastAsia="Times New Roman" w:hAnsi="Times New Roman"/>
          <w:sz w:val="18"/>
          <w:szCs w:val="18"/>
          <w:color w:val="auto"/>
        </w:rPr>
        <w:t>”)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interest based on the Term Loan are as follows:</w:t>
      </w:r>
    </w:p>
    <w:p>
      <w:pPr>
        <w:spacing w:after="0" w:line="225" w:lineRule="exact"/>
        <w:rPr>
          <w:sz w:val="20"/>
          <w:szCs w:val="20"/>
          <w:color w:val="auto"/>
        </w:rPr>
      </w:pPr>
    </w:p>
    <w:p>
      <w:pPr>
        <w:ind w:left="880" w:hanging="224"/>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April 1, 2024, was paid in cash.</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July 1, 2024, became payable-in-kind.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October 1, 2024, became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payment date occurring on or after January 1, 2025, interest will be payable in cash.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In each of the foregoing cases, adjusted SOFR will be no less than 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exercisable to purchase an aggregate of 2,593,056 shares at an exercise price of $0.01 per share, and (ii) warrants exercisable to purchase 1,600,000 shares of common stock at an exercise price of $10.00 per share.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The purchase price of the shares of common stock that we elect to sell to CCM LLC pursuant to the Purchase Agreement will be determined by reference to the VWAP of the common stock during the applicable VWAP Purchase Date (as defined in the Purchase Agreement) on which we have timely delivered written notice to CCM LLC directing it to purchase shares of common stock under the Purchase Agreement, less a fixed 3.5% discount to such VWAP. As consideration for its commitment to purchase shares of our common stock under the Purchase Agreement, we have agreed to pay a commitment fee of $1 million to CCM LLC (the “</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payable by way of an additional 3.0% discount to such VWAP until the Commitment Fee has been paid in full. In connection with the ChEF Equity Facility, we filed a registration statement registering the resale of up to 21,512,027 shares that may be resold into the public markets by CCM LLC, which represented approximately 36% of the shares of our common stock outstanding as of December 31, 2023. During the year ended December 31, 2023, we issued and sold approximately 588,500 shares of our common stock under this facility, resulting in net cash proceeds of $1,278,566. During the nine months ended September 30, 2024, we issued and sold approximately 2,245,391 shares of our common stock under the ChEF Equity Facility, resulting in net cash proceeds of $1,705,193. From October 1, 2024 through the November 12, 2024, we issued and sold approximately 53,719 shares of our common stock under the ChEF Equity Facility, resulting in additional net cash proceeds of $26,660. Any sales of such shares into the public market could have a significant negative impact on the trading price of our common stock.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spacing w:after="0" w:line="262" w:lineRule="auto"/>
        <w:rPr>
          <w:sz w:val="20"/>
          <w:szCs w:val="20"/>
          <w:color w:val="auto"/>
        </w:rPr>
      </w:pPr>
      <w:r>
        <w:rPr>
          <w:rFonts w:ascii="Times New Roman" w:cs="Times New Roman" w:eastAsia="Times New Roman" w:hAnsi="Times New Roman"/>
          <w:sz w:val="18"/>
          <w:szCs w:val="18"/>
          <w:color w:val="auto"/>
        </w:rPr>
        <w:t>On March 5, 2023, we issued a note in the principal amount of $1.0 million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to Brian Nelson, one of our directors, in a private placement in exchange for cash in an equal amount (the “</w:t>
      </w:r>
      <w:r>
        <w:rPr>
          <w:rFonts w:ascii="Times New Roman" w:cs="Times New Roman" w:eastAsia="Times New Roman" w:hAnsi="Times New Roman"/>
          <w:sz w:val="18"/>
          <w:szCs w:val="18"/>
          <w:b w:val="1"/>
          <w:bCs w:val="1"/>
          <w:color w:val="auto"/>
        </w:rPr>
        <w:t>March Note</w:t>
      </w:r>
      <w:r>
        <w:rPr>
          <w:rFonts w:ascii="Times New Roman" w:cs="Times New Roman" w:eastAsia="Times New Roman" w:hAnsi="Times New Roman"/>
          <w:sz w:val="18"/>
          <w:szCs w:val="18"/>
          <w:color w:val="auto"/>
        </w:rPr>
        <w:t>”). The March Note became due and payable in full on April 1, 2023. We were also obligated to pay a fee in the amount of $100,000 (the “</w:t>
      </w:r>
      <w:r>
        <w:rPr>
          <w:rFonts w:ascii="Times New Roman" w:cs="Times New Roman" w:eastAsia="Times New Roman" w:hAnsi="Times New Roman"/>
          <w:sz w:val="18"/>
          <w:szCs w:val="18"/>
          <w:b w:val="1"/>
          <w:bCs w:val="1"/>
          <w:color w:val="auto"/>
        </w:rPr>
        <w:t>March Loan Fee</w:t>
      </w:r>
      <w:r>
        <w:rPr>
          <w:rFonts w:ascii="Times New Roman" w:cs="Times New Roman" w:eastAsia="Times New Roman" w:hAnsi="Times New Roman"/>
          <w:sz w:val="18"/>
          <w:szCs w:val="18"/>
          <w:color w:val="auto"/>
        </w:rPr>
        <w:t>”) to Mr. Nelson on April 4, 2023. The Principal Amount of the March Note was paid in full on April 1, 2023 and the March Loan Fee was paid in full on April 4, 2023.</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January 30, 2024, we issued an unsecured convertible promissory note (the “</w:t>
      </w:r>
      <w:r>
        <w:rPr>
          <w:rFonts w:ascii="Times New Roman" w:cs="Times New Roman" w:eastAsia="Times New Roman" w:hAnsi="Times New Roman"/>
          <w:sz w:val="18"/>
          <w:szCs w:val="18"/>
          <w:b w:val="1"/>
          <w:bCs w:val="1"/>
          <w:color w:val="auto"/>
        </w:rPr>
        <w:t>January Note</w:t>
      </w:r>
      <w:r>
        <w:rPr>
          <w:rFonts w:ascii="Times New Roman" w:cs="Times New Roman" w:eastAsia="Times New Roman" w:hAnsi="Times New Roman"/>
          <w:sz w:val="18"/>
          <w:szCs w:val="18"/>
          <w:color w:val="auto"/>
        </w:rPr>
        <w:t>”) in the principal amount of $1.0 million (the “</w:t>
      </w:r>
      <w:r>
        <w:rPr>
          <w:rFonts w:ascii="Times New Roman" w:cs="Times New Roman" w:eastAsia="Times New Roman" w:hAnsi="Times New Roman"/>
          <w:sz w:val="18"/>
          <w:szCs w:val="18"/>
          <w:b w:val="1"/>
          <w:bCs w:val="1"/>
          <w:color w:val="auto"/>
        </w:rPr>
        <w:t>January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to Brian Nelson, one of our directors, in a private placement in exchange for cash in an equal amount. The January Note became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payable in full on February 2, 2024. We were also obligated to pay $50,000 (the “</w:t>
      </w:r>
      <w:r>
        <w:rPr>
          <w:rFonts w:ascii="Times New Roman" w:cs="Times New Roman" w:eastAsia="Times New Roman" w:hAnsi="Times New Roman"/>
          <w:sz w:val="18"/>
          <w:szCs w:val="18"/>
          <w:b w:val="1"/>
          <w:bCs w:val="1"/>
          <w:color w:val="auto"/>
        </w:rPr>
        <w:t>January Loan Fee</w:t>
      </w:r>
      <w:r>
        <w:rPr>
          <w:rFonts w:ascii="Times New Roman" w:cs="Times New Roman" w:eastAsia="Times New Roman" w:hAnsi="Times New Roman"/>
          <w:sz w:val="18"/>
          <w:szCs w:val="18"/>
          <w:color w:val="auto"/>
        </w:rPr>
        <w:t>”) to Mr. Nelson on February 2, 2024. We paid the January Principal Amount and the January Loan Fee in full on February 2, 2024.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February 27, 2024 we issued a convertible promissory (the “</w:t>
      </w:r>
      <w:r>
        <w:rPr>
          <w:rFonts w:ascii="Times New Roman" w:cs="Times New Roman" w:eastAsia="Times New Roman" w:hAnsi="Times New Roman"/>
          <w:sz w:val="18"/>
          <w:szCs w:val="18"/>
          <w:b w:val="1"/>
          <w:bCs w:val="1"/>
          <w:color w:val="auto"/>
        </w:rPr>
        <w:t>February Note</w:t>
      </w:r>
      <w:r>
        <w:rPr>
          <w:rFonts w:ascii="Times New Roman" w:cs="Times New Roman" w:eastAsia="Times New Roman" w:hAnsi="Times New Roman"/>
          <w:sz w:val="18"/>
          <w:szCs w:val="18"/>
          <w:color w:val="auto"/>
        </w:rPr>
        <w:t>”) in the amount of $1.7 million (the “</w:t>
      </w:r>
      <w:r>
        <w:rPr>
          <w:rFonts w:ascii="Times New Roman" w:cs="Times New Roman" w:eastAsia="Times New Roman" w:hAnsi="Times New Roman"/>
          <w:sz w:val="18"/>
          <w:szCs w:val="18"/>
          <w:b w:val="1"/>
          <w:bCs w:val="1"/>
          <w:color w:val="auto"/>
        </w:rPr>
        <w:t>February Principal Amount</w:t>
      </w:r>
      <w:r>
        <w:rPr>
          <w:rFonts w:ascii="Times New Roman" w:cs="Times New Roman" w:eastAsia="Times New Roman" w:hAnsi="Times New Roman"/>
          <w:sz w:val="18"/>
          <w:szCs w:val="18"/>
          <w:color w:val="auto"/>
        </w:rPr>
        <w:t>”) to Mr. Nelson, in a private placement in exchange for cash in an equal amount. The February Note became due and payable in full on March 1, 2024. We were also obligated to pay a $85,000 loan fee (the “</w:t>
      </w:r>
      <w:r>
        <w:rPr>
          <w:rFonts w:ascii="Times New Roman" w:cs="Times New Roman" w:eastAsia="Times New Roman" w:hAnsi="Times New Roman"/>
          <w:sz w:val="18"/>
          <w:szCs w:val="18"/>
          <w:b w:val="1"/>
          <w:bCs w:val="1"/>
          <w:color w:val="auto"/>
        </w:rPr>
        <w:t>February Loan Fee</w:t>
      </w:r>
      <w:r>
        <w:rPr>
          <w:rFonts w:ascii="Times New Roman" w:cs="Times New Roman" w:eastAsia="Times New Roman" w:hAnsi="Times New Roman"/>
          <w:sz w:val="18"/>
          <w:szCs w:val="18"/>
          <w:color w:val="auto"/>
        </w:rPr>
        <w:t>”) to Mr. Nelson on March 1, 2024. We paid the February Principal Amount and the February Loan Fee on March 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we completed the June 2023 Offering which provided net proceeds to us, including the partial over-allotment option exercise, of approximately $20.7 million. In July 2023, upon a request from our Term Loan Lenders under the Term Loan Agreement, we repaid $5.3 million to satisfy a portion of our outstanding principal.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2024, we identified an underpayment of tariffs to U.S. Customs and Border Protection (“</w:t>
      </w:r>
      <w:r>
        <w:rPr>
          <w:rFonts w:ascii="Times New Roman" w:cs="Times New Roman" w:eastAsia="Times New Roman" w:hAnsi="Times New Roman"/>
          <w:sz w:val="18"/>
          <w:szCs w:val="18"/>
          <w:b w:val="1"/>
          <w:bCs w:val="1"/>
          <w:color w:val="auto"/>
        </w:rPr>
        <w:t>CBP</w:t>
      </w:r>
      <w:r>
        <w:rPr>
          <w:rFonts w:ascii="Times New Roman" w:cs="Times New Roman" w:eastAsia="Times New Roman" w:hAnsi="Times New Roman"/>
          <w:sz w:val="18"/>
          <w:szCs w:val="18"/>
          <w:color w:val="auto"/>
        </w:rPr>
        <w:t>”) in the amount of approximately $1.66 million in the aggregate, related to the improper classification and valuation of certain of the products used in our batteries. We have reported the underpayment to CBP.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quarter ended September 30, 2024, we generated a net loss of $6.8 million and had a negative cash flow from operations. As of September 30, 2024, we had approximately $8.0 million in cash and cash equivalents and working capital deficit of $9.6 million.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September 29, 2023, December 29, 2023, May 13, 2024, June 28, 2024, July 31, 2024, August 30, 2024 and September 30, 2024, we obtained waivers from our Administrative Agent and the Term Loan Lenders in regards to our failure to satisfy the Tests with respect to the minimum cash requirements under the Term Loan for the quarters ended, March 31, 2023, September 30, 2023, December 31, 2024, March 31, 2024, June 30, 2024 and September 30, 2024. On March 31, 2024, April 29, 2024, June 28, 2024, July 31, 2024, August 30, 2024, September 30, 2024, and October 31, 2024, we received additional waivers from our Administrative Agent and the Term Loan Lenders in regards to our compliance with the liquidity requirement under the Term Loan as of the last day of the fiscal quarters ended March 31, 2024, June 30, 2024 and September 30, 2024 and as of the last day of the fiscal months ended April 30, 2024, June 30, 2024, July 31, 2024, August 31, 2024, September 30, 2024, and October 31, 2024. In connection with the License Agreement, on July 29, 2024, us, Legacy Dragonfly and Battle Born LLC entered into the Second Amendment. 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Term Loan upon Battle Born LLC’s receipt of the Initial Licensing Fee. In connection with the Second Amendment, Battle Born LLC entered into the Joinder.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will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2024, and September 30, 2023</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6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(4,712)</w:t>
            </w:r>
          </w:p>
        </w:tc>
        <w:tc>
          <w:tcPr>
            <w:tcW w:w="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(16,727)</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(1,691)</w:t>
            </w:r>
          </w:p>
        </w:tc>
        <w:tc>
          <w:tcPr>
            <w:tcW w:w="7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(6,507)</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1,709</w:t>
            </w:r>
          </w:p>
        </w:tc>
        <w:tc>
          <w:tcPr>
            <w:tcW w:w="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$4.7 million for the nine months ended September 30, 2024, primarily due to a net loss of $30.8 million partially offset by $4.8 million in deferred revenue related to the License Agreement, $6.6 million of payment in-kind interest accrued on the Term Loan and $14.8 million decrease in inventory as a result of management’s decision to lower overall stocking levels to adjust for more modest demand.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$16.7 million for nine months ended September 30, 2023, primarily due to a net loss of $17.1 million and an increase in accounts receivable partially offset by lower inventory levels.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$1.7 million for the nine months ended September 30, 2024, as compared to net cash used in investing activities of $6.5 million for the nine months ended September 30, 2023. The decrease in cash used in investing activities was primarily due to a decrease in capital equipment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$1.7 million net cash provided in financing activities, primarily from proceeds of issuing and selling shares under ChEF Equity Facility for the nine months ended September 30, 2024, as compared to net cash provided by financing activities of $18.7 million for the nine months ended September 30, 2023 was primarily due to net proceeds of $21.1 million from the June 2023 Offering partially offset by a $5.3 million principal payment of our notes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September 30, 2024, we had $2.9 million in short-term operating lease liabilities and $23.3 million in long-term operating lease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above, we have a Term Loan and as of September 30, 2024, the principal amount outstanding under the Term Loan was $69.7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as our principal executive officer, and Interim Chief Financial Officer, as our principal financial officer, to allow timely decisions regarding required disclosure.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the Quarterly Report on Form 10-Q for the quarter ended September 30, 2024, our management, with the participation of our Chief Executive Officer and Interim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described in our Annual Report, our management identified a material weakness in our internal control over financial reporting as a result of our failure to capture, and record, and pay tariffs correctly related to the imported merchandise on previously filed 2022 and 2021 financial statements. Based upon the evaluation described above, our Chief Executive Officer and Interim Chief Financial Officer concluded that, due to the material weakness previously reported in our Annual Report that has not yet been remediated, our disclosure controls and procedures were not effective as of September 30,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described a plan to remediate the material weakness within our Annual Report. Management, with the assistance of a third-party service provider, continues to design and implement additional internal controls. Additionally, management continued its risk assessment to identify risks and objectives. There were no other changes in our internal controls over financial reporting that occurred during the quarter ended September 30, 2024 that materially affected, or are reasonably likely to materially affect, our internal control over financial reporting. Management will continue to evaluate and enhance our processes as noted in the remediation plan described within our Annual Report. The elements of our remediation plan can only be accomplished over time, and we can offer no assurance that these will ultimately have the intended effects.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quarter ended September 30, 2024, we issued certain additional Penny Warrants to purchase 12,849 shares of common stock to the Term Loan Lenders in accordance with the anti-dilution provisions of the Penny Warrants with respect to certain sales we made under the ChEF Equity Facility. In addition, October 1, 2024 to November 12, 2024 we issued certain Penny Warrants to purchase 419 shares of common of common stock to the Term Loan Lenders in accordance with the anti-dilution provisions of the Penny Warrants with respect to certain sales we made under the ChEF Equity Facility. The Penny Warrants were immediately exercisable upon issuance and will expire ten years from the date of issuance. The Penny Warrants and the shares of common stock underlying the Penny Warrants have not been registered under the Securities Act and were offered pursuant to the exemption provided in Section 4(a)(2) under the Securities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September 30, 2024, none of our directors or “officers” (as defined in Rule 16a-1(f) under the Exchange Act) adopted or terminated any “Rule 10b5-1 trading arrangement” or “non-Rule 10b5-1 trading arrangement,” as each term is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3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300" w:type="dxa"/>
            <w:vAlign w:val="bottom"/>
          </w:tcPr>
          <w:p>
            <w:pPr>
              <w:spacing w:after="0"/>
              <w:rPr>
                <w:sz w:val="19"/>
                <w:szCs w:val="19"/>
                <w:color w:val="auto"/>
              </w:rPr>
            </w:pPr>
          </w:p>
        </w:tc>
        <w:tc>
          <w:tcPr>
            <w:tcW w:w="13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6300" w:type="dxa"/>
            <w:vAlign w:val="bottom"/>
            <w:tcBorders>
              <w:top w:val="single" w:sz="8" w:color="auto"/>
            </w:tcBorders>
            <w:gridSpan w:val="11"/>
          </w:tcPr>
          <w:p>
            <w:pPr>
              <w:spacing w:after="0" w:line="169"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Articles of Incorporation of Dragonfly Energy Holdings Corp.</w:t>
              </w:r>
            </w:hyperlink>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8-K</w:t>
            </w: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Bylaws of Dragonfly Energy Holdings Corp.</w:t>
              </w:r>
            </w:hyperlink>
          </w:p>
        </w:tc>
        <w:tc>
          <w:tcPr>
            <w:tcW w:w="1240" w:type="dxa"/>
            <w:vAlign w:val="bottom"/>
            <w:tcBorders>
              <w:top w:val="single" w:sz="8" w:color="0000EE"/>
            </w:tcBorders>
            <w:gridSpan w:val="2"/>
          </w:tcPr>
          <w:p>
            <w:pPr>
              <w:spacing w:after="0"/>
              <w:rPr>
                <w:sz w:val="17"/>
                <w:szCs w:val="17"/>
                <w:color w:val="auto"/>
              </w:rPr>
            </w:pPr>
          </w:p>
        </w:tc>
        <w:tc>
          <w:tcPr>
            <w:tcW w:w="1820" w:type="dxa"/>
            <w:vAlign w:val="bottom"/>
            <w:gridSpan w:val="4"/>
          </w:tcPr>
          <w:p>
            <w:pPr>
              <w:spacing w:after="0"/>
              <w:rPr>
                <w:sz w:val="17"/>
                <w:szCs w:val="17"/>
                <w:color w:val="auto"/>
              </w:rPr>
            </w:pPr>
          </w:p>
        </w:tc>
        <w:tc>
          <w:tcPr>
            <w:tcW w:w="8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420" w:type="dxa"/>
            <w:vAlign w:val="bottom"/>
            <w:gridSpan w:val="3"/>
          </w:tcPr>
          <w:p>
            <w:pPr>
              <w:ind w:left="54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September 2024 Penny Warrant.</w:t>
              </w:r>
            </w:hyperlink>
          </w:p>
        </w:tc>
        <w:tc>
          <w:tcPr>
            <w:tcW w:w="8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420" w:type="dxa"/>
            <w:vAlign w:val="bottom"/>
            <w:gridSpan w:val="3"/>
          </w:tcPr>
          <w:p>
            <w:pPr>
              <w:ind w:left="54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10/07/2024</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6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Trademark License Agreement, by and among Dragonfly Energy Corp., Battle Born</w:t>
              </w:r>
            </w:hyperlink>
          </w:p>
        </w:tc>
        <w:tc>
          <w:tcPr>
            <w:tcW w:w="8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8-K/A</w:t>
            </w:r>
          </w:p>
        </w:tc>
        <w:tc>
          <w:tcPr>
            <w:tcW w:w="1420" w:type="dxa"/>
            <w:vAlign w:val="bottom"/>
            <w:gridSpan w:val="3"/>
          </w:tcPr>
          <w:p>
            <w:pPr>
              <w:ind w:left="5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08/01/2024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Battery Products, LLC, and Stryten Energy LLC, dated as of July 29, 2024.</w:t>
              </w:r>
            </w:hyperlink>
          </w:p>
        </w:tc>
        <w:tc>
          <w:tcPr>
            <w:tcW w:w="8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6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Trademark Transfer and License-Back Agreement, by and between Dragonfly Energy</w:t>
              </w:r>
            </w:hyperlink>
          </w:p>
        </w:tc>
        <w:tc>
          <w:tcPr>
            <w:tcW w:w="8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8-K/A</w:t>
            </w:r>
          </w:p>
        </w:tc>
        <w:tc>
          <w:tcPr>
            <w:tcW w:w="1420" w:type="dxa"/>
            <w:vAlign w:val="bottom"/>
            <w:gridSpan w:val="3"/>
          </w:tcPr>
          <w:p>
            <w:pPr>
              <w:ind w:left="54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08/01/2024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Corp. and Battle Born Battery Products, LLC, dated as of July 29, 2024.</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Limited Waiver, Consent and Second Amendment to Term Loan, Guarantee and</w:t>
              </w:r>
            </w:hyperlink>
          </w:p>
        </w:tc>
        <w:tc>
          <w:tcPr>
            <w:tcW w:w="8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8-K/A</w:t>
            </w:r>
          </w:p>
        </w:tc>
        <w:tc>
          <w:tcPr>
            <w:tcW w:w="1420" w:type="dxa"/>
            <w:vAlign w:val="bottom"/>
            <w:gridSpan w:val="3"/>
          </w:tcPr>
          <w:p>
            <w:pPr>
              <w:ind w:left="54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08/01/2024</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Security Agreement, dated as of July 29, 2024, by and among Dragonfly Energy Corp.,</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Dragonfly Energy Holdings Corp., Battle Born Battery Products, LLC, the lenders</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from time-to-time party thereto and Alter Domus (US) LLC.</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6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Joinder Agreement, by Battle Born Battery Products, LLC and acknowledged by</w:t>
              </w:r>
            </w:hyperlink>
          </w:p>
        </w:tc>
        <w:tc>
          <w:tcPr>
            <w:tcW w:w="8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8-K/A</w:t>
            </w:r>
          </w:p>
        </w:tc>
        <w:tc>
          <w:tcPr>
            <w:tcW w:w="1420" w:type="dxa"/>
            <w:vAlign w:val="bottom"/>
            <w:gridSpan w:val="3"/>
          </w:tcPr>
          <w:p>
            <w:pPr>
              <w:ind w:left="54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08/01/2024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Dragonfly Energy Corp., and Dragonfly Energy Holdings Corp., dated as of July 29,</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91">
              <w:r>
                <w:rPr>
                  <w:rFonts w:ascii="Times New Roman" w:cs="Times New Roman" w:eastAsia="Times New Roman" w:hAnsi="Times New Roman"/>
                  <w:sz w:val="18"/>
                  <w:szCs w:val="18"/>
                  <w:color w:val="0000EE"/>
                  <w:w w:val="93"/>
                </w:rPr>
                <w:t>2024.</w:t>
              </w:r>
            </w:hyperlink>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7"/>
                <w:szCs w:val="17"/>
                <w:color w:val="auto"/>
              </w:rPr>
            </w:pPr>
          </w:p>
        </w:tc>
        <w:tc>
          <w:tcPr>
            <w:tcW w:w="6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Limited Waiver and Third Amendment to Term Loan, Guarantee and Security</w:t>
              </w:r>
            </w:hyperlink>
          </w:p>
        </w:tc>
        <w:tc>
          <w:tcPr>
            <w:tcW w:w="8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420" w:type="dxa"/>
            <w:vAlign w:val="bottom"/>
            <w:gridSpan w:val="3"/>
          </w:tcPr>
          <w:p>
            <w:pPr>
              <w:ind w:left="5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10/07/2024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Agreement, dated as of September 30, 2024, by and among Dragonfly Energy</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Holdings Corp., Dragonfly Energy Corp., the lenders from time to time party thereto</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and Alter Domus (US) LLC.</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Certification of Principal Executive Officer Pursuant to Securities Exchange Act Rules</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38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13a-14(a) and 15(d)-14(a), as adopted Pursuant to Section 302 of the Sarbanes-Oxley</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Act of 2002.</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Certification of Principal Financial Officer Pursuant to Securities Exchange Act Rules</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13a-14(a) and 15(d)-14(a), as adopted Pursuant to Section 302 of the Sarbanes-Oxley</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Act of 2002.</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Certification of Chief Executive Officer and Chief Financial Officer pursuant to 18</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11"/>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U.S.C. Section 1350, as adopted pursuant to Section 906 of the Sarbanes-Oxley Act of</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95">
              <w:r>
                <w:rPr>
                  <w:rFonts w:ascii="Times New Roman" w:cs="Times New Roman" w:eastAsia="Times New Roman" w:hAnsi="Times New Roman"/>
                  <w:sz w:val="18"/>
                  <w:szCs w:val="18"/>
                  <w:color w:val="0000EE"/>
                  <w:w w:val="93"/>
                </w:rPr>
                <w:t>2002.</w:t>
              </w:r>
            </w:hyperlink>
          </w:p>
        </w:tc>
        <w:tc>
          <w:tcPr>
            <w:tcW w:w="5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6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included as Exhibit 101)</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98" w:lineRule="exact"/>
        <w:rPr>
          <w:sz w:val="20"/>
          <w:szCs w:val="20"/>
          <w:color w:val="auto"/>
        </w:rPr>
      </w:pPr>
    </w:p>
    <w:p>
      <w:pPr>
        <w:ind w:right="9820" w:firstLine="8"/>
        <w:spacing w:after="0" w:line="261"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Furnished.</w:t>
      </w:r>
    </w:p>
    <w:p>
      <w:pPr>
        <w:ind w:left="340" w:right="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these exhibits have been omitted pursuant to Regulation S-K Item 601(a)(5) promulgated under the Exchange Act. The Registrant agrees to furnish supplementally a copy of any omitted schedules and or exhibits to the SEC upon request.</w:t>
      </w:r>
    </w:p>
    <w:p>
      <w:pPr>
        <w:ind w:left="34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pursuant to Regulation S-K Item 601(b)(10)(iv) promulgated under the Exchange Act, marked by brackets, have been omitted because the omitted information (i) is not material and (ii) the Registrant customarily and actually treats such information as private or confidential. The Registrant agrees to furnish supplementally a copy of any omitted information to the SEC upon request.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Interim Chief Financial Officer</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and Accounting</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2"/>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22, 2024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00" w:type="dxa"/>
            <w:vAlign w:val="bottom"/>
            <w:gridSpan w:val="4"/>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2980" w:type="dxa"/>
            <w:vAlign w:val="bottom"/>
            <w:tcBorders>
              <w:top w:val="single" w:sz="8" w:color="auto"/>
            </w:tcBorders>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2"/>
          </w:tcPr>
          <w:p>
            <w:pPr>
              <w:jc w:val="center"/>
              <w:ind w:right="12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8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4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360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4660" w:type="dxa"/>
            <w:vAlign w:val="bottom"/>
            <w:gridSpan w:val="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744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2980" w:type="dxa"/>
            <w:vAlign w:val="bottom"/>
          </w:tcPr>
          <w:p>
            <w:pPr>
              <w:spacing w:after="0"/>
              <w:rPr>
                <w:sz w:val="24"/>
                <w:szCs w:val="24"/>
                <w:color w:val="auto"/>
              </w:rPr>
            </w:pPr>
          </w:p>
        </w:tc>
        <w:tc>
          <w:tcPr>
            <w:tcW w:w="208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(775) 622-3448</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8" w:lineRule="auto"/>
        <w:tabs>
          <w:tab w:leader="none" w:pos="324"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DFLIW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5.03 below is incorporated by reference into this Item 3.03.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12, 2024,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filed a Certificate of Amendment to the Company’s Articles of Incorporation with the Secretary of State of the State of Nevada (the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to be effected at 6:00 a.m. Eastern Time on November 22, 2024, a one-for-nine reverse stock split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of the Company’s issued and outstanding shares of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In connection with the Reverse Stock Split, the CUSIP number for the Common Stock changed to 26145B 304. The Common Stock will begin trading on a Reverse Stock Split-adjusted basis when the market opens on November 22, 2024. The Common Stock will continue to be quoted on The Nasdaq Capital Market, under the existing ticker symbol “DFLI”.</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Reverse Stock Split, every nine shares of the Company’s issued and outstanding Common Stock was converted into one share of Common Stock. The Reverse Stock Split affected all stockholders uniformly and did not alter any stockholder’s percentage interest in the Company’s equity, except to the extent that the Reverse Split would have resulted in some stockholders owning a fractional share. No fractional shares were issued in connection with the Reverse Stock Split. Any fractional shares resulting from the Reverse Stock Split were rounded up to the nearest whole number.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did not change the par value of the Common Stock or the authorized number of shares of Common Stock. All outstanding securities entitling their holders to purchase shares of Common Stock or acquire shares of Common Stock, including stock options and warrants, were adjusted as a result of the Reverse Stock Split, as required by the terms of those securities.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11, 2024,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the Reverse Stock Split at a ratio of one-for-nine (1:9) and the filing of the Certificate of Amendment, subject to stockholder approval of the Reverse Stock Split Proposal (as defined below). On November 12, 2024, at the Company’s Annual Meeting of Stockholders, the Company’s stockholders approved the proposal to authorize the Board, in its discretion at any time within one year after stockholder approval is obtained, to effect a reverse stock split of only the then-outstanding shares of Common Stock (with no change to the authorized capital stock of the Company), at a ratio of not less than one-for-five (1:5) and not greater than one-for-twenty (1:20), with the exact ratio to be determined by the Board and included in a public announcement.</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Certificate of Amendment is a summary of the material terms thereof, does not purport to be complete and is qualified in its entirety by reference to the full text of the Certificate of Amendment, which is filed with this Current Report as Exhibit 3.1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16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2"/>
          </w:tcPr>
          <w:p>
            <w:pPr>
              <w:spacing w:after="0" w:line="169"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Certificate of Amendment to the Articles of Incorporation of Dragonfly Energy Holdings Corp., as filed with the Secretary of State of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State of Nevada, dated November 19, 2024.</w:t>
              </w:r>
            </w:hyperlink>
          </w:p>
        </w:tc>
        <w:tc>
          <w:tcPr>
            <w:tcW w:w="6980" w:type="dxa"/>
            <w:vAlign w:val="bottom"/>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48"/>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November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  Interim  Chief  Financial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Roman"/>
      <w:start w:val="1"/>
    </w:lvl>
  </w:abstractNum>
  <w:abstractNum w:abstractNumId="9">
    <w:nsid w:val="4E6AFB66"/>
    <w:multiLevelType w:val="hybridMultilevel"/>
    <w:lvl w:ilvl="0">
      <w:lvlJc w:val="left"/>
      <w:lvlText w:val="%1:"/>
      <w:numFmt w:val="decimal"/>
      <w:start w:val="805"/>
    </w:lvl>
  </w:abstractNum>
  <w:abstractNum w:abstractNumId="10">
    <w:nsid w:val="25E45D32"/>
    <w:multiLevelType w:val="hybridMultilevel"/>
    <w:lvl w:ilvl="0">
      <w:lvlJc w:val="left"/>
      <w:lvlText w:val="(%1)"/>
      <w:numFmt w:val="decimal"/>
      <w:start w:val="24"/>
    </w:lvl>
  </w:abstractNum>
  <w:abstractNum w:abstractNumId="11">
    <w:nsid w:val="519B500D"/>
    <w:multiLevelType w:val="hybridMultilevel"/>
    <w:lvl w:ilvl="0">
      <w:lvlJc w:val="left"/>
      <w:lvlText w:val="(%1)"/>
      <w:numFmt w:val="lowerRoman"/>
      <w:start w:val="2"/>
    </w:lvl>
  </w:abstractNum>
  <w:abstractNum w:abstractNumId="12">
    <w:nsid w:val="431BD7B7"/>
    <w:multiLevelType w:val="hybridMultilevel"/>
    <w:lvl w:ilvl="0">
      <w:lvlJc w:val="left"/>
      <w:lvlText w:val="%1."/>
      <w:numFmt w:val="decimal"/>
      <w:start w:val="815"/>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2"/>
    </w:lvl>
  </w:abstractNum>
  <w:abstractNum w:abstractNumId="18">
    <w:nsid w:val="628C895D"/>
    <w:multiLevelType w:val="hybridMultilevel"/>
    <w:lvl w:ilvl="0">
      <w:lvlJc w:val="left"/>
      <w:lvlText w:val="(%1)"/>
      <w:numFmt w:val="lowerRoman"/>
      <w:start w:val="3"/>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85" Type="http://schemas.openxmlformats.org/officeDocument/2006/relationships/hyperlink" Target="https://www.sec.gov/Archives/edgar/data/1847986/000149315223010262/ex3-1.htm" TargetMode="External"/><Relationship Id="rId86" Type="http://schemas.openxmlformats.org/officeDocument/2006/relationships/hyperlink" Target="https://www.sec.gov/Archives/edgar/data/1847986/000149315223010262/ex3-2.htm" TargetMode="External"/><Relationship Id="rId87" Type="http://schemas.openxmlformats.org/officeDocument/2006/relationships/hyperlink" Target="https://www.sec.gov/Archives/edgar/data/1847986/000149315224040278/ex4-1.htm" TargetMode="External"/><Relationship Id="rId88" Type="http://schemas.openxmlformats.org/officeDocument/2006/relationships/hyperlink" Target="https://www.sec.gov/Archives/edgar/data/1847986/000149315224029924/ex10-1.htm" TargetMode="External"/><Relationship Id="rId89" Type="http://schemas.openxmlformats.org/officeDocument/2006/relationships/hyperlink" Target="https://www.sec.gov/Archives/edgar/data/1847986/000149315224029924/ex10-2.htm" TargetMode="External"/><Relationship Id="rId90" Type="http://schemas.openxmlformats.org/officeDocument/2006/relationships/hyperlink" Target="https://www.sec.gov/Archives/edgar/data/1847986/000149315224029924/ex10-3.htm" TargetMode="External"/><Relationship Id="rId91" Type="http://schemas.openxmlformats.org/officeDocument/2006/relationships/hyperlink" Target="https://www.sec.gov/Archives/edgar/data/1847986/000149315224029924/ex10-4.htm" TargetMode="External"/><Relationship Id="rId92" Type="http://schemas.openxmlformats.org/officeDocument/2006/relationships/hyperlink" Target="https://www.sec.gov/Archives/edgar/data/1847986/000149315224040278/ex10-1.htm" TargetMode="External"/><Relationship Id="rId93" Type="http://schemas.openxmlformats.org/officeDocument/2006/relationships/hyperlink" Target="https://www.sec.gov/Archives/edgar/data/1847986/000149315224045922/ex31-1.htm" TargetMode="External"/><Relationship Id="rId94" Type="http://schemas.openxmlformats.org/officeDocument/2006/relationships/hyperlink" Target="https://www.sec.gov/Archives/edgar/data/1847986/000149315224045922/ex31-2.htm" TargetMode="External"/><Relationship Id="rId95" Type="http://schemas.openxmlformats.org/officeDocument/2006/relationships/hyperlink" Target="https://www.sec.gov/Archives/edgar/data/1847986/000149315224045922/ex32-1.htm" TargetMode="External"/><Relationship Id="rId102" Type="http://schemas.openxmlformats.org/officeDocument/2006/relationships/hyperlink" Target="https://www.sec.gov/Archives/edgar/data/1847986/000149315224047295/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2024-11-22T16:42:40Z</dcterms:created>
  <dcterms:modified xsi:type="dcterms:W3CDTF">2024-11-22T16:42:40Z</dcterms:modified>
</cp:coreProperties>
</file>