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231F20"/>
        </w:rPr>
        <w:t>As filed with the U.S. Securities and Exchange Commission on August 10, 2021.</w:t>
      </w:r>
    </w:p>
    <w:p>
      <w:pPr>
        <w:spacing w:after="0" w:line="27" w:lineRule="exact"/>
        <w:rPr>
          <w:sz w:val="24"/>
          <w:szCs w:val="24"/>
          <w:color w:val="auto"/>
        </w:rPr>
      </w:pPr>
    </w:p>
    <w:p>
      <w:pPr>
        <w:jc w:val="right"/>
        <w:ind w:right="140"/>
        <w:spacing w:after="0"/>
        <w:rPr>
          <w:sz w:val="20"/>
          <w:szCs w:val="20"/>
          <w:color w:val="auto"/>
        </w:rPr>
      </w:pPr>
      <w:r>
        <w:rPr>
          <w:rFonts w:ascii="Arial" w:cs="Arial" w:eastAsia="Arial" w:hAnsi="Arial"/>
          <w:sz w:val="18"/>
          <w:szCs w:val="18"/>
          <w:color w:val="231F20"/>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231F20"/>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231F20"/>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167005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231F20"/>
        </w:rPr>
        <w:t>FORM S-1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REGISTRATION STATEMENT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184150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231F20"/>
        </w:rPr>
        <w:t>CHARDAN NEXTECH ACQUISITION 2 CORP.</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231F20"/>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231F20"/>
                <w:w w:val="92"/>
              </w:rPr>
              <w:t>Delaware</w:t>
            </w:r>
          </w:p>
        </w:tc>
        <w:tc>
          <w:tcPr>
            <w:tcW w:w="3600" w:type="dxa"/>
            <w:vAlign w:val="bottom"/>
          </w:tcPr>
          <w:p>
            <w:pPr>
              <w:jc w:val="center"/>
              <w:spacing w:after="0"/>
              <w:rPr>
                <w:sz w:val="20"/>
                <w:szCs w:val="20"/>
                <w:color w:val="auto"/>
              </w:rPr>
            </w:pPr>
            <w:r>
              <w:rPr>
                <w:rFonts w:ascii="Arial" w:cs="Arial" w:eastAsia="Arial" w:hAnsi="Arial"/>
                <w:sz w:val="18"/>
                <w:szCs w:val="18"/>
                <w:color w:val="231F20"/>
                <w:w w:val="89"/>
              </w:rPr>
              <w:t>6770</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color w:val="231F20"/>
              </w:rPr>
              <w:t>85-1873463</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231F20"/>
                <w:w w:val="92"/>
              </w:rPr>
              <w:t>(State or other jurisdiction of incorporation or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231F20"/>
                <w:w w:val="91"/>
              </w:rPr>
              <w:t>(Primary Standard Industrial Classification Code</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231F20"/>
                <w:w w:val="93"/>
              </w:rPr>
              <w:t>(I.R.S. Employer Identification Number)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231F20"/>
                <w:w w:val="90"/>
              </w:rPr>
              <w:t>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231F20"/>
                <w:w w:val="91"/>
              </w:rPr>
              <w:t>Number)</w:t>
            </w:r>
          </w:p>
        </w:tc>
        <w:tc>
          <w:tcPr>
            <w:tcW w:w="3600" w:type="dxa"/>
            <w:vAlign w:val="bottom"/>
          </w:tcPr>
          <w:p>
            <w:pPr>
              <w:spacing w:after="0"/>
              <w:rPr>
                <w:sz w:val="20"/>
                <w:szCs w:val="20"/>
                <w:color w:val="auto"/>
              </w:rPr>
            </w:pPr>
          </w:p>
        </w:tc>
      </w:tr>
    </w:tbl>
    <w:p>
      <w:pPr>
        <w:spacing w:after="0" w:line="141"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231F20"/>
        </w:rPr>
        <w:t>17 State Street, 21</w:t>
      </w:r>
      <w:r>
        <w:rPr>
          <w:rFonts w:ascii="Arial" w:cs="Arial" w:eastAsia="Arial" w:hAnsi="Arial"/>
          <w:sz w:val="29"/>
          <w:szCs w:val="29"/>
          <w:b w:val="1"/>
          <w:bCs w:val="1"/>
          <w:color w:val="231F20"/>
          <w:vertAlign w:val="superscript"/>
        </w:rPr>
        <w:t>st</w:t>
      </w:r>
      <w:r>
        <w:rPr>
          <w:rFonts w:ascii="Arial" w:cs="Arial" w:eastAsia="Arial" w:hAnsi="Arial"/>
          <w:sz w:val="18"/>
          <w:szCs w:val="18"/>
          <w:b w:val="1"/>
          <w:bCs w:val="1"/>
          <w:color w:val="231F20"/>
        </w:rPr>
        <w:t xml:space="preserve"> Floor</w:t>
      </w:r>
    </w:p>
    <w:p>
      <w:pPr>
        <w:jc w:val="center"/>
        <w:ind w:right="-339"/>
        <w:spacing w:after="0"/>
        <w:rPr>
          <w:sz w:val="20"/>
          <w:szCs w:val="20"/>
          <w:color w:val="auto"/>
        </w:rPr>
      </w:pPr>
      <w:r>
        <w:rPr>
          <w:rFonts w:ascii="Arial" w:cs="Arial" w:eastAsia="Arial" w:hAnsi="Arial"/>
          <w:sz w:val="18"/>
          <w:szCs w:val="18"/>
          <w:b w:val="1"/>
          <w:bCs w:val="1"/>
          <w:color w:val="231F20"/>
        </w:rPr>
        <w:t>New York, NY 10004</w:t>
      </w:r>
    </w:p>
    <w:p>
      <w:pPr>
        <w:spacing w:after="0" w:line="7"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231F20"/>
        </w:rPr>
        <w:t>(646) 465-9000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Jonas Grossman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Chief Executive Officer</w:t>
      </w:r>
    </w:p>
    <w:p>
      <w:pPr>
        <w:jc w:val="center"/>
        <w:spacing w:after="0" w:line="192" w:lineRule="auto"/>
        <w:rPr>
          <w:sz w:val="20"/>
          <w:szCs w:val="20"/>
          <w:color w:val="auto"/>
        </w:rPr>
      </w:pPr>
      <w:r>
        <w:rPr>
          <w:rFonts w:ascii="Arial" w:cs="Arial" w:eastAsia="Arial" w:hAnsi="Arial"/>
          <w:sz w:val="18"/>
          <w:szCs w:val="18"/>
          <w:b w:val="1"/>
          <w:bCs w:val="1"/>
          <w:color w:val="231F20"/>
        </w:rPr>
        <w:t>17 State Street, 21</w:t>
      </w:r>
      <w:r>
        <w:rPr>
          <w:rFonts w:ascii="Arial" w:cs="Arial" w:eastAsia="Arial" w:hAnsi="Arial"/>
          <w:sz w:val="29"/>
          <w:szCs w:val="29"/>
          <w:b w:val="1"/>
          <w:bCs w:val="1"/>
          <w:color w:val="231F20"/>
          <w:vertAlign w:val="superscript"/>
        </w:rPr>
        <w:t>st</w:t>
      </w:r>
      <w:r>
        <w:rPr>
          <w:rFonts w:ascii="Arial" w:cs="Arial" w:eastAsia="Arial" w:hAnsi="Arial"/>
          <w:sz w:val="18"/>
          <w:szCs w:val="18"/>
          <w:b w:val="1"/>
          <w:bCs w:val="1"/>
          <w:color w:val="231F20"/>
        </w:rPr>
        <w:t xml:space="preserve"> Floor</w:t>
      </w:r>
    </w:p>
    <w:p>
      <w:pPr>
        <w:jc w:val="center"/>
        <w:spacing w:after="0"/>
        <w:rPr>
          <w:sz w:val="20"/>
          <w:szCs w:val="20"/>
          <w:color w:val="auto"/>
        </w:rPr>
      </w:pPr>
      <w:r>
        <w:rPr>
          <w:rFonts w:ascii="Arial" w:cs="Arial" w:eastAsia="Arial" w:hAnsi="Arial"/>
          <w:sz w:val="18"/>
          <w:szCs w:val="18"/>
          <w:b w:val="1"/>
          <w:bCs w:val="1"/>
          <w:color w:val="231F20"/>
        </w:rPr>
        <w:t>New York, NY 10004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(646) 465-9000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tbl>
      <w:tblPr>
        <w:tblLayout w:type="fixed"/>
        <w:tblInd w:w="176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5000" w:type="dxa"/>
            <w:vAlign w:val="bottom"/>
          </w:tcPr>
          <w:p>
            <w:pPr>
              <w:ind w:left="700"/>
              <w:spacing w:after="0"/>
              <w:rPr>
                <w:sz w:val="20"/>
                <w:szCs w:val="20"/>
                <w:color w:val="auto"/>
              </w:rPr>
            </w:pPr>
            <w:r>
              <w:rPr>
                <w:rFonts w:ascii="Arial" w:cs="Arial" w:eastAsia="Arial" w:hAnsi="Arial"/>
                <w:sz w:val="18"/>
                <w:szCs w:val="18"/>
                <w:i w:val="1"/>
                <w:iCs w:val="1"/>
                <w:color w:val="231F20"/>
              </w:rPr>
              <w:t>Copies to:</w:t>
            </w:r>
          </w:p>
        </w:tc>
      </w:tr>
      <w:tr>
        <w:trPr>
          <w:trHeight w:val="414"/>
        </w:trPr>
        <w:tc>
          <w:tcPr>
            <w:tcW w:w="2800" w:type="dxa"/>
            <w:vAlign w:val="bottom"/>
          </w:tcPr>
          <w:p>
            <w:pPr>
              <w:jc w:val="center"/>
              <w:ind w:right="610"/>
              <w:spacing w:after="0"/>
              <w:rPr>
                <w:sz w:val="20"/>
                <w:szCs w:val="20"/>
                <w:color w:val="auto"/>
              </w:rPr>
            </w:pPr>
            <w:r>
              <w:rPr>
                <w:rFonts w:ascii="Arial" w:cs="Arial" w:eastAsia="Arial" w:hAnsi="Arial"/>
                <w:sz w:val="18"/>
                <w:szCs w:val="18"/>
                <w:b w:val="1"/>
                <w:bCs w:val="1"/>
                <w:color w:val="231F20"/>
                <w:w w:val="92"/>
              </w:rPr>
              <w:t>Ari Edelman, Esq.</w:t>
            </w:r>
          </w:p>
        </w:tc>
        <w:tc>
          <w:tcPr>
            <w:tcW w:w="5000" w:type="dxa"/>
            <w:vAlign w:val="bottom"/>
          </w:tcPr>
          <w:p>
            <w:pPr>
              <w:jc w:val="center"/>
              <w:ind w:left="2650"/>
              <w:spacing w:after="0"/>
              <w:rPr>
                <w:sz w:val="20"/>
                <w:szCs w:val="20"/>
                <w:color w:val="auto"/>
              </w:rPr>
            </w:pPr>
            <w:r>
              <w:rPr>
                <w:rFonts w:ascii="Arial" w:cs="Arial" w:eastAsia="Arial" w:hAnsi="Arial"/>
                <w:sz w:val="18"/>
                <w:szCs w:val="18"/>
                <w:b w:val="1"/>
                <w:bCs w:val="1"/>
                <w:color w:val="231F20"/>
                <w:w w:val="92"/>
              </w:rPr>
              <w:t>Alan I. Annex, Esq.</w:t>
            </w:r>
          </w:p>
        </w:tc>
      </w:tr>
      <w:tr>
        <w:trPr>
          <w:trHeight w:val="216"/>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231F20"/>
                <w:w w:val="93"/>
              </w:rPr>
              <w:t>C. Craig Lilly, Esq.</w:t>
            </w:r>
          </w:p>
        </w:tc>
        <w:tc>
          <w:tcPr>
            <w:tcW w:w="5000" w:type="dxa"/>
            <w:vAlign w:val="bottom"/>
          </w:tcPr>
          <w:p>
            <w:pPr>
              <w:jc w:val="center"/>
              <w:ind w:left="2670"/>
              <w:spacing w:after="0"/>
              <w:rPr>
                <w:sz w:val="20"/>
                <w:szCs w:val="20"/>
                <w:color w:val="auto"/>
              </w:rPr>
            </w:pPr>
            <w:r>
              <w:rPr>
                <w:rFonts w:ascii="Arial" w:cs="Arial" w:eastAsia="Arial" w:hAnsi="Arial"/>
                <w:sz w:val="18"/>
                <w:szCs w:val="18"/>
                <w:b w:val="1"/>
                <w:bCs w:val="1"/>
                <w:color w:val="231F20"/>
                <w:w w:val="88"/>
              </w:rPr>
              <w:t>Jason T. Simon, Esq.</w:t>
            </w:r>
          </w:p>
        </w:tc>
      </w:tr>
      <w:tr>
        <w:trPr>
          <w:trHeight w:val="216"/>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231F20"/>
                <w:w w:val="92"/>
              </w:rPr>
              <w:t>Reed Smith LLP</w:t>
            </w:r>
          </w:p>
        </w:tc>
        <w:tc>
          <w:tcPr>
            <w:tcW w:w="5000" w:type="dxa"/>
            <w:vAlign w:val="bottom"/>
          </w:tcPr>
          <w:p>
            <w:pPr>
              <w:jc w:val="center"/>
              <w:ind w:left="2650"/>
              <w:spacing w:after="0"/>
              <w:rPr>
                <w:sz w:val="20"/>
                <w:szCs w:val="20"/>
                <w:color w:val="auto"/>
              </w:rPr>
            </w:pPr>
            <w:r>
              <w:rPr>
                <w:rFonts w:ascii="Arial" w:cs="Arial" w:eastAsia="Arial" w:hAnsi="Arial"/>
                <w:sz w:val="18"/>
                <w:szCs w:val="18"/>
                <w:b w:val="1"/>
                <w:bCs w:val="1"/>
                <w:color w:val="231F20"/>
                <w:w w:val="94"/>
              </w:rPr>
              <w:t>Greenberg Traurig, LLP</w:t>
            </w:r>
          </w:p>
        </w:tc>
      </w:tr>
      <w:tr>
        <w:trPr>
          <w:trHeight w:val="216"/>
        </w:trPr>
        <w:tc>
          <w:tcPr>
            <w:tcW w:w="2800" w:type="dxa"/>
            <w:vAlign w:val="bottom"/>
          </w:tcPr>
          <w:p>
            <w:pPr>
              <w:jc w:val="center"/>
              <w:ind w:right="610"/>
              <w:spacing w:after="0"/>
              <w:rPr>
                <w:sz w:val="20"/>
                <w:szCs w:val="20"/>
                <w:color w:val="auto"/>
              </w:rPr>
            </w:pPr>
            <w:r>
              <w:rPr>
                <w:rFonts w:ascii="Arial" w:cs="Arial" w:eastAsia="Arial" w:hAnsi="Arial"/>
                <w:sz w:val="18"/>
                <w:szCs w:val="18"/>
                <w:b w:val="1"/>
                <w:bCs w:val="1"/>
                <w:color w:val="231F20"/>
                <w:w w:val="88"/>
              </w:rPr>
              <w:t>599 Lexington Avenue</w:t>
            </w:r>
          </w:p>
        </w:tc>
        <w:tc>
          <w:tcPr>
            <w:tcW w:w="5000" w:type="dxa"/>
            <w:vAlign w:val="bottom"/>
          </w:tcPr>
          <w:p>
            <w:pPr>
              <w:jc w:val="center"/>
              <w:ind w:left="2650"/>
              <w:spacing w:after="0"/>
              <w:rPr>
                <w:sz w:val="20"/>
                <w:szCs w:val="20"/>
                <w:color w:val="auto"/>
              </w:rPr>
            </w:pPr>
            <w:r>
              <w:rPr>
                <w:rFonts w:ascii="Arial" w:cs="Arial" w:eastAsia="Arial" w:hAnsi="Arial"/>
                <w:sz w:val="18"/>
                <w:szCs w:val="18"/>
                <w:b w:val="1"/>
                <w:bCs w:val="1"/>
                <w:color w:val="231F20"/>
                <w:w w:val="88"/>
              </w:rPr>
              <w:t>1750 Tysons Blvd., Suite 1000</w:t>
            </w:r>
          </w:p>
        </w:tc>
      </w:tr>
      <w:tr>
        <w:trPr>
          <w:trHeight w:val="216"/>
        </w:trPr>
        <w:tc>
          <w:tcPr>
            <w:tcW w:w="2800" w:type="dxa"/>
            <w:vAlign w:val="bottom"/>
          </w:tcPr>
          <w:p>
            <w:pPr>
              <w:jc w:val="center"/>
              <w:ind w:right="610"/>
              <w:spacing w:after="0"/>
              <w:rPr>
                <w:sz w:val="20"/>
                <w:szCs w:val="20"/>
                <w:color w:val="auto"/>
              </w:rPr>
            </w:pPr>
            <w:r>
              <w:rPr>
                <w:rFonts w:ascii="Arial" w:cs="Arial" w:eastAsia="Arial" w:hAnsi="Arial"/>
                <w:sz w:val="18"/>
                <w:szCs w:val="18"/>
                <w:b w:val="1"/>
                <w:bCs w:val="1"/>
                <w:color w:val="231F20"/>
                <w:w w:val="93"/>
              </w:rPr>
              <w:t>New York, New York</w:t>
            </w:r>
          </w:p>
        </w:tc>
        <w:tc>
          <w:tcPr>
            <w:tcW w:w="5000" w:type="dxa"/>
            <w:vAlign w:val="bottom"/>
          </w:tcPr>
          <w:p>
            <w:pPr>
              <w:jc w:val="center"/>
              <w:ind w:left="2650"/>
              <w:spacing w:after="0"/>
              <w:rPr>
                <w:sz w:val="20"/>
                <w:szCs w:val="20"/>
                <w:color w:val="auto"/>
              </w:rPr>
            </w:pPr>
            <w:r>
              <w:rPr>
                <w:rFonts w:ascii="Arial" w:cs="Arial" w:eastAsia="Arial" w:hAnsi="Arial"/>
                <w:sz w:val="18"/>
                <w:szCs w:val="18"/>
                <w:b w:val="1"/>
                <w:bCs w:val="1"/>
                <w:color w:val="231F20"/>
                <w:w w:val="92"/>
              </w:rPr>
              <w:t>McLean, VA 22102</w:t>
            </w:r>
          </w:p>
        </w:tc>
      </w:tr>
      <w:tr>
        <w:trPr>
          <w:trHeight w:val="216"/>
        </w:trPr>
        <w:tc>
          <w:tcPr>
            <w:tcW w:w="2800" w:type="dxa"/>
            <w:vAlign w:val="bottom"/>
          </w:tcPr>
          <w:p>
            <w:pPr>
              <w:jc w:val="center"/>
              <w:ind w:right="610"/>
              <w:spacing w:after="0"/>
              <w:rPr>
                <w:sz w:val="20"/>
                <w:szCs w:val="20"/>
                <w:color w:val="auto"/>
              </w:rPr>
            </w:pPr>
            <w:r>
              <w:rPr>
                <w:rFonts w:ascii="Arial" w:cs="Arial" w:eastAsia="Arial" w:hAnsi="Arial"/>
                <w:sz w:val="18"/>
                <w:szCs w:val="18"/>
                <w:b w:val="1"/>
                <w:bCs w:val="1"/>
                <w:color w:val="231F20"/>
                <w:w w:val="90"/>
              </w:rPr>
              <w:t>10022 (212) 521-5400</w:t>
            </w:r>
          </w:p>
        </w:tc>
        <w:tc>
          <w:tcPr>
            <w:tcW w:w="5000" w:type="dxa"/>
            <w:vAlign w:val="bottom"/>
          </w:tcPr>
          <w:p>
            <w:pPr>
              <w:jc w:val="center"/>
              <w:ind w:left="2650"/>
              <w:spacing w:after="0"/>
              <w:rPr>
                <w:sz w:val="20"/>
                <w:szCs w:val="20"/>
                <w:color w:val="auto"/>
              </w:rPr>
            </w:pPr>
            <w:r>
              <w:rPr>
                <w:rFonts w:ascii="Arial" w:cs="Arial" w:eastAsia="Arial" w:hAnsi="Arial"/>
                <w:sz w:val="18"/>
                <w:szCs w:val="18"/>
                <w:b w:val="1"/>
                <w:bCs w:val="1"/>
                <w:color w:val="231F20"/>
                <w:w w:val="92"/>
              </w:rPr>
              <w:t>(703) 749-1300</w:t>
            </w:r>
          </w:p>
        </w:tc>
      </w:tr>
      <w:tr>
        <w:trPr>
          <w:trHeight w:val="234"/>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231F20"/>
                <w:w w:val="90"/>
              </w:rPr>
              <w:t>(212) 521-5450 — Facsimile</w:t>
            </w:r>
          </w:p>
        </w:tc>
        <w:tc>
          <w:tcPr>
            <w:tcW w:w="5000" w:type="dxa"/>
            <w:vAlign w:val="bottom"/>
          </w:tcPr>
          <w:p>
            <w:pPr>
              <w:jc w:val="center"/>
              <w:ind w:left="2610"/>
              <w:spacing w:after="0"/>
              <w:rPr>
                <w:sz w:val="20"/>
                <w:szCs w:val="20"/>
                <w:color w:val="auto"/>
              </w:rPr>
            </w:pPr>
            <w:r>
              <w:rPr>
                <w:rFonts w:ascii="Arial" w:cs="Arial" w:eastAsia="Arial" w:hAnsi="Arial"/>
                <w:sz w:val="18"/>
                <w:szCs w:val="18"/>
                <w:b w:val="1"/>
                <w:bCs w:val="1"/>
                <w:color w:val="231F20"/>
                <w:w w:val="91"/>
              </w:rPr>
              <w:t>(703) 749-1301 — Facsimile</w:t>
            </w:r>
          </w:p>
        </w:tc>
      </w:tr>
    </w:tbl>
    <w:p>
      <w:pPr>
        <w:spacing w:after="0" w:line="198"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231F20"/>
        </w:rPr>
        <w:t xml:space="preserve">Approximate date of commencement of proposed sale to the public: </w:t>
      </w:r>
      <w:r>
        <w:rPr>
          <w:rFonts w:ascii="Arial" w:cs="Arial" w:eastAsia="Arial" w:hAnsi="Arial"/>
          <w:sz w:val="18"/>
          <w:szCs w:val="18"/>
          <w:color w:val="231F20"/>
        </w:rPr>
        <w:t>As soon as practicable after the effective date of this offering.</w:t>
      </w:r>
    </w:p>
    <w:p>
      <w:pPr>
        <w:spacing w:after="0" w:line="229"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8"/>
          <w:szCs w:val="18"/>
          <w:color w:val="231F20"/>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231F20"/>
        </w:rPr>
        <w:t>☐</w:t>
      </w:r>
    </w:p>
    <w:p>
      <w:pPr>
        <w:spacing w:after="0" w:line="182" w:lineRule="exact"/>
        <w:rPr>
          <w:sz w:val="24"/>
          <w:szCs w:val="24"/>
          <w:color w:val="auto"/>
        </w:rPr>
      </w:pPr>
    </w:p>
    <w:p>
      <w:pPr>
        <w:ind w:right="300" w:firstLine="324"/>
        <w:spacing w:after="0" w:line="233" w:lineRule="exact"/>
        <w:rPr>
          <w:sz w:val="20"/>
          <w:szCs w:val="20"/>
          <w:color w:val="auto"/>
        </w:rPr>
      </w:pPr>
      <w:r>
        <w:rPr>
          <w:rFonts w:ascii="Arial" w:cs="Arial" w:eastAsia="Arial" w:hAnsi="Arial"/>
          <w:sz w:val="17"/>
          <w:szCs w:val="17"/>
          <w:color w:val="231F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231F20"/>
        </w:rPr>
        <w:t>☒</w:t>
      </w:r>
      <w:r>
        <w:rPr>
          <w:rFonts w:ascii="Arial" w:cs="Arial" w:eastAsia="Arial" w:hAnsi="Arial"/>
          <w:sz w:val="17"/>
          <w:szCs w:val="17"/>
          <w:color w:val="231F20"/>
        </w:rPr>
        <w:t xml:space="preserve"> 333-254010</w:t>
      </w:r>
    </w:p>
    <w:p>
      <w:pPr>
        <w:spacing w:after="0" w:line="182" w:lineRule="exact"/>
        <w:rPr>
          <w:sz w:val="24"/>
          <w:szCs w:val="24"/>
          <w:color w:val="auto"/>
        </w:rPr>
      </w:pPr>
    </w:p>
    <w:p>
      <w:pPr>
        <w:ind w:right="220" w:firstLine="324"/>
        <w:spacing w:after="0" w:line="233" w:lineRule="exact"/>
        <w:rPr>
          <w:sz w:val="20"/>
          <w:szCs w:val="20"/>
          <w:color w:val="auto"/>
        </w:rPr>
      </w:pPr>
      <w:r>
        <w:rPr>
          <w:rFonts w:ascii="Arial" w:cs="Arial" w:eastAsia="Arial" w:hAnsi="Arial"/>
          <w:sz w:val="18"/>
          <w:szCs w:val="18"/>
          <w:color w:val="231F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231F20"/>
        </w:rPr>
        <w:t>☐</w:t>
      </w:r>
    </w:p>
    <w:p>
      <w:pPr>
        <w:spacing w:after="0" w:line="182"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8"/>
          <w:szCs w:val="18"/>
          <w:color w:val="231F20"/>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231F20"/>
        </w:rPr>
        <w:t>☐</w:t>
      </w:r>
    </w:p>
    <w:p>
      <w:pPr>
        <w:spacing w:after="0" w:line="182" w:lineRule="exact"/>
        <w:rPr>
          <w:sz w:val="24"/>
          <w:szCs w:val="24"/>
          <w:color w:val="auto"/>
        </w:rPr>
      </w:pPr>
    </w:p>
    <w:p>
      <w:pPr>
        <w:ind w:right="200" w:firstLine="324"/>
        <w:spacing w:after="0" w:line="263" w:lineRule="auto"/>
        <w:rPr>
          <w:sz w:val="20"/>
          <w:szCs w:val="20"/>
          <w:color w:val="auto"/>
        </w:rPr>
      </w:pPr>
      <w:r>
        <w:rPr>
          <w:rFonts w:ascii="Arial" w:cs="Arial" w:eastAsia="Arial" w:hAnsi="Arial"/>
          <w:sz w:val="18"/>
          <w:szCs w:val="18"/>
          <w:color w:val="231F20"/>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color w:val="231F20"/>
              </w:rPr>
              <w:t>Large accelerated filer</w:t>
            </w:r>
          </w:p>
        </w:tc>
        <w:tc>
          <w:tcPr>
            <w:tcW w:w="20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1200"/>
              <w:spacing w:after="0"/>
              <w:rPr>
                <w:sz w:val="20"/>
                <w:szCs w:val="20"/>
                <w:color w:val="auto"/>
              </w:rPr>
            </w:pPr>
            <w:r>
              <w:rPr>
                <w:rFonts w:ascii="Arial" w:cs="Arial" w:eastAsia="Arial" w:hAnsi="Arial"/>
                <w:sz w:val="18"/>
                <w:szCs w:val="18"/>
                <w:color w:val="231F20"/>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231F20"/>
                <w:w w:val="77"/>
              </w:rPr>
              <w: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231F20"/>
              </w:rPr>
              <w:t>Non-accelerated filer</w:t>
            </w:r>
          </w:p>
        </w:tc>
        <w:tc>
          <w:tcPr>
            <w:tcW w:w="2040" w:type="dxa"/>
            <w:vAlign w:val="bottom"/>
          </w:tcPr>
          <w:p>
            <w:pPr>
              <w:ind w:left="660"/>
              <w:spacing w:after="0" w:line="181" w:lineRule="exact"/>
              <w:rPr>
                <w:sz w:val="20"/>
                <w:szCs w:val="20"/>
                <w:color w:val="auto"/>
              </w:rPr>
            </w:pPr>
            <w:r>
              <w:rPr>
                <w:rFonts w:ascii="MS PGothic" w:cs="MS PGothic" w:eastAsia="MS PGothic" w:hAnsi="MS PGothic"/>
                <w:sz w:val="18"/>
                <w:szCs w:val="18"/>
                <w:color w:val="231F20"/>
              </w:rPr>
              <w:t>☒</w:t>
            </w:r>
          </w:p>
        </w:tc>
        <w:tc>
          <w:tcPr>
            <w:tcW w:w="4960" w:type="dxa"/>
            <w:vAlign w:val="bottom"/>
          </w:tcPr>
          <w:p>
            <w:pPr>
              <w:ind w:left="1200"/>
              <w:spacing w:after="0"/>
              <w:rPr>
                <w:sz w:val="20"/>
                <w:szCs w:val="20"/>
                <w:color w:val="auto"/>
              </w:rPr>
            </w:pPr>
            <w:r>
              <w:rPr>
                <w:rFonts w:ascii="Arial" w:cs="Arial" w:eastAsia="Arial" w:hAnsi="Arial"/>
                <w:sz w:val="18"/>
                <w:szCs w:val="18"/>
                <w:color w:val="231F20"/>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960" w:type="dxa"/>
            <w:vAlign w:val="bottom"/>
          </w:tcPr>
          <w:p>
            <w:pPr>
              <w:ind w:left="1200"/>
              <w:spacing w:after="0"/>
              <w:rPr>
                <w:sz w:val="20"/>
                <w:szCs w:val="20"/>
                <w:color w:val="auto"/>
              </w:rPr>
            </w:pPr>
            <w:r>
              <w:rPr>
                <w:rFonts w:ascii="Arial" w:cs="Arial" w:eastAsia="Arial" w:hAnsi="Arial"/>
                <w:sz w:val="18"/>
                <w:szCs w:val="18"/>
                <w:color w:val="231F20"/>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231F20"/>
                <w:w w:val="77"/>
              </w:rPr>
              <w:t>☒</w:t>
            </w:r>
          </w:p>
        </w:tc>
      </w:tr>
    </w:tbl>
    <w:p>
      <w:pPr>
        <w:sectPr>
          <w:pgSz w:w="11900" w:h="16924" w:orient="portrait"/>
          <w:cols w:equalWidth="0" w:num="1">
            <w:col w:w="11240"/>
          </w:cols>
          <w:pgMar w:left="320" w:top="472" w:right="339" w:bottom="0" w:gutter="0" w:footer="0" w:header="0"/>
        </w:sectPr>
      </w:pPr>
    </w:p>
    <w:bookmarkStart w:id="1" w:name="page2"/>
    <w:bookmarkEnd w:id="1"/>
    <w:p>
      <w:pPr>
        <w:ind w:firstLine="359"/>
        <w:spacing w:after="0" w:line="233" w:lineRule="exact"/>
        <w:rPr>
          <w:sz w:val="20"/>
          <w:szCs w:val="20"/>
          <w:color w:val="auto"/>
        </w:rPr>
      </w:pPr>
      <w:r>
        <w:rPr>
          <w:rFonts w:ascii="Arial" w:cs="Arial" w:eastAsia="Arial" w:hAnsi="Arial"/>
          <w:sz w:val="18"/>
          <w:szCs w:val="18"/>
          <w:color w:val="231F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493395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480" w:top="341" w:right="6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231F20"/>
        </w:rPr>
        <w:t>CALCULATION OF REGISTRATION FEE</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6100" w:type="dxa"/>
            <w:vAlign w:val="bottom"/>
            <w:tcBorders>
              <w:top w:val="single" w:sz="8" w:color="231F20"/>
              <w:right w:val="single" w:sz="8" w:color="231F20"/>
            </w:tcBorders>
          </w:tcPr>
          <w:p>
            <w:pPr>
              <w:spacing w:after="0"/>
              <w:rPr>
                <w:sz w:val="18"/>
                <w:szCs w:val="18"/>
                <w:color w:val="auto"/>
              </w:rPr>
            </w:pPr>
          </w:p>
        </w:tc>
        <w:tc>
          <w:tcPr>
            <w:tcW w:w="1020" w:type="dxa"/>
            <w:vAlign w:val="bottom"/>
            <w:tcBorders>
              <w:top w:val="single" w:sz="8" w:color="231F20"/>
              <w:right w:val="single" w:sz="8" w:color="231F20"/>
            </w:tcBorders>
          </w:tcPr>
          <w:p>
            <w:pPr>
              <w:spacing w:after="0"/>
              <w:rPr>
                <w:sz w:val="18"/>
                <w:szCs w:val="18"/>
                <w:color w:val="auto"/>
              </w:rPr>
            </w:pPr>
          </w:p>
        </w:tc>
        <w:tc>
          <w:tcPr>
            <w:tcW w:w="1560" w:type="dxa"/>
            <w:vAlign w:val="bottom"/>
            <w:tcBorders>
              <w:top w:val="single" w:sz="8" w:color="231F20"/>
              <w:right w:val="single" w:sz="8" w:color="231F20"/>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460" w:type="dxa"/>
            <w:vAlign w:val="bottom"/>
            <w:tcBorders>
              <w:top w:val="single" w:sz="8" w:color="231F20"/>
              <w:right w:val="single" w:sz="8" w:color="231F20"/>
            </w:tcBorders>
          </w:tcPr>
          <w:p>
            <w:pPr>
              <w:jc w:val="center"/>
              <w:spacing w:after="0"/>
              <w:rPr>
                <w:sz w:val="20"/>
                <w:szCs w:val="20"/>
                <w:color w:val="auto"/>
              </w:rPr>
            </w:pPr>
            <w:r>
              <w:rPr>
                <w:rFonts w:ascii="Arial" w:cs="Arial" w:eastAsia="Arial" w:hAnsi="Arial"/>
                <w:sz w:val="18"/>
                <w:szCs w:val="18"/>
                <w:b w:val="1"/>
                <w:bCs w:val="1"/>
                <w:color w:val="231F20"/>
                <w:w w:val="86"/>
              </w:rPr>
              <w:t>Proposed</w:t>
            </w:r>
          </w:p>
        </w:tc>
        <w:tc>
          <w:tcPr>
            <w:tcW w:w="1100" w:type="dxa"/>
            <w:vAlign w:val="bottom"/>
            <w:tcBorders>
              <w:top w:val="single" w:sz="8" w:color="231F20"/>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00" w:type="dxa"/>
            <w:vAlign w:val="bottom"/>
            <w:tcBorders>
              <w:right w:val="single" w:sz="8" w:color="231F20"/>
            </w:tcBorders>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560" w:type="dxa"/>
            <w:vAlign w:val="bottom"/>
            <w:tcBorders>
              <w:right w:val="single" w:sz="8" w:color="231F20"/>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460" w:type="dxa"/>
            <w:vAlign w:val="bottom"/>
            <w:tcBorders>
              <w:right w:val="single" w:sz="8" w:color="231F20"/>
            </w:tcBorders>
          </w:tcPr>
          <w:p>
            <w:pPr>
              <w:jc w:val="center"/>
              <w:spacing w:after="0"/>
              <w:rPr>
                <w:sz w:val="20"/>
                <w:szCs w:val="20"/>
                <w:color w:val="auto"/>
              </w:rPr>
            </w:pPr>
            <w:r>
              <w:rPr>
                <w:rFonts w:ascii="Arial" w:cs="Arial" w:eastAsia="Arial" w:hAnsi="Arial"/>
                <w:sz w:val="18"/>
                <w:szCs w:val="18"/>
                <w:b w:val="1"/>
                <w:bCs w:val="1"/>
                <w:color w:val="231F20"/>
                <w:w w:val="96"/>
              </w:rPr>
              <w:t>Maximum</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6100" w:type="dxa"/>
            <w:vAlign w:val="bottom"/>
            <w:tcBorders>
              <w:right w:val="single" w:sz="8" w:color="231F20"/>
            </w:tcBorders>
          </w:tcPr>
          <w:p>
            <w:pPr>
              <w:spacing w:after="0"/>
              <w:rPr>
                <w:sz w:val="19"/>
                <w:szCs w:val="19"/>
                <w:color w:val="auto"/>
              </w:rPr>
            </w:pPr>
          </w:p>
        </w:tc>
        <w:tc>
          <w:tcPr>
            <w:tcW w:w="1020" w:type="dxa"/>
            <w:vAlign w:val="bottom"/>
            <w:tcBorders>
              <w:right w:val="single" w:sz="8" w:color="231F20"/>
            </w:tcBorders>
          </w:tcPr>
          <w:p>
            <w:pPr>
              <w:jc w:val="center"/>
              <w:spacing w:after="0"/>
              <w:rPr>
                <w:sz w:val="20"/>
                <w:szCs w:val="20"/>
                <w:color w:val="auto"/>
              </w:rPr>
            </w:pPr>
            <w:r>
              <w:rPr>
                <w:rFonts w:ascii="Arial" w:cs="Arial" w:eastAsia="Arial" w:hAnsi="Arial"/>
                <w:sz w:val="18"/>
                <w:szCs w:val="18"/>
                <w:b w:val="1"/>
                <w:bCs w:val="1"/>
                <w:color w:val="231F20"/>
                <w:w w:val="94"/>
              </w:rPr>
              <w:t>Amount</w:t>
            </w:r>
          </w:p>
        </w:tc>
        <w:tc>
          <w:tcPr>
            <w:tcW w:w="1560" w:type="dxa"/>
            <w:vAlign w:val="bottom"/>
            <w:tcBorders>
              <w:right w:val="single" w:sz="8" w:color="231F20"/>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460" w:type="dxa"/>
            <w:vAlign w:val="bottom"/>
            <w:tcBorders>
              <w:right w:val="single" w:sz="8" w:color="231F20"/>
            </w:tcBorders>
          </w:tcPr>
          <w:p>
            <w:pPr>
              <w:jc w:val="center"/>
              <w:spacing w:after="0"/>
              <w:rPr>
                <w:sz w:val="20"/>
                <w:szCs w:val="20"/>
                <w:color w:val="auto"/>
              </w:rPr>
            </w:pPr>
            <w:r>
              <w:rPr>
                <w:rFonts w:ascii="Arial" w:cs="Arial" w:eastAsia="Arial" w:hAnsi="Arial"/>
                <w:sz w:val="18"/>
                <w:szCs w:val="18"/>
                <w:b w:val="1"/>
                <w:bCs w:val="1"/>
                <w:color w:val="231F20"/>
                <w:w w:val="87"/>
              </w:rPr>
              <w:t>Aggregate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231F20"/>
                <w:w w:val="91"/>
              </w:rPr>
              <w:t>Amount of</w:t>
            </w:r>
          </w:p>
        </w:tc>
        <w:tc>
          <w:tcPr>
            <w:tcW w:w="20" w:type="dxa"/>
            <w:vAlign w:val="bottom"/>
          </w:tcPr>
          <w:p>
            <w:pPr>
              <w:spacing w:after="0"/>
              <w:rPr>
                <w:sz w:val="19"/>
                <w:szCs w:val="19"/>
                <w:color w:val="auto"/>
              </w:rPr>
            </w:pPr>
          </w:p>
        </w:tc>
      </w:tr>
      <w:tr>
        <w:trPr>
          <w:trHeight w:val="229"/>
        </w:trPr>
        <w:tc>
          <w:tcPr>
            <w:tcW w:w="6100" w:type="dxa"/>
            <w:vAlign w:val="bottom"/>
            <w:tcBorders>
              <w:right w:val="single" w:sz="8" w:color="231F20"/>
            </w:tcBorders>
          </w:tcPr>
          <w:p>
            <w:pPr>
              <w:spacing w:after="0"/>
              <w:rPr>
                <w:sz w:val="19"/>
                <w:szCs w:val="19"/>
                <w:color w:val="auto"/>
              </w:rPr>
            </w:pPr>
          </w:p>
        </w:tc>
        <w:tc>
          <w:tcPr>
            <w:tcW w:w="1020" w:type="dxa"/>
            <w:vAlign w:val="bottom"/>
            <w:tcBorders>
              <w:right w:val="single" w:sz="8" w:color="231F20"/>
            </w:tcBorders>
          </w:tcPr>
          <w:p>
            <w:pPr>
              <w:jc w:val="center"/>
              <w:spacing w:after="0"/>
              <w:rPr>
                <w:sz w:val="20"/>
                <w:szCs w:val="20"/>
                <w:color w:val="auto"/>
              </w:rPr>
            </w:pPr>
            <w:r>
              <w:rPr>
                <w:rFonts w:ascii="Arial" w:cs="Arial" w:eastAsia="Arial" w:hAnsi="Arial"/>
                <w:sz w:val="18"/>
                <w:szCs w:val="18"/>
                <w:b w:val="1"/>
                <w:bCs w:val="1"/>
                <w:color w:val="231F20"/>
                <w:w w:val="87"/>
              </w:rPr>
              <w:t>Being</w:t>
            </w:r>
          </w:p>
        </w:tc>
        <w:tc>
          <w:tcPr>
            <w:tcW w:w="1560" w:type="dxa"/>
            <w:vAlign w:val="bottom"/>
            <w:tcBorders>
              <w:right w:val="single" w:sz="8" w:color="231F20"/>
            </w:tcBorders>
          </w:tcPr>
          <w:p>
            <w:pPr>
              <w:jc w:val="center"/>
              <w:spacing w:after="0"/>
              <w:rPr>
                <w:sz w:val="20"/>
                <w:szCs w:val="20"/>
                <w:color w:val="auto"/>
              </w:rPr>
            </w:pPr>
            <w:r>
              <w:rPr>
                <w:rFonts w:ascii="Arial" w:cs="Arial" w:eastAsia="Arial" w:hAnsi="Arial"/>
                <w:sz w:val="18"/>
                <w:szCs w:val="18"/>
                <w:b w:val="1"/>
                <w:bCs w:val="1"/>
                <w:color w:val="231F20"/>
                <w:w w:val="90"/>
              </w:rPr>
              <w:t>Price per</w:t>
            </w:r>
          </w:p>
        </w:tc>
        <w:tc>
          <w:tcPr>
            <w:tcW w:w="1460" w:type="dxa"/>
            <w:vAlign w:val="bottom"/>
            <w:tcBorders>
              <w:right w:val="single" w:sz="8" w:color="231F20"/>
            </w:tcBorders>
          </w:tcPr>
          <w:p>
            <w:pPr>
              <w:jc w:val="center"/>
              <w:spacing w:after="0" w:line="230" w:lineRule="exact"/>
              <w:rPr>
                <w:sz w:val="20"/>
                <w:szCs w:val="20"/>
                <w:color w:val="auto"/>
              </w:rPr>
            </w:pPr>
            <w:r>
              <w:rPr>
                <w:rFonts w:ascii="Arial" w:cs="Arial" w:eastAsia="Arial" w:hAnsi="Arial"/>
                <w:sz w:val="16"/>
                <w:szCs w:val="16"/>
                <w:b w:val="1"/>
                <w:bCs w:val="1"/>
                <w:color w:val="231F20"/>
              </w:rPr>
              <w:t>Offering Price</w:t>
            </w:r>
            <w:r>
              <w:rPr>
                <w:rFonts w:ascii="Arial" w:cs="Arial" w:eastAsia="Arial" w:hAnsi="Arial"/>
                <w:sz w:val="26"/>
                <w:szCs w:val="26"/>
                <w:b w:val="1"/>
                <w:bCs w:val="1"/>
                <w:color w:val="231F20"/>
                <w:vertAlign w:val="superscript"/>
              </w:rPr>
              <w:t>(1)</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231F20"/>
                <w:w w:val="89"/>
              </w:rPr>
              <w:t>Registration</w:t>
            </w:r>
          </w:p>
        </w:tc>
        <w:tc>
          <w:tcPr>
            <w:tcW w:w="20" w:type="dxa"/>
            <w:vAlign w:val="bottom"/>
          </w:tcPr>
          <w:p>
            <w:pPr>
              <w:spacing w:after="0"/>
              <w:rPr>
                <w:sz w:val="19"/>
                <w:szCs w:val="19"/>
                <w:color w:val="auto"/>
              </w:rPr>
            </w:pPr>
          </w:p>
        </w:tc>
      </w:tr>
      <w:tr>
        <w:trPr>
          <w:trHeight w:val="257"/>
        </w:trPr>
        <w:tc>
          <w:tcPr>
            <w:tcW w:w="6100" w:type="dxa"/>
            <w:vAlign w:val="bottom"/>
            <w:tcBorders>
              <w:bottom w:val="single" w:sz="8" w:color="231F20"/>
              <w:right w:val="single" w:sz="8" w:color="231F20"/>
            </w:tcBorders>
          </w:tcPr>
          <w:p>
            <w:pPr>
              <w:ind w:left="1240"/>
              <w:spacing w:after="0"/>
              <w:rPr>
                <w:sz w:val="20"/>
                <w:szCs w:val="20"/>
                <w:color w:val="auto"/>
              </w:rPr>
            </w:pPr>
            <w:r>
              <w:rPr>
                <w:rFonts w:ascii="Arial" w:cs="Arial" w:eastAsia="Arial" w:hAnsi="Arial"/>
                <w:sz w:val="18"/>
                <w:szCs w:val="18"/>
                <w:b w:val="1"/>
                <w:bCs w:val="1"/>
                <w:color w:val="231F20"/>
              </w:rPr>
              <w:t>Title of Each Class of Security being registered</w:t>
            </w:r>
          </w:p>
        </w:tc>
        <w:tc>
          <w:tcPr>
            <w:tcW w:w="1020" w:type="dxa"/>
            <w:vAlign w:val="bottom"/>
            <w:tcBorders>
              <w:bottom w:val="single" w:sz="8" w:color="231F20"/>
              <w:right w:val="single" w:sz="8" w:color="231F20"/>
            </w:tcBorders>
          </w:tcPr>
          <w:p>
            <w:pPr>
              <w:jc w:val="center"/>
              <w:spacing w:after="0"/>
              <w:rPr>
                <w:sz w:val="20"/>
                <w:szCs w:val="20"/>
                <w:color w:val="auto"/>
              </w:rPr>
            </w:pPr>
            <w:r>
              <w:rPr>
                <w:rFonts w:ascii="Arial" w:cs="Arial" w:eastAsia="Arial" w:hAnsi="Arial"/>
                <w:sz w:val="18"/>
                <w:szCs w:val="18"/>
                <w:b w:val="1"/>
                <w:bCs w:val="1"/>
                <w:color w:val="231F20"/>
                <w:w w:val="88"/>
              </w:rPr>
              <w:t>Registered</w:t>
            </w:r>
          </w:p>
        </w:tc>
        <w:tc>
          <w:tcPr>
            <w:tcW w:w="1560" w:type="dxa"/>
            <w:vAlign w:val="bottom"/>
            <w:tcBorders>
              <w:bottom w:val="single" w:sz="8" w:color="231F20"/>
              <w:right w:val="single" w:sz="8" w:color="231F20"/>
            </w:tcBorders>
          </w:tcPr>
          <w:p>
            <w:pPr>
              <w:jc w:val="center"/>
              <w:spacing w:after="0" w:line="256" w:lineRule="exact"/>
              <w:rPr>
                <w:sz w:val="20"/>
                <w:szCs w:val="20"/>
                <w:color w:val="auto"/>
              </w:rPr>
            </w:pPr>
            <w:r>
              <w:rPr>
                <w:rFonts w:ascii="Arial" w:cs="Arial" w:eastAsia="Arial" w:hAnsi="Arial"/>
                <w:sz w:val="18"/>
                <w:szCs w:val="18"/>
                <w:b w:val="1"/>
                <w:bCs w:val="1"/>
                <w:color w:val="231F20"/>
                <w:w w:val="86"/>
              </w:rPr>
              <w:t>Security</w:t>
            </w:r>
            <w:r>
              <w:rPr>
                <w:rFonts w:ascii="Arial" w:cs="Arial" w:eastAsia="Arial" w:hAnsi="Arial"/>
                <w:sz w:val="29"/>
                <w:szCs w:val="29"/>
                <w:b w:val="1"/>
                <w:bCs w:val="1"/>
                <w:color w:val="231F20"/>
                <w:w w:val="86"/>
                <w:vertAlign w:val="superscript"/>
              </w:rPr>
              <w:t>(1)</w:t>
            </w:r>
          </w:p>
        </w:tc>
        <w:tc>
          <w:tcPr>
            <w:tcW w:w="1460" w:type="dxa"/>
            <w:vAlign w:val="bottom"/>
            <w:tcBorders>
              <w:bottom w:val="single" w:sz="8" w:color="231F20"/>
              <w:right w:val="single" w:sz="8" w:color="231F20"/>
            </w:tcBorders>
          </w:tcPr>
          <w:p>
            <w:pPr>
              <w:jc w:val="center"/>
              <w:spacing w:after="0"/>
              <w:rPr>
                <w:sz w:val="20"/>
                <w:szCs w:val="20"/>
                <w:color w:val="auto"/>
              </w:rPr>
            </w:pPr>
            <w:r>
              <w:rPr>
                <w:rFonts w:ascii="Arial" w:cs="Arial" w:eastAsia="Arial" w:hAnsi="Arial"/>
                <w:sz w:val="15"/>
                <w:szCs w:val="15"/>
                <w:b w:val="1"/>
                <w:bCs w:val="1"/>
                <w:color w:val="231F20"/>
                <w:w w:val="97"/>
              </w:rPr>
              <w:t>(2)</w:t>
            </w:r>
          </w:p>
        </w:tc>
        <w:tc>
          <w:tcPr>
            <w:tcW w:w="1100" w:type="dxa"/>
            <w:vAlign w:val="bottom"/>
            <w:tcBorders>
              <w:bottom w:val="single" w:sz="8" w:color="231F20"/>
            </w:tcBorders>
          </w:tcPr>
          <w:p>
            <w:pPr>
              <w:jc w:val="center"/>
              <w:spacing w:after="0"/>
              <w:rPr>
                <w:sz w:val="20"/>
                <w:szCs w:val="20"/>
                <w:color w:val="auto"/>
              </w:rPr>
            </w:pPr>
            <w:r>
              <w:rPr>
                <w:rFonts w:ascii="Arial" w:cs="Arial" w:eastAsia="Arial" w:hAnsi="Arial"/>
                <w:sz w:val="18"/>
                <w:szCs w:val="18"/>
                <w:b w:val="1"/>
                <w:bCs w:val="1"/>
                <w:color w:val="231F20"/>
                <w:w w:val="83"/>
              </w:rPr>
              <w:t>Fee</w:t>
            </w:r>
          </w:p>
        </w:tc>
        <w:tc>
          <w:tcPr>
            <w:tcW w:w="20" w:type="dxa"/>
            <w:vAlign w:val="bottom"/>
          </w:tcPr>
          <w:p>
            <w:pPr>
              <w:spacing w:after="0"/>
              <w:rPr>
                <w:sz w:val="22"/>
                <w:szCs w:val="22"/>
                <w:color w:val="auto"/>
              </w:rPr>
            </w:pPr>
          </w:p>
        </w:tc>
      </w:tr>
      <w:tr>
        <w:trPr>
          <w:trHeight w:val="195"/>
        </w:trPr>
        <w:tc>
          <w:tcPr>
            <w:tcW w:w="6100" w:type="dxa"/>
            <w:vAlign w:val="bottom"/>
            <w:tcBorders>
              <w:left w:val="single" w:sz="8" w:color="CCEEFF"/>
              <w:right w:val="single" w:sz="8" w:color="231F20"/>
            </w:tcBorders>
            <w:shd w:val="clear" w:color="auto" w:fill="CCEEFF"/>
          </w:tcPr>
          <w:p>
            <w:pPr>
              <w:spacing w:after="0" w:line="195" w:lineRule="exact"/>
              <w:rPr>
                <w:sz w:val="20"/>
                <w:szCs w:val="20"/>
                <w:color w:val="auto"/>
              </w:rPr>
            </w:pPr>
            <w:r>
              <w:rPr>
                <w:rFonts w:ascii="Arial" w:cs="Arial" w:eastAsia="Arial" w:hAnsi="Arial"/>
                <w:sz w:val="18"/>
                <w:szCs w:val="18"/>
                <w:color w:val="231F20"/>
                <w:w w:val="91"/>
              </w:rPr>
              <w:t>Units, each consisting of one share of common stock, $0.0001 par value and three-</w:t>
            </w:r>
          </w:p>
        </w:tc>
        <w:tc>
          <w:tcPr>
            <w:tcW w:w="1020" w:type="dxa"/>
            <w:vAlign w:val="bottom"/>
            <w:tcBorders>
              <w:right w:val="single" w:sz="8" w:color="231F20"/>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1,150,000</w:t>
            </w:r>
          </w:p>
        </w:tc>
        <w:tc>
          <w:tcPr>
            <w:tcW w:w="1560" w:type="dxa"/>
            <w:vAlign w:val="bottom"/>
            <w:tcBorders>
              <w:right w:val="single" w:sz="8" w:color="231F20"/>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$10.00</w:t>
            </w:r>
          </w:p>
        </w:tc>
        <w:tc>
          <w:tcPr>
            <w:tcW w:w="1460" w:type="dxa"/>
            <w:vAlign w:val="bottom"/>
            <w:tcBorders>
              <w:right w:val="single" w:sz="8" w:color="231F20"/>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$11,500,000</w:t>
            </w:r>
          </w:p>
        </w:tc>
        <w:tc>
          <w:tcPr>
            <w:tcW w:w="11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$1,254.65</w:t>
            </w:r>
          </w:p>
        </w:tc>
        <w:tc>
          <w:tcPr>
            <w:tcW w:w="20" w:type="dxa"/>
            <w:vAlign w:val="bottom"/>
          </w:tcPr>
          <w:p>
            <w:pPr>
              <w:spacing w:after="0"/>
              <w:rPr>
                <w:sz w:val="16"/>
                <w:szCs w:val="16"/>
                <w:color w:val="auto"/>
              </w:rPr>
            </w:pPr>
          </w:p>
        </w:tc>
      </w:tr>
      <w:tr>
        <w:trPr>
          <w:trHeight w:val="220"/>
        </w:trPr>
        <w:tc>
          <w:tcPr>
            <w:tcW w:w="6100" w:type="dxa"/>
            <w:vAlign w:val="bottom"/>
            <w:tcBorders>
              <w:left w:val="single" w:sz="8" w:color="CCEEFF"/>
              <w:right w:val="single" w:sz="8" w:color="231F20"/>
            </w:tcBorders>
            <w:shd w:val="clear" w:color="auto" w:fill="CCEEFF"/>
          </w:tcPr>
          <w:p>
            <w:pPr>
              <w:ind w:left="180"/>
              <w:spacing w:after="0"/>
              <w:rPr>
                <w:sz w:val="20"/>
                <w:szCs w:val="20"/>
                <w:color w:val="auto"/>
              </w:rPr>
            </w:pPr>
            <w:r>
              <w:rPr>
                <w:rFonts w:ascii="Arial" w:cs="Arial" w:eastAsia="Arial" w:hAnsi="Arial"/>
                <w:sz w:val="18"/>
                <w:szCs w:val="18"/>
                <w:color w:val="231F20"/>
                <w:w w:val="91"/>
              </w:rPr>
              <w:t>quarters of one redeemable warrant entitling the holder to purchase one share of</w:t>
            </w:r>
          </w:p>
        </w:tc>
        <w:tc>
          <w:tcPr>
            <w:tcW w:w="1020" w:type="dxa"/>
            <w:vAlign w:val="bottom"/>
            <w:tcBorders>
              <w:right w:val="single" w:sz="8" w:color="231F20"/>
            </w:tcBorders>
            <w:shd w:val="clear" w:color="auto" w:fill="CCEEFF"/>
          </w:tcPr>
          <w:p>
            <w:pPr>
              <w:spacing w:after="0"/>
              <w:rPr>
                <w:sz w:val="19"/>
                <w:szCs w:val="19"/>
                <w:color w:val="auto"/>
              </w:rPr>
            </w:pPr>
          </w:p>
        </w:tc>
        <w:tc>
          <w:tcPr>
            <w:tcW w:w="1560" w:type="dxa"/>
            <w:vAlign w:val="bottom"/>
            <w:tcBorders>
              <w:right w:val="single" w:sz="8" w:color="231F20"/>
            </w:tcBorders>
            <w:shd w:val="clear" w:color="auto" w:fill="CCEEFF"/>
          </w:tcPr>
          <w:p>
            <w:pPr>
              <w:spacing w:after="0"/>
              <w:rPr>
                <w:sz w:val="19"/>
                <w:szCs w:val="19"/>
                <w:color w:val="auto"/>
              </w:rPr>
            </w:pPr>
          </w:p>
        </w:tc>
        <w:tc>
          <w:tcPr>
            <w:tcW w:w="1460" w:type="dxa"/>
            <w:vAlign w:val="bottom"/>
            <w:tcBorders>
              <w:right w:val="single" w:sz="8" w:color="231F20"/>
            </w:tcBorders>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67"/>
        </w:trPr>
        <w:tc>
          <w:tcPr>
            <w:tcW w:w="6100" w:type="dxa"/>
            <w:vAlign w:val="bottom"/>
            <w:tcBorders>
              <w:left w:val="single" w:sz="8" w:color="CCEEFF"/>
              <w:bottom w:val="single" w:sz="8" w:color="231F20"/>
              <w:right w:val="single" w:sz="8" w:color="231F20"/>
            </w:tcBorders>
            <w:shd w:val="clear" w:color="auto" w:fill="CCEEFF"/>
          </w:tcPr>
          <w:p>
            <w:pPr>
              <w:ind w:left="180"/>
              <w:spacing w:after="0" w:line="267" w:lineRule="exact"/>
              <w:rPr>
                <w:sz w:val="20"/>
                <w:szCs w:val="20"/>
                <w:color w:val="auto"/>
              </w:rPr>
            </w:pPr>
            <w:r>
              <w:rPr>
                <w:rFonts w:ascii="Arial" w:cs="Arial" w:eastAsia="Arial" w:hAnsi="Arial"/>
                <w:sz w:val="18"/>
                <w:szCs w:val="18"/>
                <w:color w:val="231F20"/>
              </w:rPr>
              <w:t>common stock</w:t>
            </w:r>
            <w:r>
              <w:rPr>
                <w:rFonts w:ascii="Arial" w:cs="Arial" w:eastAsia="Arial" w:hAnsi="Arial"/>
                <w:sz w:val="29"/>
                <w:szCs w:val="29"/>
                <w:color w:val="231F20"/>
                <w:vertAlign w:val="superscript"/>
              </w:rPr>
              <w:t>(2)</w:t>
            </w:r>
          </w:p>
        </w:tc>
        <w:tc>
          <w:tcPr>
            <w:tcW w:w="1020" w:type="dxa"/>
            <w:vAlign w:val="bottom"/>
            <w:tcBorders>
              <w:bottom w:val="single" w:sz="8" w:color="231F20"/>
              <w:right w:val="single" w:sz="8" w:color="231F20"/>
            </w:tcBorders>
            <w:shd w:val="clear" w:color="auto" w:fill="CCEEFF"/>
          </w:tcPr>
          <w:p>
            <w:pPr>
              <w:spacing w:after="0"/>
              <w:rPr>
                <w:sz w:val="23"/>
                <w:szCs w:val="23"/>
                <w:color w:val="auto"/>
              </w:rPr>
            </w:pPr>
          </w:p>
        </w:tc>
        <w:tc>
          <w:tcPr>
            <w:tcW w:w="1560" w:type="dxa"/>
            <w:vAlign w:val="bottom"/>
            <w:tcBorders>
              <w:bottom w:val="single" w:sz="8" w:color="231F20"/>
              <w:right w:val="single" w:sz="8" w:color="231F20"/>
            </w:tcBorders>
            <w:shd w:val="clear" w:color="auto" w:fill="CCEEFF"/>
          </w:tcPr>
          <w:p>
            <w:pPr>
              <w:spacing w:after="0"/>
              <w:rPr>
                <w:sz w:val="23"/>
                <w:szCs w:val="23"/>
                <w:color w:val="auto"/>
              </w:rPr>
            </w:pPr>
          </w:p>
        </w:tc>
        <w:tc>
          <w:tcPr>
            <w:tcW w:w="1460" w:type="dxa"/>
            <w:vAlign w:val="bottom"/>
            <w:tcBorders>
              <w:bottom w:val="single" w:sz="8" w:color="231F20"/>
              <w:right w:val="single" w:sz="8" w:color="231F20"/>
            </w:tcBorders>
            <w:shd w:val="clear" w:color="auto" w:fill="CCEEFF"/>
          </w:tcPr>
          <w:p>
            <w:pPr>
              <w:spacing w:after="0"/>
              <w:rPr>
                <w:sz w:val="23"/>
                <w:szCs w:val="23"/>
                <w:color w:val="auto"/>
              </w:rPr>
            </w:pPr>
          </w:p>
        </w:tc>
        <w:tc>
          <w:tcPr>
            <w:tcW w:w="1100" w:type="dxa"/>
            <w:vAlign w:val="bottom"/>
            <w:tcBorders>
              <w:bottom w:val="single" w:sz="8" w:color="231F20"/>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199"/>
        </w:trPr>
        <w:tc>
          <w:tcPr>
            <w:tcW w:w="6100" w:type="dxa"/>
            <w:vAlign w:val="bottom"/>
            <w:tcBorders>
              <w:right w:val="single" w:sz="8" w:color="231F20"/>
            </w:tcBorders>
          </w:tcPr>
          <w:p>
            <w:pPr>
              <w:spacing w:after="0" w:line="199" w:lineRule="exact"/>
              <w:rPr>
                <w:sz w:val="20"/>
                <w:szCs w:val="20"/>
                <w:color w:val="auto"/>
              </w:rPr>
            </w:pPr>
            <w:r>
              <w:rPr>
                <w:rFonts w:ascii="Arial" w:cs="Arial" w:eastAsia="Arial" w:hAnsi="Arial"/>
                <w:sz w:val="18"/>
                <w:szCs w:val="18"/>
                <w:color w:val="231F20"/>
              </w:rPr>
              <w:t>Shares of common stock, $0.0001 par value, included as part of</w:t>
            </w:r>
          </w:p>
        </w:tc>
        <w:tc>
          <w:tcPr>
            <w:tcW w:w="1020" w:type="dxa"/>
            <w:vAlign w:val="bottom"/>
            <w:tcBorders>
              <w:right w:val="single" w:sz="8" w:color="231F20"/>
            </w:tcBorders>
          </w:tcPr>
          <w:p>
            <w:pPr>
              <w:jc w:val="center"/>
              <w:spacing w:after="0" w:line="199" w:lineRule="exact"/>
              <w:rPr>
                <w:sz w:val="20"/>
                <w:szCs w:val="20"/>
                <w:color w:val="auto"/>
              </w:rPr>
            </w:pPr>
            <w:r>
              <w:rPr>
                <w:rFonts w:ascii="Arial" w:cs="Arial" w:eastAsia="Arial" w:hAnsi="Arial"/>
                <w:sz w:val="18"/>
                <w:szCs w:val="18"/>
                <w:color w:val="auto"/>
                <w:w w:val="89"/>
              </w:rPr>
              <w:t>1,150,000</w:t>
            </w:r>
          </w:p>
        </w:tc>
        <w:tc>
          <w:tcPr>
            <w:tcW w:w="1560" w:type="dxa"/>
            <w:vAlign w:val="bottom"/>
            <w:tcBorders>
              <w:right w:val="single" w:sz="8" w:color="231F20"/>
            </w:tcBorders>
          </w:tcPr>
          <w:p>
            <w:pPr>
              <w:jc w:val="center"/>
              <w:spacing w:after="0" w:line="199" w:lineRule="exact"/>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231F20"/>
            </w:tcBorders>
          </w:tcPr>
          <w:p>
            <w:pPr>
              <w:jc w:val="center"/>
              <w:spacing w:after="0" w:line="199" w:lineRule="exact"/>
              <w:rPr>
                <w:sz w:val="20"/>
                <w:szCs w:val="20"/>
                <w:color w:val="auto"/>
              </w:rPr>
            </w:pPr>
            <w:r>
              <w:rPr>
                <w:rFonts w:ascii="Arial" w:cs="Arial" w:eastAsia="Arial" w:hAnsi="Arial"/>
                <w:sz w:val="18"/>
                <w:szCs w:val="18"/>
                <w:color w:val="auto"/>
                <w:w w:val="99"/>
              </w:rPr>
              <w:t>—</w:t>
            </w:r>
          </w:p>
        </w:tc>
        <w:tc>
          <w:tcPr>
            <w:tcW w:w="1100" w:type="dxa"/>
            <w:vAlign w:val="bottom"/>
          </w:tcPr>
          <w:p>
            <w:pPr>
              <w:jc w:val="center"/>
              <w:spacing w:after="0" w:line="199" w:lineRule="exact"/>
              <w:rPr>
                <w:sz w:val="20"/>
                <w:szCs w:val="20"/>
                <w:color w:val="auto"/>
              </w:rPr>
            </w:pPr>
            <w:r>
              <w:rPr>
                <w:rFonts w:ascii="Arial" w:cs="Arial" w:eastAsia="Arial" w:hAnsi="Arial"/>
                <w:sz w:val="18"/>
                <w:szCs w:val="18"/>
                <w:color w:val="auto"/>
                <w:w w:val="94"/>
              </w:rPr>
              <w:t>—(4)</w:t>
            </w:r>
          </w:p>
        </w:tc>
        <w:tc>
          <w:tcPr>
            <w:tcW w:w="20" w:type="dxa"/>
            <w:vAlign w:val="bottom"/>
          </w:tcPr>
          <w:p>
            <w:pPr>
              <w:spacing w:after="0"/>
              <w:rPr>
                <w:sz w:val="17"/>
                <w:szCs w:val="17"/>
                <w:color w:val="auto"/>
              </w:rPr>
            </w:pPr>
          </w:p>
        </w:tc>
      </w:tr>
      <w:tr>
        <w:trPr>
          <w:trHeight w:val="267"/>
        </w:trPr>
        <w:tc>
          <w:tcPr>
            <w:tcW w:w="6100" w:type="dxa"/>
            <w:vAlign w:val="bottom"/>
            <w:tcBorders>
              <w:bottom w:val="single" w:sz="8" w:color="231F20"/>
              <w:right w:val="single" w:sz="8" w:color="231F20"/>
            </w:tcBorders>
          </w:tcPr>
          <w:p>
            <w:pPr>
              <w:spacing w:after="0" w:line="267" w:lineRule="exact"/>
              <w:rPr>
                <w:sz w:val="20"/>
                <w:szCs w:val="20"/>
                <w:color w:val="auto"/>
              </w:rPr>
            </w:pPr>
            <w:r>
              <w:rPr>
                <w:rFonts w:ascii="Arial" w:cs="Arial" w:eastAsia="Arial" w:hAnsi="Arial"/>
                <w:sz w:val="18"/>
                <w:szCs w:val="18"/>
                <w:color w:val="231F20"/>
              </w:rPr>
              <w:t>the units</w:t>
            </w:r>
            <w:r>
              <w:rPr>
                <w:rFonts w:ascii="Arial" w:cs="Arial" w:eastAsia="Arial" w:hAnsi="Arial"/>
                <w:sz w:val="29"/>
                <w:szCs w:val="29"/>
                <w:color w:val="231F20"/>
                <w:vertAlign w:val="superscript"/>
              </w:rPr>
              <w:t>(3)</w:t>
            </w:r>
          </w:p>
        </w:tc>
        <w:tc>
          <w:tcPr>
            <w:tcW w:w="1020" w:type="dxa"/>
            <w:vAlign w:val="bottom"/>
            <w:tcBorders>
              <w:bottom w:val="single" w:sz="8" w:color="231F20"/>
              <w:right w:val="single" w:sz="8" w:color="231F20"/>
            </w:tcBorders>
          </w:tcPr>
          <w:p>
            <w:pPr>
              <w:spacing w:after="0"/>
              <w:rPr>
                <w:sz w:val="23"/>
                <w:szCs w:val="23"/>
                <w:color w:val="auto"/>
              </w:rPr>
            </w:pPr>
          </w:p>
        </w:tc>
        <w:tc>
          <w:tcPr>
            <w:tcW w:w="1560" w:type="dxa"/>
            <w:vAlign w:val="bottom"/>
            <w:tcBorders>
              <w:bottom w:val="single" w:sz="8" w:color="231F20"/>
              <w:right w:val="single" w:sz="8" w:color="231F20"/>
            </w:tcBorders>
          </w:tcPr>
          <w:p>
            <w:pPr>
              <w:spacing w:after="0"/>
              <w:rPr>
                <w:sz w:val="23"/>
                <w:szCs w:val="23"/>
                <w:color w:val="auto"/>
              </w:rPr>
            </w:pPr>
          </w:p>
        </w:tc>
        <w:tc>
          <w:tcPr>
            <w:tcW w:w="1460" w:type="dxa"/>
            <w:vAlign w:val="bottom"/>
            <w:tcBorders>
              <w:bottom w:val="single" w:sz="8" w:color="231F20"/>
              <w:right w:val="single" w:sz="8" w:color="231F20"/>
            </w:tcBorders>
          </w:tcPr>
          <w:p>
            <w:pPr>
              <w:spacing w:after="0"/>
              <w:rPr>
                <w:sz w:val="23"/>
                <w:szCs w:val="23"/>
                <w:color w:val="auto"/>
              </w:rPr>
            </w:pPr>
          </w:p>
        </w:tc>
        <w:tc>
          <w:tcPr>
            <w:tcW w:w="1100" w:type="dxa"/>
            <w:vAlign w:val="bottom"/>
            <w:tcBorders>
              <w:bottom w:val="single" w:sz="8" w:color="231F20"/>
            </w:tcBorders>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6100" w:type="dxa"/>
            <w:vAlign w:val="bottom"/>
            <w:tcBorders>
              <w:left w:val="single" w:sz="8" w:color="CCEEFF"/>
              <w:bottom w:val="single" w:sz="8" w:color="231F20"/>
              <w:right w:val="single" w:sz="8" w:color="231F20"/>
            </w:tcBorders>
            <w:shd w:val="clear" w:color="auto" w:fill="CCEEFF"/>
          </w:tcPr>
          <w:p>
            <w:pPr>
              <w:spacing w:after="0" w:line="250" w:lineRule="exact"/>
              <w:rPr>
                <w:sz w:val="20"/>
                <w:szCs w:val="20"/>
                <w:color w:val="auto"/>
              </w:rPr>
            </w:pPr>
            <w:r>
              <w:rPr>
                <w:rFonts w:ascii="Arial" w:cs="Arial" w:eastAsia="Arial" w:hAnsi="Arial"/>
                <w:sz w:val="17"/>
                <w:szCs w:val="17"/>
                <w:color w:val="231F20"/>
              </w:rPr>
              <w:t>Redeemable warrants included as part of the units</w:t>
            </w:r>
            <w:r>
              <w:rPr>
                <w:rFonts w:ascii="Arial" w:cs="Arial" w:eastAsia="Arial" w:hAnsi="Arial"/>
                <w:sz w:val="28"/>
                <w:szCs w:val="28"/>
                <w:color w:val="231F20"/>
                <w:vertAlign w:val="superscript"/>
              </w:rPr>
              <w:t>(3)</w:t>
            </w:r>
          </w:p>
        </w:tc>
        <w:tc>
          <w:tcPr>
            <w:tcW w:w="1020" w:type="dxa"/>
            <w:vAlign w:val="bottom"/>
            <w:tcBorders>
              <w:bottom w:val="single" w:sz="8" w:color="231F20"/>
              <w:right w:val="single" w:sz="8" w:color="231F20"/>
            </w:tcBorders>
            <w:shd w:val="clear" w:color="auto" w:fill="CCEEFF"/>
          </w:tcPr>
          <w:p>
            <w:pPr>
              <w:jc w:val="center"/>
              <w:spacing w:after="0"/>
              <w:rPr>
                <w:sz w:val="20"/>
                <w:szCs w:val="20"/>
                <w:color w:val="auto"/>
              </w:rPr>
            </w:pPr>
            <w:r>
              <w:rPr>
                <w:rFonts w:ascii="Arial" w:cs="Arial" w:eastAsia="Arial" w:hAnsi="Arial"/>
                <w:sz w:val="18"/>
                <w:szCs w:val="18"/>
                <w:color w:val="231F20"/>
                <w:w w:val="89"/>
              </w:rPr>
              <w:t>862,500</w:t>
            </w:r>
          </w:p>
        </w:tc>
        <w:tc>
          <w:tcPr>
            <w:tcW w:w="1560" w:type="dxa"/>
            <w:vAlign w:val="bottom"/>
            <w:tcBorders>
              <w:bottom w:val="single" w:sz="8" w:color="231F20"/>
              <w:right w:val="single" w:sz="8" w:color="231F20"/>
            </w:tcBorders>
            <w:shd w:val="clear" w:color="auto" w:fill="CCEEFF"/>
          </w:tcPr>
          <w:p>
            <w:pPr>
              <w:jc w:val="center"/>
              <w:spacing w:after="0"/>
              <w:rPr>
                <w:sz w:val="20"/>
                <w:szCs w:val="20"/>
                <w:color w:val="auto"/>
              </w:rPr>
            </w:pPr>
            <w:r>
              <w:rPr>
                <w:rFonts w:ascii="Arial" w:cs="Arial" w:eastAsia="Arial" w:hAnsi="Arial"/>
                <w:sz w:val="18"/>
                <w:szCs w:val="18"/>
                <w:color w:val="231F20"/>
                <w:w w:val="99"/>
              </w:rPr>
              <w:t>—</w:t>
            </w:r>
          </w:p>
        </w:tc>
        <w:tc>
          <w:tcPr>
            <w:tcW w:w="1460" w:type="dxa"/>
            <w:vAlign w:val="bottom"/>
            <w:tcBorders>
              <w:bottom w:val="single" w:sz="8" w:color="231F20"/>
              <w:right w:val="single" w:sz="8" w:color="231F20"/>
            </w:tcBorders>
            <w:shd w:val="clear" w:color="auto" w:fill="CCEEFF"/>
          </w:tcPr>
          <w:p>
            <w:pPr>
              <w:jc w:val="center"/>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231F20"/>
            </w:tcBorders>
            <w:shd w:val="clear" w:color="auto" w:fill="CCEEFF"/>
          </w:tcPr>
          <w:p>
            <w:pPr>
              <w:jc w:val="center"/>
              <w:spacing w:after="0"/>
              <w:rPr>
                <w:sz w:val="20"/>
                <w:szCs w:val="20"/>
                <w:color w:val="auto"/>
              </w:rPr>
            </w:pPr>
            <w:r>
              <w:rPr>
                <w:rFonts w:ascii="Arial" w:cs="Arial" w:eastAsia="Arial" w:hAnsi="Arial"/>
                <w:sz w:val="18"/>
                <w:szCs w:val="18"/>
                <w:color w:val="231F20"/>
                <w:w w:val="94"/>
              </w:rPr>
              <w:t>—(4)</w:t>
            </w:r>
          </w:p>
        </w:tc>
        <w:tc>
          <w:tcPr>
            <w:tcW w:w="20" w:type="dxa"/>
            <w:vAlign w:val="bottom"/>
          </w:tcPr>
          <w:p>
            <w:pPr>
              <w:spacing w:after="0"/>
              <w:rPr>
                <w:sz w:val="21"/>
                <w:szCs w:val="21"/>
                <w:color w:val="auto"/>
              </w:rPr>
            </w:pPr>
          </w:p>
        </w:tc>
      </w:tr>
      <w:tr>
        <w:trPr>
          <w:trHeight w:val="196"/>
        </w:trPr>
        <w:tc>
          <w:tcPr>
            <w:tcW w:w="6100" w:type="dxa"/>
            <w:vAlign w:val="bottom"/>
            <w:tcBorders>
              <w:right w:val="single" w:sz="8" w:color="231F20"/>
            </w:tcBorders>
          </w:tcPr>
          <w:p>
            <w:pPr>
              <w:spacing w:after="0" w:line="196" w:lineRule="exact"/>
              <w:rPr>
                <w:sz w:val="20"/>
                <w:szCs w:val="20"/>
                <w:color w:val="auto"/>
              </w:rPr>
            </w:pPr>
            <w:r>
              <w:rPr>
                <w:rFonts w:ascii="Arial" w:cs="Arial" w:eastAsia="Arial" w:hAnsi="Arial"/>
                <w:sz w:val="18"/>
                <w:szCs w:val="18"/>
                <w:color w:val="231F20"/>
              </w:rPr>
              <w:t>Shares of common stock underlying the redeemable warrants included</w:t>
            </w:r>
          </w:p>
        </w:tc>
        <w:tc>
          <w:tcPr>
            <w:tcW w:w="1020" w:type="dxa"/>
            <w:vAlign w:val="bottom"/>
            <w:tcBorders>
              <w:right w:val="single" w:sz="8" w:color="231F20"/>
            </w:tcBorders>
          </w:tcPr>
          <w:p>
            <w:pPr>
              <w:jc w:val="center"/>
              <w:spacing w:after="0" w:line="196" w:lineRule="exact"/>
              <w:rPr>
                <w:sz w:val="20"/>
                <w:szCs w:val="20"/>
                <w:color w:val="auto"/>
              </w:rPr>
            </w:pPr>
            <w:r>
              <w:rPr>
                <w:rFonts w:ascii="Arial" w:cs="Arial" w:eastAsia="Arial" w:hAnsi="Arial"/>
                <w:sz w:val="18"/>
                <w:szCs w:val="18"/>
                <w:color w:val="auto"/>
                <w:w w:val="92"/>
              </w:rPr>
              <w:t>862,500</w:t>
            </w:r>
          </w:p>
        </w:tc>
        <w:tc>
          <w:tcPr>
            <w:tcW w:w="1560" w:type="dxa"/>
            <w:vAlign w:val="bottom"/>
            <w:tcBorders>
              <w:right w:val="single" w:sz="8" w:color="231F20"/>
            </w:tcBorders>
          </w:tcPr>
          <w:p>
            <w:pPr>
              <w:jc w:val="center"/>
              <w:spacing w:after="0" w:line="196" w:lineRule="exact"/>
              <w:rPr>
                <w:sz w:val="20"/>
                <w:szCs w:val="20"/>
                <w:color w:val="auto"/>
              </w:rPr>
            </w:pPr>
            <w:r>
              <w:rPr>
                <w:rFonts w:ascii="Arial" w:cs="Arial" w:eastAsia="Arial" w:hAnsi="Arial"/>
                <w:sz w:val="18"/>
                <w:szCs w:val="18"/>
                <w:color w:val="auto"/>
                <w:w w:val="88"/>
              </w:rPr>
              <w:t>11.50</w:t>
            </w:r>
          </w:p>
        </w:tc>
        <w:tc>
          <w:tcPr>
            <w:tcW w:w="1460" w:type="dxa"/>
            <w:vAlign w:val="bottom"/>
            <w:tcBorders>
              <w:right w:val="single" w:sz="8" w:color="231F20"/>
            </w:tcBorders>
          </w:tcPr>
          <w:p>
            <w:pPr>
              <w:jc w:val="center"/>
              <w:spacing w:after="0" w:line="196" w:lineRule="exact"/>
              <w:rPr>
                <w:sz w:val="20"/>
                <w:szCs w:val="20"/>
                <w:color w:val="auto"/>
              </w:rPr>
            </w:pPr>
            <w:r>
              <w:rPr>
                <w:rFonts w:ascii="Arial" w:cs="Arial" w:eastAsia="Arial" w:hAnsi="Arial"/>
                <w:sz w:val="18"/>
                <w:szCs w:val="18"/>
                <w:color w:val="auto"/>
                <w:w w:val="89"/>
              </w:rPr>
              <w:t>9,918,750</w:t>
            </w:r>
          </w:p>
        </w:tc>
        <w:tc>
          <w:tcPr>
            <w:tcW w:w="1100" w:type="dxa"/>
            <w:vAlign w:val="bottom"/>
          </w:tcPr>
          <w:p>
            <w:pPr>
              <w:jc w:val="center"/>
              <w:spacing w:after="0" w:line="195" w:lineRule="exact"/>
              <w:rPr>
                <w:sz w:val="20"/>
                <w:szCs w:val="20"/>
                <w:color w:val="auto"/>
              </w:rPr>
            </w:pPr>
            <w:r>
              <w:rPr>
                <w:rFonts w:ascii="Arial" w:cs="Arial" w:eastAsia="Arial" w:hAnsi="Arial"/>
                <w:sz w:val="14"/>
                <w:szCs w:val="14"/>
                <w:color w:val="auto"/>
              </w:rPr>
              <w:t>1,082.14</w:t>
            </w:r>
            <w:r>
              <w:rPr>
                <w:rFonts w:ascii="Arial" w:cs="Arial" w:eastAsia="Arial" w:hAnsi="Arial"/>
                <w:sz w:val="22"/>
                <w:szCs w:val="22"/>
                <w:color w:val="auto"/>
                <w:vertAlign w:val="superscript"/>
              </w:rPr>
              <w:t>(5)</w:t>
            </w:r>
          </w:p>
        </w:tc>
        <w:tc>
          <w:tcPr>
            <w:tcW w:w="20" w:type="dxa"/>
            <w:vAlign w:val="bottom"/>
          </w:tcPr>
          <w:p>
            <w:pPr>
              <w:spacing w:after="0"/>
              <w:rPr>
                <w:sz w:val="17"/>
                <w:szCs w:val="17"/>
                <w:color w:val="auto"/>
              </w:rPr>
            </w:pPr>
          </w:p>
        </w:tc>
      </w:tr>
      <w:tr>
        <w:trPr>
          <w:trHeight w:val="229"/>
        </w:trPr>
        <w:tc>
          <w:tcPr>
            <w:tcW w:w="610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18"/>
                <w:szCs w:val="18"/>
                <w:color w:val="231F20"/>
              </w:rPr>
              <w:t>as part of the units</w:t>
            </w:r>
          </w:p>
        </w:tc>
        <w:tc>
          <w:tcPr>
            <w:tcW w:w="1020" w:type="dxa"/>
            <w:vAlign w:val="bottom"/>
            <w:tcBorders>
              <w:bottom w:val="single" w:sz="8" w:color="231F20"/>
              <w:right w:val="single" w:sz="8" w:color="231F20"/>
            </w:tcBorders>
          </w:tcPr>
          <w:p>
            <w:pPr>
              <w:spacing w:after="0"/>
              <w:rPr>
                <w:sz w:val="19"/>
                <w:szCs w:val="19"/>
                <w:color w:val="auto"/>
              </w:rPr>
            </w:pPr>
          </w:p>
        </w:tc>
        <w:tc>
          <w:tcPr>
            <w:tcW w:w="1560" w:type="dxa"/>
            <w:vAlign w:val="bottom"/>
            <w:tcBorders>
              <w:bottom w:val="single" w:sz="8" w:color="231F20"/>
              <w:right w:val="single" w:sz="8" w:color="231F20"/>
            </w:tcBorders>
          </w:tcPr>
          <w:p>
            <w:pPr>
              <w:spacing w:after="0"/>
              <w:rPr>
                <w:sz w:val="19"/>
                <w:szCs w:val="19"/>
                <w:color w:val="auto"/>
              </w:rPr>
            </w:pPr>
          </w:p>
        </w:tc>
        <w:tc>
          <w:tcPr>
            <w:tcW w:w="1460" w:type="dxa"/>
            <w:vAlign w:val="bottom"/>
            <w:tcBorders>
              <w:bottom w:val="single" w:sz="8" w:color="231F20"/>
              <w:right w:val="single" w:sz="8" w:color="231F20"/>
            </w:tcBorders>
          </w:tcPr>
          <w:p>
            <w:pPr>
              <w:spacing w:after="0"/>
              <w:rPr>
                <w:sz w:val="19"/>
                <w:szCs w:val="19"/>
                <w:color w:val="auto"/>
              </w:rPr>
            </w:pPr>
          </w:p>
        </w:tc>
        <w:tc>
          <w:tcPr>
            <w:tcW w:w="110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r>
      <w:tr>
        <w:trPr>
          <w:trHeight w:val="250"/>
        </w:trPr>
        <w:tc>
          <w:tcPr>
            <w:tcW w:w="6100" w:type="dxa"/>
            <w:vAlign w:val="bottom"/>
            <w:tcBorders>
              <w:left w:val="single" w:sz="8" w:color="231F20"/>
              <w:bottom w:val="single" w:sz="8" w:color="231F20"/>
              <w:right w:val="single" w:sz="8" w:color="231F20"/>
            </w:tcBorders>
            <w:shd w:val="clear" w:color="auto" w:fill="CCEEFF"/>
          </w:tcPr>
          <w:p>
            <w:pPr>
              <w:ind w:left="340"/>
              <w:spacing w:after="0"/>
              <w:rPr>
                <w:sz w:val="20"/>
                <w:szCs w:val="20"/>
                <w:color w:val="auto"/>
              </w:rPr>
            </w:pPr>
            <w:r>
              <w:rPr>
                <w:rFonts w:ascii="Arial" w:cs="Arial" w:eastAsia="Arial" w:hAnsi="Arial"/>
                <w:sz w:val="18"/>
                <w:szCs w:val="18"/>
                <w:color w:val="231F20"/>
              </w:rPr>
              <w:t>Total</w:t>
            </w:r>
          </w:p>
        </w:tc>
        <w:tc>
          <w:tcPr>
            <w:tcW w:w="1020" w:type="dxa"/>
            <w:vAlign w:val="bottom"/>
            <w:tcBorders>
              <w:bottom w:val="single" w:sz="8" w:color="231F20"/>
              <w:right w:val="single" w:sz="8" w:color="231F20"/>
            </w:tcBorders>
            <w:shd w:val="clear" w:color="auto" w:fill="CCEEFF"/>
          </w:tcPr>
          <w:p>
            <w:pPr>
              <w:spacing w:after="0"/>
              <w:rPr>
                <w:sz w:val="21"/>
                <w:szCs w:val="21"/>
                <w:color w:val="auto"/>
              </w:rPr>
            </w:pPr>
          </w:p>
        </w:tc>
        <w:tc>
          <w:tcPr>
            <w:tcW w:w="1560" w:type="dxa"/>
            <w:vAlign w:val="bottom"/>
            <w:tcBorders>
              <w:bottom w:val="single" w:sz="8" w:color="231F20"/>
              <w:right w:val="single" w:sz="8" w:color="231F20"/>
            </w:tcBorders>
            <w:shd w:val="clear" w:color="auto" w:fill="CCEEFF"/>
          </w:tcPr>
          <w:p>
            <w:pPr>
              <w:spacing w:after="0"/>
              <w:rPr>
                <w:sz w:val="21"/>
                <w:szCs w:val="21"/>
                <w:color w:val="auto"/>
              </w:rPr>
            </w:pPr>
          </w:p>
        </w:tc>
        <w:tc>
          <w:tcPr>
            <w:tcW w:w="1460" w:type="dxa"/>
            <w:vAlign w:val="bottom"/>
            <w:tcBorders>
              <w:bottom w:val="single" w:sz="8" w:color="231F20"/>
              <w:right w:val="single" w:sz="8" w:color="231F20"/>
            </w:tcBorders>
            <w:shd w:val="clear" w:color="auto" w:fill="CCEEFF"/>
          </w:tcPr>
          <w:p>
            <w:pPr>
              <w:jc w:val="center"/>
              <w:spacing w:after="0"/>
              <w:rPr>
                <w:sz w:val="20"/>
                <w:szCs w:val="20"/>
                <w:color w:val="auto"/>
              </w:rPr>
            </w:pPr>
            <w:r>
              <w:rPr>
                <w:rFonts w:ascii="Arial" w:cs="Arial" w:eastAsia="Arial" w:hAnsi="Arial"/>
                <w:sz w:val="18"/>
                <w:szCs w:val="18"/>
                <w:color w:val="231F20"/>
                <w:w w:val="89"/>
              </w:rPr>
              <w:t>$21,418,750.00</w:t>
            </w:r>
          </w:p>
        </w:tc>
        <w:tc>
          <w:tcPr>
            <w:tcW w:w="1100" w:type="dxa"/>
            <w:vAlign w:val="bottom"/>
            <w:tcBorders>
              <w:bottom w:val="single" w:sz="8" w:color="231F20"/>
            </w:tcBorders>
            <w:shd w:val="clear" w:color="auto" w:fill="CCEEFF"/>
          </w:tcPr>
          <w:p>
            <w:pPr>
              <w:jc w:val="center"/>
              <w:spacing w:after="0" w:line="250" w:lineRule="exact"/>
              <w:rPr>
                <w:sz w:val="20"/>
                <w:szCs w:val="20"/>
                <w:color w:val="auto"/>
              </w:rPr>
            </w:pPr>
            <w:r>
              <w:rPr>
                <w:rFonts w:ascii="Arial" w:cs="Arial" w:eastAsia="Arial" w:hAnsi="Arial"/>
                <w:sz w:val="17"/>
                <w:szCs w:val="17"/>
                <w:color w:val="231F20"/>
                <w:w w:val="99"/>
              </w:rPr>
              <w:t>$2,336.79</w:t>
            </w:r>
            <w:r>
              <w:rPr>
                <w:rFonts w:ascii="Arial" w:cs="Arial" w:eastAsia="Arial" w:hAnsi="Arial"/>
                <w:sz w:val="28"/>
                <w:szCs w:val="28"/>
                <w:color w:val="231F20"/>
                <w:w w:val="99"/>
                <w:vertAlign w:val="superscript"/>
              </w:rPr>
              <w:t>(6)</w:t>
            </w:r>
          </w:p>
        </w:tc>
        <w:tc>
          <w:tcPr>
            <w:tcW w:w="20" w:type="dxa"/>
            <w:vAlign w:val="bottom"/>
            <w:tcBorders>
              <w:bottom w:val="single" w:sz="8" w:color="231F20"/>
            </w:tcBorders>
            <w:shd w:val="clear" w:color="auto" w:fill="231F20"/>
          </w:tcPr>
          <w:p>
            <w:pPr>
              <w:spacing w:after="0"/>
              <w:rPr>
                <w:sz w:val="21"/>
                <w:szCs w:val="21"/>
                <w:color w:val="auto"/>
              </w:rPr>
            </w:pPr>
          </w:p>
        </w:tc>
      </w:tr>
    </w:tbl>
    <w:p>
      <w:pPr>
        <w:spacing w:after="0" w:line="22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231F20"/>
        </w:rPr>
      </w:pPr>
      <w:r>
        <w:rPr>
          <w:rFonts w:ascii="Arial" w:cs="Arial" w:eastAsia="Arial" w:hAnsi="Arial"/>
          <w:sz w:val="18"/>
          <w:szCs w:val="18"/>
          <w:color w:val="231F20"/>
        </w:rPr>
        <w:t>Estimated solely for the purpose of calculating the registration fee.</w:t>
      </w:r>
    </w:p>
    <w:p>
      <w:pPr>
        <w:spacing w:after="0" w:line="23" w:lineRule="exact"/>
        <w:rPr>
          <w:rFonts w:ascii="Arial" w:cs="Arial" w:eastAsia="Arial" w:hAnsi="Arial"/>
          <w:sz w:val="18"/>
          <w:szCs w:val="18"/>
          <w:color w:val="231F20"/>
        </w:rPr>
      </w:pPr>
    </w:p>
    <w:p>
      <w:pPr>
        <w:ind w:left="340" w:right="20" w:hanging="332"/>
        <w:spacing w:after="0" w:line="250" w:lineRule="auto"/>
        <w:tabs>
          <w:tab w:leader="none" w:pos="340" w:val="left"/>
        </w:tabs>
        <w:numPr>
          <w:ilvl w:val="0"/>
          <w:numId w:val="1"/>
        </w:numPr>
        <w:rPr>
          <w:rFonts w:ascii="Arial" w:cs="Arial" w:eastAsia="Arial" w:hAnsi="Arial"/>
          <w:sz w:val="18"/>
          <w:szCs w:val="18"/>
          <w:color w:val="231F20"/>
        </w:rPr>
      </w:pPr>
      <w:r>
        <w:rPr>
          <w:rFonts w:ascii="Arial" w:cs="Arial" w:eastAsia="Arial" w:hAnsi="Arial"/>
          <w:sz w:val="18"/>
          <w:szCs w:val="18"/>
          <w:color w:val="231F20"/>
        </w:rPr>
        <w:t>Represents only the additional number of securities being registered. Does not include the securities that the Registrant previously registered on the Registration Statement on Form S-1 (File No. 333-254010).</w:t>
      </w:r>
    </w:p>
    <w:p>
      <w:pPr>
        <w:ind w:left="340" w:right="20" w:hanging="332"/>
        <w:spacing w:after="0" w:line="250" w:lineRule="auto"/>
        <w:tabs>
          <w:tab w:leader="none" w:pos="340" w:val="left"/>
        </w:tabs>
        <w:numPr>
          <w:ilvl w:val="0"/>
          <w:numId w:val="1"/>
        </w:numPr>
        <w:rPr>
          <w:rFonts w:ascii="Arial" w:cs="Arial" w:eastAsia="Arial" w:hAnsi="Arial"/>
          <w:sz w:val="18"/>
          <w:szCs w:val="18"/>
          <w:color w:val="231F20"/>
        </w:rPr>
      </w:pPr>
      <w:r>
        <w:rPr>
          <w:rFonts w:ascii="Arial" w:cs="Arial" w:eastAsia="Arial" w:hAnsi="Arial"/>
          <w:sz w:val="18"/>
          <w:szCs w:val="18"/>
          <w:color w:val="231F20"/>
        </w:rPr>
        <w:t>Pursuant to Rule 416 under the Securities Act, there are also being registered an indeterminable number of additional securities as may be issued to prevent dilution resulting from share sub-divisions, share dividends or similar transactions.</w:t>
      </w:r>
    </w:p>
    <w:p>
      <w:pPr>
        <w:ind w:left="340" w:hanging="332"/>
        <w:spacing w:after="0"/>
        <w:tabs>
          <w:tab w:leader="none" w:pos="340" w:val="left"/>
        </w:tabs>
        <w:numPr>
          <w:ilvl w:val="0"/>
          <w:numId w:val="1"/>
        </w:numPr>
        <w:rPr>
          <w:rFonts w:ascii="Arial" w:cs="Arial" w:eastAsia="Arial" w:hAnsi="Arial"/>
          <w:sz w:val="18"/>
          <w:szCs w:val="18"/>
          <w:color w:val="231F20"/>
        </w:rPr>
      </w:pPr>
      <w:r>
        <w:rPr>
          <w:rFonts w:ascii="Arial" w:cs="Arial" w:eastAsia="Arial" w:hAnsi="Arial"/>
          <w:sz w:val="18"/>
          <w:szCs w:val="18"/>
          <w:color w:val="231F20"/>
        </w:rPr>
        <w:t>No fee pursuant to Rule 457(g) under the Securities Act.</w:t>
      </w:r>
    </w:p>
    <w:p>
      <w:pPr>
        <w:spacing w:after="0" w:line="9" w:lineRule="exact"/>
        <w:rPr>
          <w:rFonts w:ascii="Arial" w:cs="Arial" w:eastAsia="Arial" w:hAnsi="Arial"/>
          <w:sz w:val="18"/>
          <w:szCs w:val="18"/>
          <w:color w:val="231F20"/>
        </w:rPr>
      </w:pPr>
    </w:p>
    <w:p>
      <w:pPr>
        <w:ind w:left="340" w:hanging="332"/>
        <w:spacing w:after="0"/>
        <w:tabs>
          <w:tab w:leader="none" w:pos="340" w:val="left"/>
        </w:tabs>
        <w:numPr>
          <w:ilvl w:val="0"/>
          <w:numId w:val="1"/>
        </w:numPr>
        <w:rPr>
          <w:rFonts w:ascii="Arial" w:cs="Arial" w:eastAsia="Arial" w:hAnsi="Arial"/>
          <w:sz w:val="18"/>
          <w:szCs w:val="18"/>
          <w:color w:val="231F20"/>
        </w:rPr>
      </w:pPr>
      <w:r>
        <w:rPr>
          <w:rFonts w:ascii="Arial" w:cs="Arial" w:eastAsia="Arial" w:hAnsi="Arial"/>
          <w:sz w:val="18"/>
          <w:szCs w:val="18"/>
          <w:color w:val="231F20"/>
        </w:rPr>
        <w:t>Calculated pursuant to Rule 457(g), based on the exercise price of the warrants.</w:t>
      </w:r>
    </w:p>
    <w:p>
      <w:pPr>
        <w:spacing w:after="0" w:line="9" w:lineRule="exact"/>
        <w:rPr>
          <w:rFonts w:ascii="Arial" w:cs="Arial" w:eastAsia="Arial" w:hAnsi="Arial"/>
          <w:sz w:val="18"/>
          <w:szCs w:val="18"/>
          <w:color w:val="231F20"/>
        </w:rPr>
      </w:pPr>
    </w:p>
    <w:p>
      <w:pPr>
        <w:jc w:val="both"/>
        <w:ind w:left="340" w:right="20" w:hanging="332"/>
        <w:spacing w:after="0" w:line="295" w:lineRule="auto"/>
        <w:tabs>
          <w:tab w:leader="none" w:pos="340" w:val="left"/>
        </w:tabs>
        <w:numPr>
          <w:ilvl w:val="0"/>
          <w:numId w:val="1"/>
        </w:numPr>
        <w:rPr>
          <w:rFonts w:ascii="Arial" w:cs="Arial" w:eastAsia="Arial" w:hAnsi="Arial"/>
          <w:sz w:val="16"/>
          <w:szCs w:val="16"/>
          <w:color w:val="231F20"/>
        </w:rPr>
      </w:pPr>
      <w:r>
        <w:rPr>
          <w:rFonts w:ascii="Arial" w:cs="Arial" w:eastAsia="Arial" w:hAnsi="Arial"/>
          <w:sz w:val="16"/>
          <w:szCs w:val="16"/>
          <w:color w:val="231F20"/>
        </w:rPr>
        <w:t>The Registrant previously registered securities having a proposed maximum aggregate offering price of $115,000,000 on its Registration Statement on Form S-1, as amended (File No. 333-254010), which was declared effective by the Securities and Exchange Commission on August 10, 2021. In accordance with Rule 462(b) under the Securities Act, an additional number of securities having a proposed maximum offering price of $11,500,000 is hereby registered, which includes securities issuable upon the exercise of the underwriters’ over-allotment option.</w:t>
      </w:r>
    </w:p>
    <w:p>
      <w:pPr>
        <w:spacing w:after="0" w:line="157"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The Registration Statement shall become effective upon filing with the Securities and Exchange Commission in accordance with Rule 462(b)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This Registration Statement on Form S-1 is being filed by Chardan NexTech Acquisition 2 Corp., a Delaware corporation (the “Registrant”), pursuant to Rule 462(b) under the Securities Act of 1933, as amended, and General Instruction V to Form S-1. This Registration Statement relates to the Registrant’s Registration Statement on Form S-1, as amended (File No. 333-254010) (the “Prior Registration Statement”), initially filed by the Registrant on March 8, 2021 and declared effective by the Securities and Exchange Commission on August 10, 2021. This Registration Statement covers the registration of an additional 1,150,000 of the Registrant’s units, each consisting of one share of common stock, $0.001 par value per share, and three-quarters of one warrant, each whole warrant entitling the holder thereof to purchase one share of common stock. The required opinion of counsel and related consent and accountant’s consent are attached hereto and filed herewith. Pursuant to Rule 462(b), the contents of the Prior Registration Statement, including the exhibits thereto, are incorporated by reference into this Registration Statement.</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Registrant hereby certifies to the Securities and Exchange Commission (the “Commission”) that (1) it has instructed its bank to pay the filing fee set forth on the cover page of this Registration Statement by a wire transfer of such amount to the Commission’s account at U.S. Bank as soon as practicable (but no later than the close of business as of August 11, 2021), (2) it will not revoke such instructions, (3) it has sufficient funds in the relevant account to cover the amount of such filing fee and (4) it will confirm receipt of such instructions by its bank during regular business hours no later than August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231F20"/>
        </w:rPr>
        <w:t>PART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INFORMATION NOT REQUIRED IN PROSPECTUS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16. 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 xml:space="preserve">(a)  </w:t>
      </w:r>
      <w:r>
        <w:rPr>
          <w:rFonts w:ascii="Arial" w:cs="Arial" w:eastAsia="Arial" w:hAnsi="Arial"/>
          <w:sz w:val="18"/>
          <w:szCs w:val="18"/>
          <w:i w:val="1"/>
          <w:iCs w:val="1"/>
          <w:color w:val="231F20"/>
        </w:rPr>
        <w:t>Exhibits.</w:t>
      </w:r>
      <w:r>
        <w:rPr>
          <w:rFonts w:ascii="Arial" w:cs="Arial" w:eastAsia="Arial" w:hAnsi="Arial"/>
          <w:sz w:val="18"/>
          <w:szCs w:val="18"/>
          <w:color w:val="231F20"/>
        </w:rPr>
        <w:t xml:space="preserve"> The following exhibits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60" w:type="dxa"/>
            <w:vAlign w:val="bottom"/>
            <w:gridSpan w:val="4"/>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4"/>
          </w:tcPr>
          <w:p>
            <w:pPr>
              <w:spacing w:after="0"/>
              <w:rPr>
                <w:sz w:val="20"/>
                <w:szCs w:val="20"/>
                <w:color w:val="auto"/>
              </w:rPr>
            </w:pPr>
            <w:r>
              <w:rPr>
                <w:rFonts w:ascii="Arial" w:cs="Arial" w:eastAsia="Arial" w:hAnsi="Arial"/>
                <w:sz w:val="18"/>
                <w:szCs w:val="18"/>
                <w:b w:val="1"/>
                <w:bCs w:val="1"/>
                <w:color w:val="231F20"/>
              </w:rPr>
              <w:t>Description</w:t>
            </w:r>
          </w:p>
        </w:tc>
      </w:tr>
      <w:tr>
        <w:trPr>
          <w:trHeight w:val="176"/>
        </w:trPr>
        <w:tc>
          <w:tcPr>
            <w:tcW w:w="32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tcBorders>
              <w:top w:val="single" w:sz="8" w:color="auto"/>
            </w:tcBorders>
            <w:gridSpan w:val="4"/>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Opinion of Reed Smith LLP.</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Consent of WithumSmith+Brown, PC.</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Consent of Reed Smith LLP. (included in Exhibit 5.1)</w:t>
              </w:r>
            </w:hyperlink>
          </w:p>
        </w:tc>
        <w:tc>
          <w:tcPr>
            <w:tcW w:w="6000" w:type="dxa"/>
            <w:vAlign w:val="bottom"/>
          </w:tcPr>
          <w:p>
            <w:pPr>
              <w:spacing w:after="0"/>
              <w:rPr>
                <w:sz w:val="17"/>
                <w:szCs w:val="17"/>
                <w:color w:val="auto"/>
              </w:rPr>
            </w:pPr>
          </w:p>
        </w:tc>
      </w:tr>
    </w:tbl>
    <w:p>
      <w:pPr>
        <w:spacing w:after="0" w:line="13" w:lineRule="exact"/>
        <w:rPr>
          <w:sz w:val="20"/>
          <w:szCs w:val="20"/>
          <w:color w:val="auto"/>
        </w:rPr>
      </w:pPr>
    </w:p>
    <w:p>
      <w:pPr>
        <w:ind w:left="1360" w:hanging="1352"/>
        <w:spacing w:after="0" w:line="277" w:lineRule="auto"/>
        <w:tabs>
          <w:tab w:leader="none" w:pos="1360" w:val="left"/>
        </w:tabs>
        <w:numPr>
          <w:ilvl w:val="0"/>
          <w:numId w:val="2"/>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Power of Attorney (included on the signature page to the Registrant’s Prior Registration Statement (File No. 333-254010) filed on March</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8, 2021).</w:t>
        </w:r>
      </w:hyperlink>
    </w:p>
    <w:p>
      <w:pPr>
        <w:spacing w:after="0" w:line="379" w:lineRule="exact"/>
        <w:rPr>
          <w:rFonts w:ascii="Arial" w:cs="Arial" w:eastAsia="Arial" w:hAnsi="Arial"/>
          <w:sz w:val="18"/>
          <w:szCs w:val="18"/>
          <w:u w:val="single" w:color="auto"/>
          <w:color w:val="0000EE"/>
        </w:rPr>
      </w:pPr>
    </w:p>
    <w:p>
      <w:pPr>
        <w:jc w:val="center"/>
        <w:ind w:right="40"/>
        <w:spacing w:after="0"/>
        <w:rPr>
          <w:sz w:val="20"/>
          <w:szCs w:val="20"/>
          <w:color w:val="auto"/>
        </w:rPr>
      </w:pPr>
      <w:r>
        <w:rPr>
          <w:rFonts w:ascii="Arial" w:cs="Arial" w:eastAsia="Arial" w:hAnsi="Arial"/>
          <w:sz w:val="22"/>
          <w:szCs w:val="22"/>
          <w:color w:val="auto"/>
        </w:rPr>
        <w:t>II-1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231F20"/>
        </w:rPr>
        <w:t>SIGNATURES</w:t>
      </w:r>
    </w:p>
    <w:p>
      <w:pPr>
        <w:spacing w:after="0" w:line="229"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231F20"/>
        </w:rPr>
        <w:t>Pursuant to the requirements of the Securities Act of 1933, as amended, the registrant has duly caused this registration statement to be signed on its behalf by the undersigned, thereunto duly authorized, in the City of New York, State of New York, on the 10</w:t>
      </w:r>
      <w:r>
        <w:rPr>
          <w:rFonts w:ascii="Arial" w:cs="Arial" w:eastAsia="Arial" w:hAnsi="Arial"/>
          <w:sz w:val="28"/>
          <w:szCs w:val="28"/>
          <w:color w:val="231F20"/>
          <w:vertAlign w:val="superscript"/>
        </w:rPr>
        <w:t>th</w:t>
      </w:r>
      <w:r>
        <w:rPr>
          <w:rFonts w:ascii="Arial" w:cs="Arial" w:eastAsia="Arial" w:hAnsi="Arial"/>
          <w:sz w:val="17"/>
          <w:szCs w:val="17"/>
          <w:color w:val="231F20"/>
        </w:rPr>
        <w:t xml:space="preserve"> of August, 2021.</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231F20"/>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Pr>
          <w:p>
            <w:pPr>
              <w:ind w:left="136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4720" w:type="dxa"/>
            <w:vAlign w:val="bottom"/>
            <w:gridSpan w:val="2"/>
          </w:tcPr>
          <w:p>
            <w:pPr>
              <w:ind w:left="1940"/>
              <w:spacing w:after="0"/>
              <w:rPr>
                <w:sz w:val="20"/>
                <w:szCs w:val="20"/>
                <w:color w:val="auto"/>
              </w:rPr>
            </w:pPr>
            <w:r>
              <w:rPr>
                <w:rFonts w:ascii="Arial" w:cs="Arial" w:eastAsia="Arial" w:hAnsi="Arial"/>
                <w:sz w:val="18"/>
                <w:szCs w:val="18"/>
                <w:b w:val="1"/>
                <w:bCs w:val="1"/>
                <w:color w:val="auto"/>
              </w:rPr>
              <w:t>Position</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3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Jonas Grossman</w:t>
            </w:r>
          </w:p>
        </w:tc>
        <w:tc>
          <w:tcPr>
            <w:tcW w:w="220" w:type="dxa"/>
            <w:vAlign w:val="bottom"/>
          </w:tcPr>
          <w:p>
            <w:pPr>
              <w:spacing w:after="0"/>
              <w:rPr>
                <w:sz w:val="18"/>
                <w:szCs w:val="18"/>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President, Secretary,</w:t>
            </w:r>
          </w:p>
        </w:tc>
        <w:tc>
          <w:tcPr>
            <w:tcW w:w="220" w:type="dxa"/>
            <w:vAlign w:val="bottom"/>
          </w:tcPr>
          <w:p>
            <w:pPr>
              <w:spacing w:after="0"/>
              <w:rPr>
                <w:sz w:val="18"/>
                <w:szCs w:val="18"/>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231F20"/>
                <w:w w:val="91"/>
              </w:rPr>
              <w:t>August 10, 2021</w:t>
            </w: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Jonas Grossman</w:t>
            </w:r>
          </w:p>
        </w:tc>
        <w:tc>
          <w:tcPr>
            <w:tcW w:w="2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Treasurer and Director (Principal executive officer)</w:t>
            </w:r>
          </w:p>
        </w:tc>
        <w:tc>
          <w:tcPr>
            <w:tcW w:w="3140" w:type="dxa"/>
            <w:vAlign w:val="bottom"/>
          </w:tcPr>
          <w:p>
            <w:pPr>
              <w:spacing w:after="0"/>
              <w:rPr>
                <w:sz w:val="19"/>
                <w:szCs w:val="19"/>
                <w:color w:val="auto"/>
              </w:rPr>
            </w:pPr>
          </w:p>
        </w:tc>
      </w:tr>
      <w:tr>
        <w:trPr>
          <w:trHeight w:val="418"/>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 Weil</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140" w:type="dxa"/>
            <w:vAlign w:val="bottom"/>
          </w:tcPr>
          <w:p>
            <w:pPr>
              <w:jc w:val="center"/>
              <w:spacing w:after="0"/>
              <w:rPr>
                <w:sz w:val="20"/>
                <w:szCs w:val="20"/>
                <w:color w:val="auto"/>
              </w:rPr>
            </w:pPr>
            <w:r>
              <w:rPr>
                <w:rFonts w:ascii="Arial" w:cs="Arial" w:eastAsia="Arial" w:hAnsi="Arial"/>
                <w:sz w:val="18"/>
                <w:szCs w:val="18"/>
                <w:color w:val="231F20"/>
                <w:w w:val="91"/>
              </w:rPr>
              <w:t>August 10, 2021</w:t>
            </w:r>
          </w:p>
        </w:tc>
      </w:tr>
      <w:tr>
        <w:trPr>
          <w:trHeight w:val="224"/>
        </w:trPr>
        <w:tc>
          <w:tcPr>
            <w:tcW w:w="3160" w:type="dxa"/>
            <w:vAlign w:val="bottom"/>
          </w:tcPr>
          <w:p>
            <w:pPr>
              <w:spacing w:after="0"/>
              <w:rPr>
                <w:sz w:val="20"/>
                <w:szCs w:val="20"/>
                <w:color w:val="auto"/>
              </w:rPr>
            </w:pPr>
            <w:r>
              <w:rPr>
                <w:rFonts w:ascii="Arial" w:cs="Arial" w:eastAsia="Arial" w:hAnsi="Arial"/>
                <w:sz w:val="18"/>
                <w:szCs w:val="18"/>
                <w:color w:val="auto"/>
              </w:rPr>
              <w:t>Alex Weil</w:t>
            </w:r>
          </w:p>
        </w:tc>
        <w:tc>
          <w:tcPr>
            <w:tcW w:w="2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140" w:type="dxa"/>
            <w:vAlign w:val="bottom"/>
          </w:tcPr>
          <w:p>
            <w:pPr>
              <w:spacing w:after="0"/>
              <w:rPr>
                <w:sz w:val="19"/>
                <w:szCs w:val="19"/>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5.1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Reed Smith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15697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156970" cy="44577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22nd Floor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+1 212 521 5400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+1 212 521 5450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reedsmith.com</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acted as counsel to Chardan NexTech Acquisition 2 Corp.,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Registration Statement on Form S-1 (File No. 333-254010) (such registration statement, as amended through the date hereof,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by the Company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color w:val="auto"/>
        </w:rPr>
        <w:t>Securities A</w:t>
      </w:r>
      <w:r>
        <w:rPr>
          <w:rFonts w:ascii="Arial" w:cs="Arial" w:eastAsia="Arial" w:hAnsi="Arial"/>
          <w:sz w:val="17"/>
          <w:szCs w:val="17"/>
          <w:color w:val="auto"/>
        </w:rPr>
        <w:t>ct”), relating to the offer and sale by the Company (the “</w:t>
      </w:r>
      <w:r>
        <w:rPr>
          <w:rFonts w:ascii="Arial" w:cs="Arial" w:eastAsia="Arial" w:hAnsi="Arial"/>
          <w:sz w:val="17"/>
          <w:szCs w:val="17"/>
          <w:b w:val="1"/>
          <w:bCs w:val="1"/>
          <w:color w:val="auto"/>
        </w:rPr>
        <w:t>Offering</w:t>
      </w:r>
      <w:r>
        <w:rPr>
          <w:rFonts w:ascii="Arial" w:cs="Arial" w:eastAsia="Arial" w:hAnsi="Arial"/>
          <w:sz w:val="17"/>
          <w:szCs w:val="17"/>
          <w:color w:val="auto"/>
        </w:rPr>
        <w:t>”) of (a) up to 12,650,000 units of the Company (the “</w:t>
      </w:r>
      <w:r>
        <w:rPr>
          <w:rFonts w:ascii="Arial" w:cs="Arial" w:eastAsia="Arial" w:hAnsi="Arial"/>
          <w:sz w:val="17"/>
          <w:szCs w:val="17"/>
          <w:b w:val="1"/>
          <w:bCs w:val="1"/>
          <w:color w:val="auto"/>
        </w:rPr>
        <w:t>Units</w:t>
      </w:r>
      <w:r>
        <w:rPr>
          <w:rFonts w:ascii="Arial" w:cs="Arial" w:eastAsia="Arial" w:hAnsi="Arial"/>
          <w:sz w:val="17"/>
          <w:szCs w:val="17"/>
          <w:color w:val="auto"/>
        </w:rPr>
        <w:t>”) (including up to 1,650,000 Units subject to the underwriters’ option to purchase additional Units), each such Unit consisting of one share of common stock of the Company, par value $0.0001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and three-quarters of one redeemable warrant of the Company (each whole warrant, a “</w:t>
      </w:r>
      <w:r>
        <w:rPr>
          <w:rFonts w:ascii="Arial" w:cs="Arial" w:eastAsia="Arial" w:hAnsi="Arial"/>
          <w:sz w:val="17"/>
          <w:szCs w:val="17"/>
          <w:b w:val="1"/>
          <w:bCs w:val="1"/>
          <w:color w:val="auto"/>
        </w:rPr>
        <w:t>Warrant</w:t>
      </w:r>
      <w:r>
        <w:rPr>
          <w:rFonts w:ascii="Arial" w:cs="Arial" w:eastAsia="Arial" w:hAnsi="Arial"/>
          <w:sz w:val="17"/>
          <w:szCs w:val="17"/>
          <w:color w:val="auto"/>
        </w:rPr>
        <w:t>”), each Warrant exercisable for the purchase of one share of Common Stock, as set forth in the prospectus included in the Registration Statement (the “</w:t>
      </w:r>
      <w:r>
        <w:rPr>
          <w:rFonts w:ascii="Arial" w:cs="Arial" w:eastAsia="Arial" w:hAnsi="Arial"/>
          <w:sz w:val="17"/>
          <w:szCs w:val="17"/>
          <w:b w:val="1"/>
          <w:bCs w:val="1"/>
          <w:color w:val="auto"/>
        </w:rPr>
        <w:t>Prospectus</w:t>
      </w:r>
      <w:r>
        <w:rPr>
          <w:rFonts w:ascii="Arial" w:cs="Arial" w:eastAsia="Arial" w:hAnsi="Arial"/>
          <w:sz w:val="17"/>
          <w:szCs w:val="17"/>
          <w:color w:val="auto"/>
        </w:rPr>
        <w:t>”), and (b) all shares of Common Stock and all Warrants, in each case, issued as part of the Units, and (c) all shares of Common Stock underlying the Warrants (the “</w:t>
      </w:r>
      <w:r>
        <w:rPr>
          <w:rFonts w:ascii="Arial" w:cs="Arial" w:eastAsia="Arial" w:hAnsi="Arial"/>
          <w:sz w:val="17"/>
          <w:szCs w:val="17"/>
          <w:b w:val="1"/>
          <w:bCs w:val="1"/>
          <w:color w:val="auto"/>
        </w:rPr>
        <w:t>Warrant Shares</w:t>
      </w:r>
      <w:r>
        <w:rPr>
          <w:rFonts w:ascii="Arial" w:cs="Arial" w:eastAsia="Arial" w:hAnsi="Arial"/>
          <w:sz w:val="17"/>
          <w:szCs w:val="17"/>
          <w:color w:val="auto"/>
        </w:rPr>
        <w:t>”). The term “Units” also includes any additional Units (and the underlying securities) that may be issued by the Company pursuant to Rule 462(b) under the Securities Act in connection with the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opinion letter is being furnished in accordance with the requirements of Item 601(b)(5) of Regulation S-K under the Securities Act.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reviewed originals or copies of the Registration Statement, the Prospectus, the certificate of incorporation and bylaws of the Company, as amended through the date hereof (the “</w:t>
      </w:r>
      <w:r>
        <w:rPr>
          <w:rFonts w:ascii="Arial" w:cs="Arial" w:eastAsia="Arial" w:hAnsi="Arial"/>
          <w:sz w:val="16"/>
          <w:szCs w:val="16"/>
          <w:b w:val="1"/>
          <w:bCs w:val="1"/>
          <w:color w:val="auto"/>
        </w:rPr>
        <w:t>Organizational Documents</w:t>
      </w:r>
      <w:r>
        <w:rPr>
          <w:rFonts w:ascii="Arial" w:cs="Arial" w:eastAsia="Arial" w:hAnsi="Arial"/>
          <w:sz w:val="16"/>
          <w:szCs w:val="16"/>
          <w:color w:val="auto"/>
        </w:rPr>
        <w:t>”), the form of warrant agreement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 proposed to be entered into by the Company and Continental Stock Transfer &amp; Trust Company, as warrant agent (the “</w:t>
      </w:r>
      <w:r>
        <w:rPr>
          <w:rFonts w:ascii="Arial" w:cs="Arial" w:eastAsia="Arial" w:hAnsi="Arial"/>
          <w:sz w:val="16"/>
          <w:szCs w:val="16"/>
          <w:b w:val="1"/>
          <w:bCs w:val="1"/>
          <w:color w:val="auto"/>
        </w:rPr>
        <w:t>Warrant Agent</w:t>
      </w:r>
      <w:r>
        <w:rPr>
          <w:rFonts w:ascii="Arial" w:cs="Arial" w:eastAsia="Arial" w:hAnsi="Arial"/>
          <w:sz w:val="16"/>
          <w:szCs w:val="16"/>
          <w:color w:val="auto"/>
        </w:rPr>
        <w:t>”) that is filed as Exhibit 4.4 to the Registration Statement, and the form of Unit certificate filed as Exhibit 4.1 to the Registration Statement (together with the Warrant Agreement the “</w:t>
      </w:r>
      <w:r>
        <w:rPr>
          <w:rFonts w:ascii="Arial" w:cs="Arial" w:eastAsia="Arial" w:hAnsi="Arial"/>
          <w:sz w:val="16"/>
          <w:szCs w:val="16"/>
          <w:b w:val="1"/>
          <w:bCs w:val="1"/>
          <w:color w:val="auto"/>
        </w:rPr>
        <w:t>Transaction Documents</w:t>
      </w:r>
      <w:r>
        <w:rPr>
          <w:rFonts w:ascii="Arial" w:cs="Arial" w:eastAsia="Arial" w:hAnsi="Arial"/>
          <w:sz w:val="16"/>
          <w:szCs w:val="16"/>
          <w:color w:val="auto"/>
        </w:rPr>
        <w:t>”), and such other corporate records, agreements and documents of the Company, certificates or comparable documents of public officials and officers of the Company and have made such other investigations as we have deemed necessary as a basis for the opinions set forth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rendering the opinion set forth below, we have assumed:</w:t>
      </w:r>
    </w:p>
    <w:p>
      <w:pPr>
        <w:spacing w:after="0" w:line="225" w:lineRule="exact"/>
        <w:rPr>
          <w:sz w:val="20"/>
          <w:szCs w:val="20"/>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genuineness of all signatures;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legal capacity of natural persons;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authenticity of all documents submitted to us as originals;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conformity to original documents of all documents submitted to us as duplicates or conformed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ind w:left="720" w:hanging="334"/>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to matters of fact, the truthfulness of the representations made in certificates or comparable documents of public officials and officers of the Company;</w:t>
      </w:r>
    </w:p>
    <w:p>
      <w:pPr>
        <w:spacing w:after="0" w:line="170"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of directors of the Company or a duly constituted and acting committee of such board of directors will have taken all action necessary to set the public offering price of the Units;</w:t>
      </w:r>
    </w:p>
    <w:p>
      <w:pPr>
        <w:spacing w:after="0" w:line="170"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respect to the issuance of the Common Stock, the amount of valid consideration paid in respect of such Common Stock will equal or exceed the par value of such Common Stock; and</w:t>
      </w:r>
    </w:p>
    <w:p>
      <w:pPr>
        <w:spacing w:after="0" w:line="170" w:lineRule="exact"/>
        <w:rPr>
          <w:rFonts w:ascii="Arial" w:cs="Arial" w:eastAsia="Arial" w:hAnsi="Arial"/>
          <w:sz w:val="18"/>
          <w:szCs w:val="18"/>
          <w:color w:val="auto"/>
        </w:rPr>
      </w:pPr>
    </w:p>
    <w:p>
      <w:pPr>
        <w:jc w:val="both"/>
        <w:ind w:left="720" w:hanging="334"/>
        <w:spacing w:after="0" w:line="273"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Documents nor the performance by the Company of its obligations thereunder, including the issuance and sale of the Units, Warrants, and Warrant Shares (i) conflicts or will conflict with the Organizational Documents, (ii) constitutes or will constitute a violation of, or a default under, any lease, indenture, instrument or other agreement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Opined-on Law (as defined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have not independently established the validity of the foregoing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w:t>
      </w:r>
    </w:p>
    <w:p>
      <w:pPr>
        <w:spacing w:after="0" w:line="225" w:lineRule="exact"/>
        <w:rPr>
          <w:sz w:val="20"/>
          <w:szCs w:val="20"/>
          <w:color w:val="auto"/>
        </w:rPr>
      </w:pPr>
    </w:p>
    <w:p>
      <w:pPr>
        <w:jc w:val="both"/>
        <w:ind w:left="660" w:hanging="328"/>
        <w:spacing w:after="0" w:line="29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Units, when issued and sold by the Company in the manner contemplated in the Registration Statement and Prospectus against payment therefor, and assuming the due authorization, execution and delivery of the Units by Continental Stock Transfer &amp; Trust Company, as transfer agent, will constitute the legal, valid, and binding obligations of the Company, enforceable against the Company in accordance with their terms under the laws of the State of New York,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6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Common Stock included in the Units, when the Units are issued and sold by the Company in the manner contemplated in the Registration Statement and Prospectus, against payment therefor, will be validly issued, fully paid, and nonassessable.</w:t>
      </w:r>
    </w:p>
    <w:p>
      <w:pPr>
        <w:spacing w:after="0" w:line="170"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Warrants included in the Units, when the Units are issued and sold by the Company in the manner contemplated in the Registration Statement and Prospectus against payment therefor, and assuming the due authorization, execution and delivery of such Warrants by the Warrant Agent, will constitute the legal, valid, and binding obligations of the Company, enforceable against the Company in accordance with their terms, under the laws of the State of New York,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64"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Common Stock issuable upon exercise of the Warrants, assuming the due authorization, execution and delivery of such Warrants by each of the Company and the Warrant Agent, in accordance with the Warrant Agreement, will be validly issued, fully paid, and nonassessable.</w:t>
      </w:r>
    </w:p>
    <w:p>
      <w:pPr>
        <w:spacing w:after="0" w:line="332" w:lineRule="exact"/>
        <w:rPr>
          <w:rFonts w:ascii="Arial" w:cs="Arial" w:eastAsia="Arial" w:hAnsi="Arial"/>
          <w:sz w:val="16"/>
          <w:szCs w:val="16"/>
          <w:color w:val="auto"/>
        </w:rPr>
      </w:pPr>
    </w:p>
    <w:p>
      <w:pPr>
        <w:ind w:left="5580" w:hanging="136"/>
        <w:spacing w:after="0"/>
        <w:tabs>
          <w:tab w:leader="none" w:pos="5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6"/>
          <w:szCs w:val="16"/>
          <w:color w:val="auto"/>
        </w:rPr>
        <w:t>The opinions stated herein are subject to the qualifications that we express no opinion as to the applicability of, compliance with, or effect of (i) public policy considerations which may limit the rights of parties to obtain certain remedies, (ii) any requirement that a claim with respect to any security denominated in other than U.S. dollars (or a judgment denominated in other than U.S. dollars in respect of such claim) be converted into U.S. dollars at a rate of exchange prevailing on a date determined in accordance with applicable law, (iii) any provision waiving the right to object to venue in any court;</w:t>
      </w:r>
    </w:p>
    <w:p>
      <w:pPr>
        <w:spacing w:after="0" w:line="1" w:lineRule="exact"/>
        <w:rPr>
          <w:sz w:val="20"/>
          <w:szCs w:val="20"/>
          <w:color w:val="auto"/>
        </w:rPr>
      </w:pPr>
    </w:p>
    <w:p>
      <w:pPr>
        <w:ind w:right="20" w:firstLine="8"/>
        <w:spacing w:after="0" w:line="260"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agreement to submit to the jurisdiction of any federal court; and (v) governmental authority to limit, delay or prohibit the making of payments outside of the United States or in a foreign currency or currency unit.</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opinion is limited to the laws of the State of New York and the General Corporation Law of the State of Delaware (collectively, the “</w:t>
      </w:r>
      <w:r>
        <w:rPr>
          <w:rFonts w:ascii="Arial" w:cs="Arial" w:eastAsia="Arial" w:hAnsi="Arial"/>
          <w:sz w:val="18"/>
          <w:szCs w:val="18"/>
          <w:b w:val="1"/>
          <w:bCs w:val="1"/>
          <w:color w:val="auto"/>
        </w:rPr>
        <w:t>Opined-on Law</w:t>
      </w:r>
      <w:r>
        <w:rPr>
          <w:rFonts w:ascii="Arial" w:cs="Arial" w:eastAsia="Arial" w:hAnsi="Arial"/>
          <w:sz w:val="18"/>
          <w:szCs w:val="18"/>
          <w:color w:val="auto"/>
        </w:rPr>
        <w:t>”) and we do not express any opinion herein concerning any other law. This opinion letter speaks only as of its date.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Prospectus. In giving such consent, we do not hereby admit that we are within the category of persons whose consent is required under Section 7 of the Securities Act, and the rules and regulations of the Commission promulgated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/s/REED SMITH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REED SMITH LLP</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S-1 pursuant to Rule 462(b) under the Securities Act of 1933, as amended, of our report dated June 4, 2021, relating to the financial statements of Chardan NextTech Acquisition 2 Corp. appearing in the Registration Statement on Amendment No. 7 to Form S-1, File No. 333-254010.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4"/>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5"/>
    </w:lvl>
  </w:abstractNum>
  <w:abstractNum w:abstractNumId="4">
    <w:nsid w:val="3D1B58BA"/>
    <w:multiLevelType w:val="hybridMultilevel"/>
    <w:lvl w:ilvl="0">
      <w:lvlJc w:val="left"/>
      <w:lvlText w:val="%1."/>
      <w:numFmt w:val="decimal"/>
      <w:start w:val="1"/>
    </w:lvl>
    <w:lvl w:ilvl="1">
      <w:lvlJc w:val="left"/>
      <w:lvlText w:val="-"/>
      <w:numFmt w:val="bullet"/>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22" Type="http://schemas.openxmlformats.org/officeDocument/2006/relationships/hyperlink" Target="https://www.sec.gov/Archives/edgar/data/1847986/000110465921033384/tm218972d1_s1.htm#POWEROFATTORNEY"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2021-08-11T05:30:44Z</dcterms:created>
  <dcterms:modified xsi:type="dcterms:W3CDTF">2021-08-11T05:30:44Z</dcterms:modified>
</cp:coreProperties>
</file>