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80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803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Dynavolt Technology (HK)</w:t>
        </w:r>
      </w:hyperlink>
    </w:p>
    <w:p>
      <w:pPr>
        <w:spacing w:after="0" w:line="1" w:lineRule="exact"/>
        <w:rPr>
          <w:sz w:val="24"/>
          <w:szCs w:val="24"/>
          <w:color w:val="auto"/>
        </w:rPr>
      </w:pP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Ltd.</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10/07/2022</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Dragonfly Energy Holdings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DFLI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519"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19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FLAT/RM 02-03 26/F, BEA TOWER</w:t>
      </w:r>
    </w:p>
    <w:p>
      <w:pPr>
        <w:spacing w:after="0" w:line="93"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MILLENNIUM CITY 5, 418 KWUN TONG ROAD</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KWUN</w:t>
            </w:r>
          </w:p>
        </w:tc>
        <w:tc>
          <w:tcPr>
            <w:tcW w:w="86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K3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00000</w:t>
            </w:r>
          </w:p>
        </w:tc>
        <w:tc>
          <w:tcPr>
            <w:tcW w:w="0" w:type="dxa"/>
            <w:vAlign w:val="bottom"/>
          </w:tcPr>
          <w:p>
            <w:pPr>
              <w:spacing w:after="0"/>
              <w:rPr>
                <w:sz w:val="1"/>
                <w:szCs w:val="1"/>
                <w:color w:val="auto"/>
              </w:rPr>
            </w:pPr>
          </w:p>
        </w:tc>
      </w:tr>
      <w:tr>
        <w:trPr>
          <w:trHeight w:val="134"/>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TONG</w:t>
            </w:r>
          </w:p>
        </w:tc>
        <w:tc>
          <w:tcPr>
            <w:tcW w:w="8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9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11,820,900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Harvey, as</w:t>
            </w:r>
          </w:p>
        </w:tc>
        <w:tc>
          <w:tcPr>
            <w:tcW w:w="560" w:type="dxa"/>
            <w:vAlign w:val="bottom"/>
          </w:tcPr>
          <w:p>
            <w:pPr>
              <w:spacing w:after="0"/>
              <w:rPr>
                <w:sz w:val="19"/>
                <w:szCs w:val="19"/>
                <w:color w:val="auto"/>
              </w:rPr>
            </w:pP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10/11/2022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attorney in fact</w:t>
            </w:r>
          </w:p>
        </w:tc>
        <w:tc>
          <w:tcPr>
            <w:tcW w:w="100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 FILINGS ON FORMS ID, 3, 4, 5 AND 144</w:t>
      </w:r>
    </w:p>
    <w:p>
      <w:pPr>
        <w:spacing w:after="0" w:line="254"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constitutes and appoints Emily B. Mills, Andi Hasaj and Regina Braman of O’Melveny &amp; Myers LLP (“</w:t>
      </w:r>
      <w:r>
        <w:rPr>
          <w:rFonts w:ascii="Times New Roman" w:cs="Times New Roman" w:eastAsia="Times New Roman" w:hAnsi="Times New Roman"/>
          <w:sz w:val="20"/>
          <w:szCs w:val="20"/>
          <w:u w:val="single" w:color="auto"/>
          <w:color w:val="auto"/>
        </w:rPr>
        <w:t>OMM</w:t>
      </w:r>
      <w:r>
        <w:rPr>
          <w:rFonts w:ascii="Times New Roman" w:cs="Times New Roman" w:eastAsia="Times New Roman" w:hAnsi="Times New Roman"/>
          <w:sz w:val="20"/>
          <w:szCs w:val="20"/>
          <w:color w:val="auto"/>
        </w:rPr>
        <w:t>”), outside counsel to the Company, so long as each is employed at OMM, as his true and lawful attorney-in-fact and agent (each, an “</w:t>
      </w:r>
      <w:r>
        <w:rPr>
          <w:rFonts w:ascii="Times New Roman" w:cs="Times New Roman" w:eastAsia="Times New Roman" w:hAnsi="Times New Roman"/>
          <w:sz w:val="20"/>
          <w:szCs w:val="20"/>
          <w:u w:val="single" w:color="auto"/>
          <w:color w:val="auto"/>
        </w:rPr>
        <w:t>Attorney-In-Fact</w:t>
      </w:r>
      <w:r>
        <w:rPr>
          <w:rFonts w:ascii="Times New Roman" w:cs="Times New Roman" w:eastAsia="Times New Roman" w:hAnsi="Times New Roman"/>
          <w:sz w:val="20"/>
          <w:szCs w:val="20"/>
          <w:color w:val="auto"/>
        </w:rPr>
        <w:t>”), with full power of substitution and resubstitution for him and in his name and stead in any and all capacities, to sign and file for and on his behalf, in respect of any acquisition, disposition or other change in ownership of any of the securities of the undersigned, the following:</w:t>
      </w:r>
    </w:p>
    <w:p>
      <w:pPr>
        <w:spacing w:after="0" w:line="205" w:lineRule="exact"/>
        <w:rPr>
          <w:sz w:val="20"/>
          <w:szCs w:val="20"/>
          <w:color w:val="auto"/>
        </w:rPr>
      </w:pPr>
    </w:p>
    <w:p>
      <w:pPr>
        <w:ind w:left="1500" w:hanging="780"/>
        <w:spacing w:after="0"/>
        <w:tabs>
          <w:tab w:leader="none" w:pos="15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Form ID to be filed with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w:t>
      </w:r>
    </w:p>
    <w:p>
      <w:pPr>
        <w:spacing w:after="0" w:line="280" w:lineRule="exact"/>
        <w:rPr>
          <w:rFonts w:ascii="Times New Roman" w:cs="Times New Roman" w:eastAsia="Times New Roman" w:hAnsi="Times New Roman"/>
          <w:sz w:val="20"/>
          <w:szCs w:val="20"/>
          <w:color w:val="auto"/>
        </w:rPr>
      </w:pPr>
    </w:p>
    <w:p>
      <w:pPr>
        <w:ind w:left="1500" w:hanging="780"/>
        <w:spacing w:after="0"/>
        <w:tabs>
          <w:tab w:leader="none" w:pos="15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Initial Statement of Beneficial Ownership of Securities on Form 3 to be filed with the SEC;</w:t>
      </w:r>
    </w:p>
    <w:p>
      <w:pPr>
        <w:spacing w:after="0" w:line="280" w:lineRule="exact"/>
        <w:rPr>
          <w:rFonts w:ascii="Times New Roman" w:cs="Times New Roman" w:eastAsia="Times New Roman" w:hAnsi="Times New Roman"/>
          <w:sz w:val="20"/>
          <w:szCs w:val="20"/>
          <w:color w:val="auto"/>
        </w:rPr>
      </w:pPr>
    </w:p>
    <w:p>
      <w:pPr>
        <w:ind w:left="1500" w:hanging="780"/>
        <w:spacing w:after="0"/>
        <w:tabs>
          <w:tab w:leader="none" w:pos="15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of Changes of Beneficial Ownership of Securities on Form 4 to be filed with the SEC;</w:t>
      </w:r>
    </w:p>
    <w:p>
      <w:pPr>
        <w:spacing w:after="0" w:line="280" w:lineRule="exact"/>
        <w:rPr>
          <w:rFonts w:ascii="Times New Roman" w:cs="Times New Roman" w:eastAsia="Times New Roman" w:hAnsi="Times New Roman"/>
          <w:sz w:val="20"/>
          <w:szCs w:val="20"/>
          <w:color w:val="auto"/>
        </w:rPr>
      </w:pPr>
    </w:p>
    <w:p>
      <w:pPr>
        <w:ind w:left="1500" w:hanging="780"/>
        <w:spacing w:after="0"/>
        <w:tabs>
          <w:tab w:leader="none" w:pos="15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Annual Statement of Beneficial Ownership of Securities on Form 5 to be filed with the SEC;</w:t>
      </w:r>
    </w:p>
    <w:p>
      <w:pPr>
        <w:spacing w:after="0" w:line="280" w:lineRule="exact"/>
        <w:rPr>
          <w:rFonts w:ascii="Times New Roman" w:cs="Times New Roman" w:eastAsia="Times New Roman" w:hAnsi="Times New Roman"/>
          <w:sz w:val="20"/>
          <w:szCs w:val="20"/>
          <w:color w:val="auto"/>
        </w:rPr>
      </w:pPr>
    </w:p>
    <w:p>
      <w:pPr>
        <w:ind w:left="1500" w:hanging="780"/>
        <w:spacing w:after="0"/>
        <w:tabs>
          <w:tab w:leader="none" w:pos="15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of Proposed Sale of Securities on Form 144 to be filed with the SEC; and</w:t>
      </w:r>
    </w:p>
    <w:p>
      <w:pPr>
        <w:spacing w:after="0" w:line="280" w:lineRule="exact"/>
        <w:rPr>
          <w:rFonts w:ascii="Times New Roman" w:cs="Times New Roman" w:eastAsia="Times New Roman" w:hAnsi="Times New Roman"/>
          <w:sz w:val="20"/>
          <w:szCs w:val="20"/>
          <w:color w:val="auto"/>
        </w:rPr>
      </w:pPr>
    </w:p>
    <w:p>
      <w:pPr>
        <w:ind w:left="1500" w:hanging="780"/>
        <w:spacing w:after="0"/>
        <w:tabs>
          <w:tab w:leader="none" w:pos="15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agreements, certificates, receipts, or other documents in connection therewith.</w:t>
      </w:r>
    </w:p>
    <w:p>
      <w:pPr>
        <w:spacing w:after="0" w:line="28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The undersigned hereby gives full power and authority to each Attorney-In-Fact to seek and obtain as his representative and on his behalf, information on transactions in the securities of the undersigned from any third party, including brokers, employee benefit plan administrators and trustees, and the undersigned hereby authorizes any such third party to release such information to each Attorney-In-Fact and approves and ratifies any such release of information.</w:t>
      </w:r>
    </w:p>
    <w:p>
      <w:pPr>
        <w:spacing w:after="0" w:line="200" w:lineRule="exact"/>
        <w:rPr>
          <w:sz w:val="20"/>
          <w:szCs w:val="20"/>
          <w:color w:val="auto"/>
        </w:rPr>
      </w:pPr>
    </w:p>
    <w:p>
      <w:pPr>
        <w:jc w:val="both"/>
        <w:ind w:firstLine="720"/>
        <w:spacing w:after="0" w:line="266" w:lineRule="auto"/>
        <w:rPr>
          <w:sz w:val="20"/>
          <w:szCs w:val="20"/>
          <w:color w:val="auto"/>
        </w:rPr>
      </w:pPr>
      <w:r>
        <w:rPr>
          <w:rFonts w:ascii="Times New Roman" w:cs="Times New Roman" w:eastAsia="Times New Roman" w:hAnsi="Times New Roman"/>
          <w:sz w:val="20"/>
          <w:szCs w:val="20"/>
          <w:color w:val="auto"/>
        </w:rPr>
        <w:t>The undersigned hereby grants unto each Attorney-In-Fact full power and authority to do and perform each and every act and thing requisite and necessary in connection with such matters and hereby ratifies and confirms all that any such Attorney-In-Fact or substitute may do or cause to be done by virtue hereof.</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250" w:lineRule="exact"/>
        <w:rPr>
          <w:sz w:val="20"/>
          <w:szCs w:val="20"/>
          <w:color w:val="auto"/>
        </w:rPr>
      </w:pPr>
    </w:p>
    <w:p>
      <w:pPr>
        <w:jc w:val="both"/>
        <w:ind w:left="1420" w:hanging="775"/>
        <w:spacing w:after="0" w:line="261" w:lineRule="auto"/>
        <w:tabs>
          <w:tab w:leader="none" w:pos="14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Attorney-In-Fact assumes (i) any liability for the undersigned’s responsibility to comply with the requirement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(ii) any liability of the undersigned for any failure to comply with such requirements or (iii) any obligation or liability of the undersigned for profit disgorgement under Section 16(b) of the Exchange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464185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2" w:name="page3"/>
    <w:bookmarkEnd w:id="2"/>
    <w:p>
      <w:pPr>
        <w:jc w:val="both"/>
        <w:ind w:left="1420" w:hanging="775"/>
        <w:spacing w:after="0" w:line="266" w:lineRule="auto"/>
        <w:tabs>
          <w:tab w:leader="none" w:pos="14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19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with respect to the undersigned until revoked by the undersigned in a signed writing delivered to each Attorney-In-Fact.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3"/>
          <w:szCs w:val="13"/>
          <w:color w:val="auto"/>
        </w:rPr>
        <w:t>emainder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5"/>
          <w:szCs w:val="15"/>
          <w:color w:val="auto"/>
        </w:rPr>
        <w:t>OF</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3"/>
          <w:szCs w:val="13"/>
          <w:color w:val="auto"/>
        </w:rPr>
        <w:t>age</w:t>
      </w:r>
      <w:r>
        <w:rPr>
          <w:rFonts w:ascii="Times New Roman" w:cs="Times New Roman" w:eastAsia="Times New Roman" w:hAnsi="Times New Roman"/>
          <w:sz w:val="20"/>
          <w:szCs w:val="20"/>
          <w:color w:val="auto"/>
        </w:rPr>
        <w:t xml:space="preserve"> I</w:t>
      </w:r>
      <w:r>
        <w:rPr>
          <w:rFonts w:ascii="Times New Roman" w:cs="Times New Roman" w:eastAsia="Times New Roman" w:hAnsi="Times New Roman"/>
          <w:sz w:val="13"/>
          <w:szCs w:val="13"/>
          <w:color w:val="auto"/>
        </w:rPr>
        <w:t>ntentionally</w:t>
      </w:r>
      <w:r>
        <w:rPr>
          <w:rFonts w:ascii="Times New Roman" w:cs="Times New Roman" w:eastAsia="Times New Roman" w:hAnsi="Times New Roman"/>
          <w:sz w:val="20"/>
          <w:szCs w:val="20"/>
          <w:color w:val="auto"/>
        </w:rPr>
        <w:t xml:space="preserve"> L</w:t>
      </w:r>
      <w:r>
        <w:rPr>
          <w:rFonts w:ascii="Times New Roman" w:cs="Times New Roman" w:eastAsia="Times New Roman" w:hAnsi="Times New Roman"/>
          <w:sz w:val="13"/>
          <w:szCs w:val="13"/>
          <w:color w:val="auto"/>
        </w:rPr>
        <w:t>eft</w:t>
      </w:r>
      <w:r>
        <w:rPr>
          <w:rFonts w:ascii="Times New Roman" w:cs="Times New Roman" w:eastAsia="Times New Roman" w:hAnsi="Times New Roman"/>
          <w:sz w:val="20"/>
          <w:szCs w:val="20"/>
          <w:color w:val="auto"/>
        </w:rPr>
        <w:t xml:space="preserve"> B</w:t>
      </w:r>
      <w:r>
        <w:rPr>
          <w:rFonts w:ascii="Times New Roman" w:cs="Times New Roman" w:eastAsia="Times New Roman" w:hAnsi="Times New Roman"/>
          <w:sz w:val="13"/>
          <w:szCs w:val="13"/>
          <w:color w:val="auto"/>
        </w:rPr>
        <w:t>lank</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990" w:right="479" w:bottom="1440" w:gutter="0" w:footer="0" w:header="0"/>
        </w:sectPr>
      </w:pPr>
    </w:p>
    <w:bookmarkStart w:id="3" w:name="page4"/>
    <w:bookmarkEnd w:id="3"/>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13</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September,</w:t>
      </w: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2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/s/ Brian J. Berney</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Brian J. Berney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3"/>
          <w:szCs w:val="13"/>
          <w:b w:val="1"/>
          <w:bCs w:val="1"/>
          <w:color w:val="auto"/>
        </w:rPr>
        <w:t>ynavolt</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echnology</w:t>
      </w:r>
      <w:r>
        <w:rPr>
          <w:rFonts w:ascii="Times New Roman" w:cs="Times New Roman" w:eastAsia="Times New Roman" w:hAnsi="Times New Roman"/>
          <w:sz w:val="20"/>
          <w:szCs w:val="20"/>
          <w:b w:val="1"/>
          <w:bCs w:val="1"/>
          <w:color w:val="auto"/>
        </w:rPr>
        <w:t xml:space="preserve"> (HK) L</w:t>
      </w:r>
      <w:r>
        <w:rPr>
          <w:rFonts w:ascii="Times New Roman" w:cs="Times New Roman" w:eastAsia="Times New Roman" w:hAnsi="Times New Roman"/>
          <w:sz w:val="13"/>
          <w:szCs w:val="13"/>
          <w:b w:val="1"/>
          <w:bCs w:val="1"/>
          <w:color w:val="auto"/>
        </w:rPr>
        <w:t>td</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498475</wp:posOffset>
            </wp:positionV>
            <wp:extent cx="69469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91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947814" TargetMode="External"/><Relationship Id="rId11"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2022-10-12T09:15:11Z</dcterms:created>
  <dcterms:modified xsi:type="dcterms:W3CDTF">2022-10-12T09:15:11Z</dcterms:modified>
</cp:coreProperties>
</file>